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Operating Agreement Of MLADIS LLC</w:t>
      </w:r>
    </w:p>
    <w:p>
      <w:pPr/>
      <w:r>
        <w:t>Execution copy. Not legal advice. Electronically signed by the sole member on 2026-06-03.</w:t>
      </w:r>
    </w:p>
    <w:p>
      <w:pPr/>
      <w:r>
        <w:t>This Operating Agreement is entered into as of June 3, 2026 by Piter Zacari Garcia Bautista, as the sole member of MLADIS LLC, a New York limited liability company.</w:t>
      </w:r>
    </w:p>
    <w:p>
      <w:pPr>
        <w:pStyle w:val="Heading1"/>
      </w:pPr>
      <w:r>
        <w:t>1. Formation</w:t>
      </w:r>
    </w:p>
    <w:p>
      <w:pPr/>
      <w:r>
        <w:t xml:space="preserve">MLADIS LLC was formed as a New York domestic limited liability company by filing Articles of Organization with the New York Department of State. The New York Business Express portal shows the Articles of Organization application </w:t>
      </w:r>
      <w:r>
        <w:rPr>
          <w:rFonts w:ascii="Courier New" w:hAnsi="Courier New"/>
          <w:sz w:val="18"/>
        </w:rPr>
        <w:t>DOS1336-2026-029778</w:t>
      </w:r>
      <w:r>
        <w:t xml:space="preserve"> as approved on 2026-06-03.</w:t>
      </w:r>
    </w:p>
    <w:p>
      <w:pPr>
        <w:pStyle w:val="Heading1"/>
      </w:pPr>
      <w:r>
        <w:t>2. Name</w:t>
      </w:r>
    </w:p>
    <w:p>
      <w:pPr/>
      <w:r>
        <w:t>The name of the company is MLADIS LLC.</w:t>
      </w:r>
    </w:p>
    <w:p>
      <w:pPr>
        <w:pStyle w:val="Heading1"/>
      </w:pPr>
      <w:r>
        <w:t>3. Principal Office And Records</w:t>
      </w:r>
    </w:p>
    <w:p>
      <w:pPr/>
      <w:r>
        <w:t>The company will maintain its principal business records at the address selected by the member, currently:</w:t>
      </w:r>
    </w:p>
    <w:p>
      <w:pPr/>
      <w:r>
        <w:t>109-19 72nd Rd., Apt 5H, Forest Hills, NY 11375.</w:t>
      </w:r>
    </w:p>
    <w:p>
      <w:pPr/>
      <w:r>
        <w:t>The member may change the records location without amending this agreement. The company will keep the records required by New York law, including Articles of Organization, amendments, this Operating Agreement, tax records, member records, and financial records.</w:t>
      </w:r>
    </w:p>
    <w:p>
      <w:pPr>
        <w:pStyle w:val="Heading1"/>
      </w:pPr>
      <w:r>
        <w:t>4. Purpose</w:t>
      </w:r>
    </w:p>
    <w:p>
      <w:pPr/>
      <w:r>
        <w:t>The company may engage in any lawful act or activity for which a limited liability company may be organized under New York law.</w:t>
      </w:r>
    </w:p>
    <w:p>
      <w:pPr/>
      <w:r>
        <w:t>The current intended business activities include, without limitation:</w:t>
      </w:r>
    </w:p>
    <w:p>
      <w:pPr>
        <w:pStyle w:val="ListBullet"/>
      </w:pPr>
      <w:r>
        <w:t>Vacation rental and direct-booking operations.</w:t>
      </w:r>
    </w:p>
    <w:p>
      <w:pPr>
        <w:pStyle w:val="ListBullet"/>
      </w:pPr>
      <w:r>
        <w:t>Hospitality, reservation, deposit, invoice, and guest-support workflows.</w:t>
      </w:r>
    </w:p>
    <w:p>
      <w:pPr>
        <w:pStyle w:val="ListBullet"/>
      </w:pPr>
      <w:r>
        <w:t>AI-assisted customer service and business automation.</w:t>
      </w:r>
    </w:p>
    <w:p>
      <w:pPr>
        <w:pStyle w:val="ListBullet"/>
      </w:pPr>
      <w:r>
        <w:t>Software, data, analytics, and agent systems supporting booking, operations, and business management.</w:t>
      </w:r>
    </w:p>
    <w:p>
      <w:pPr>
        <w:pStyle w:val="ListBullet"/>
      </w:pPr>
      <w:r>
        <w:t>Related charitable, promotional, educational, and technology initiatives approved by the member.</w:t>
      </w:r>
    </w:p>
    <w:p>
      <w:pPr>
        <w:pStyle w:val="Heading1"/>
      </w:pPr>
      <w:r>
        <w:t>5. Business Branches And Internal Brands</w:t>
      </w:r>
    </w:p>
    <w:p>
      <w:pPr/>
      <w:r>
        <w:t>The company may operate through internal brands, branches, product lines, or business units approved by the member. Initial internal brands may include:</w:t>
      </w:r>
    </w:p>
    <w:p>
      <w:pPr>
        <w:pStyle w:val="ListNumber"/>
      </w:pPr>
      <w:r>
        <w:t>MLADIS Connected Intelligence, the parent umbrella identity for technology, automation, data, AI-agent systems, and connected business infrastructure.</w:t>
      </w:r>
    </w:p>
    <w:p>
      <w:pPr>
        <w:pStyle w:val="ListNumber"/>
      </w:pPr>
      <w:r>
        <w:t>MLADIS Bookings, the vacation-rental, hospitality, reservation, guest-support, deposit, invoice, and direct-booking branch.</w:t>
      </w:r>
    </w:p>
    <w:p>
      <w:pPr/>
      <w:r>
        <w:t>Internal brands do not create separate legal entities unless the member forms or registers a separate entity or assumed name in writing.</w:t>
      </w:r>
    </w:p>
    <w:p>
      <w:pPr>
        <w:pStyle w:val="Heading1"/>
      </w:pPr>
      <w:r>
        <w:t>6. Term</w:t>
      </w:r>
    </w:p>
    <w:p>
      <w:pPr/>
      <w:r>
        <w:t>The company will continue until dissolved under this agreement or applicable law.</w:t>
      </w:r>
    </w:p>
    <w:p>
      <w:pPr>
        <w:pStyle w:val="Heading1"/>
      </w:pPr>
      <w:r>
        <w:t>7. Member</w:t>
      </w:r>
    </w:p>
    <w:p>
      <w:pPr/>
      <w:r>
        <w:t>The sole initial member is: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Member</w:t>
            </w:r>
          </w:p>
        </w:tc>
        <w:tc>
          <w:tcPr>
            <w:tcW w:type="dxa" w:w="3120"/>
            <w:vAlign w:val="center"/>
            <w:tcMar>
              <w:top w:w="80" w:type="dxa"/>
              <w:start w:w="120" w:type="dxa"/>
              <w:bottom w:w="80" w:type="dxa"/>
              <w:end w:w="120" w:type="dxa"/>
            </w:tcMar>
            <w:shd w:fill="F2F4F7"/>
          </w:tcPr>
          <w:p>
            <w:pPr>
              <w:spacing w:after="0"/>
            </w:pPr>
            <w:r>
              <w:rPr>
                <w:b/>
              </w:rPr>
              <w:t>Address</w:t>
            </w:r>
          </w:p>
        </w:tc>
        <w:tc>
          <w:tcPr>
            <w:tcW w:type="dxa" w:w="3120"/>
            <w:vAlign w:val="center"/>
            <w:tcMar>
              <w:top w:w="80" w:type="dxa"/>
              <w:start w:w="120" w:type="dxa"/>
              <w:bottom w:w="80" w:type="dxa"/>
              <w:end w:w="120" w:type="dxa"/>
            </w:tcMar>
            <w:shd w:fill="F2F4F7"/>
          </w:tcPr>
          <w:p>
            <w:pPr>
              <w:spacing w:after="0"/>
            </w:pPr>
            <w:r>
              <w:rPr>
                <w:b/>
              </w:rPr>
              <w:t>Ownership</w:t>
            </w:r>
          </w:p>
        </w:tc>
      </w:tr>
      <w:tr>
        <w:tc>
          <w:tcPr>
            <w:tcW w:type="dxa" w:w="3120"/>
            <w:vAlign w:val="center"/>
            <w:tcMar>
              <w:top w:w="80" w:type="dxa"/>
              <w:start w:w="120" w:type="dxa"/>
              <w:bottom w:w="80" w:type="dxa"/>
              <w:end w:w="120" w:type="dxa"/>
            </w:tcMar>
          </w:tcPr>
          <w:p>
            <w:pPr>
              <w:spacing w:after="0"/>
            </w:pPr>
            <w:r>
              <w:t>Piter Zacari Garcia Bautista</w:t>
            </w:r>
          </w:p>
        </w:tc>
        <w:tc>
          <w:tcPr>
            <w:tcW w:type="dxa" w:w="3120"/>
            <w:vAlign w:val="center"/>
            <w:tcMar>
              <w:top w:w="80" w:type="dxa"/>
              <w:start w:w="120" w:type="dxa"/>
              <w:bottom w:w="80" w:type="dxa"/>
              <w:end w:w="120" w:type="dxa"/>
            </w:tcMar>
          </w:tcPr>
          <w:p>
            <w:pPr>
              <w:spacing w:after="0"/>
            </w:pPr>
            <w:r>
              <w:t>109-19 72nd Rd., Apt 5H, Forest Hills, NY 11375</w:t>
            </w:r>
          </w:p>
        </w:tc>
        <w:tc>
          <w:tcPr>
            <w:tcW w:type="dxa" w:w="3120"/>
            <w:vAlign w:val="center"/>
            <w:tcMar>
              <w:top w:w="80" w:type="dxa"/>
              <w:start w:w="120" w:type="dxa"/>
              <w:bottom w:w="80" w:type="dxa"/>
              <w:end w:w="120" w:type="dxa"/>
            </w:tcMar>
          </w:tcPr>
          <w:p>
            <w:pPr>
              <w:spacing w:after="0"/>
            </w:pPr>
            <w:r>
              <w:t>100%</w:t>
            </w:r>
          </w:p>
        </w:tc>
      </w:tr>
    </w:tbl>
    <w:p/>
    <w:p>
      <w:pPr/>
      <w:r>
        <w:t>No additional member may be admitted unless approved in a signed written instrument by the member.</w:t>
      </w:r>
    </w:p>
    <w:p>
      <w:pPr>
        <w:pStyle w:val="Heading1"/>
      </w:pPr>
      <w:r>
        <w:t>8. Management</w:t>
      </w:r>
    </w:p>
    <w:p>
      <w:pPr/>
      <w:r>
        <w:t>The company is member-managed. The member has full authority to manage company affairs, sign contracts, open and manage bank accounts, approve vendors, hire service providers, manage technology systems, register domains, maintain booking platforms, configure payment processors, and take any lawful action on behalf of the company.</w:t>
      </w:r>
    </w:p>
    <w:p>
      <w:pPr/>
      <w:r>
        <w:t>The member may delegate operational tasks to employees, contractors, agents, software systems, or automation tools. Delegation does not remove the member's ultimate management authority.</w:t>
      </w:r>
    </w:p>
    <w:p>
      <w:pPr>
        <w:pStyle w:val="Heading1"/>
      </w:pPr>
      <w:r>
        <w:t>9. Business Pillars And Strategic Contributors</w:t>
      </w:r>
    </w:p>
    <w:p>
      <w:pPr/>
      <w:r>
        <w:t>The company may recognize individuals who materially support the creation, operation, or development of a company branch, product line, or business system as Business Pillars, Strategic Contributors, Founding Operations Leads, Dominican Republic Operations Leads, or similar non-ownership titles.</w:t>
      </w:r>
    </w:p>
    <w:p>
      <w:pPr/>
      <w:r>
        <w:t>Such recognition may reflect trust, contribution, operational importance, historical support, or public-facing role within a company branch, including MLADIS Bookings.</w:t>
      </w:r>
    </w:p>
    <w:p>
      <w:pPr/>
      <w:r>
        <w:t>Unless separately stated in a signed amendment to this Operating Agreement, such recognition does not create membership, ownership, equity, voting rights, profit rights, tax partnership status, employee status, authority to incur debt, authority to bind the company, authority to open or access company bank accounts, authority to access company tax accounts, or authority to access company payment processor accounts.</w:t>
      </w:r>
    </w:p>
    <w:p>
      <w:pPr>
        <w:pStyle w:val="Heading1"/>
      </w:pPr>
      <w:r>
        <w:t>10. Capital Contributions</w:t>
      </w:r>
    </w:p>
    <w:p>
      <w:pPr/>
      <w:r>
        <w:t>The member may contribute cash, property, services, software, intellectual property, domain assets, business records, or other value to the company. Contributions and reimbursements should be recorded in the company books.</w:t>
      </w:r>
    </w:p>
    <w:p>
      <w:pPr/>
      <w:r>
        <w:t>No member is required to make additional capital contributions unless the member agrees in writing.</w:t>
      </w:r>
    </w:p>
    <w:p>
      <w:pPr>
        <w:pStyle w:val="Heading1"/>
      </w:pPr>
      <w:r>
        <w:t>11. Profits, Losses, And Distributions</w:t>
      </w:r>
    </w:p>
    <w:p>
      <w:pPr/>
      <w:r>
        <w:t>Profits, losses, and distributions belong to the member in proportion to ownership. Because this is currently a single-member company, all profits, losses, and distributions belong to Piter Zacari Garcia Bautista unless a later written amendment changes ownership.</w:t>
      </w:r>
    </w:p>
    <w:p>
      <w:pPr/>
      <w:r>
        <w:t>Distributions may be made when the member determines they are appropriate, subject to business cash needs, reserves, debts, taxes, refunds, chargebacks, deposits, and applicable law.</w:t>
      </w:r>
    </w:p>
    <w:p>
      <w:pPr>
        <w:pStyle w:val="Heading1"/>
      </w:pPr>
      <w:r>
        <w:t>12. Tax Treatment</w:t>
      </w:r>
    </w:p>
    <w:p>
      <w:pPr/>
      <w:r>
        <w:t>Unless the member makes a valid tax election, the company is expected to be treated under default federal tax rules for a single-member LLC. The member may approve a different tax election after review with a qualified tax professional.</w:t>
      </w:r>
    </w:p>
    <w:p>
      <w:pPr/>
      <w:r>
        <w:t>The company will use a calendar tax year unless another fiscal year is approved and allowed by law.</w:t>
      </w:r>
    </w:p>
    <w:p>
      <w:pPr>
        <w:pStyle w:val="Heading1"/>
      </w:pPr>
      <w:r>
        <w:t>13. Bank Accounts And Funds</w:t>
      </w:r>
    </w:p>
    <w:p>
      <w:pPr/>
      <w:r>
        <w:t>Company funds should be held in accounts under the company's legal name when practical. Personal and company funds should be kept separate.</w:t>
      </w:r>
    </w:p>
    <w:p>
      <w:pPr/>
      <w:r>
        <w:t>The company may maintain reserves for:</w:t>
      </w:r>
    </w:p>
    <w:p>
      <w:pPr>
        <w:pStyle w:val="ListBullet"/>
      </w:pPr>
      <w:r>
        <w:t>Customer refunds and cancellations.</w:t>
      </w:r>
    </w:p>
    <w:p>
      <w:pPr>
        <w:pStyle w:val="ListBullet"/>
      </w:pPr>
      <w:r>
        <w:t>Damage deposits and deposit releases.</w:t>
      </w:r>
    </w:p>
    <w:p>
      <w:pPr>
        <w:pStyle w:val="ListBullet"/>
      </w:pPr>
      <w:r>
        <w:t>Chargebacks and payment processor disputes.</w:t>
      </w:r>
    </w:p>
    <w:p>
      <w:pPr>
        <w:pStyle w:val="ListBullet"/>
      </w:pPr>
      <w:r>
        <w:t>Cleaning, maintenance, repairs, supplies, utilities, software, hosting, and marketing.</w:t>
      </w:r>
    </w:p>
    <w:p>
      <w:pPr>
        <w:pStyle w:val="ListBullet"/>
      </w:pPr>
      <w:r>
        <w:t>Taxes, publication costs, compliance costs, legal/accounting fees, and insurance.</w:t>
      </w:r>
    </w:p>
    <w:p>
      <w:pPr>
        <w:pStyle w:val="ListBullet"/>
      </w:pPr>
      <w:r>
        <w:t>Charitable or mission-related donations approved by the member.</w:t>
      </w:r>
    </w:p>
    <w:p>
      <w:pPr>
        <w:pStyle w:val="Heading1"/>
      </w:pPr>
      <w:r>
        <w:t>14. Debt, Credit, And Personal Guarantee Protection</w:t>
      </w:r>
    </w:p>
    <w:p>
      <w:pPr/>
      <w:r>
        <w:t>The company shall not incur loans, credit lines, merchant cash advances, financing obligations, personal-guarantee obligations, or similar debt products unless approved in writing by the member.</w:t>
      </w:r>
    </w:p>
    <w:p>
      <w:pPr/>
      <w:r>
        <w:t>No contractor, agent, Business Pillar, Strategic Contributor, vendor, employee, software system, AI agent, delegated operator, or third party may apply for credit, financing, payment advances, bank accounts, payment processor advances, or debt products on behalf of the company without written authorization from the member.</w:t>
      </w:r>
    </w:p>
    <w:p>
      <w:pPr/>
      <w:r>
        <w:t>The company's early-stage operating policy is to prioritize cash-based operations, separate bookkeeping, limited liabilities, careful payment controls, and preservation of the member's personal credit.</w:t>
      </w:r>
    </w:p>
    <w:p>
      <w:pPr>
        <w:pStyle w:val="Heading1"/>
      </w:pPr>
      <w:r>
        <w:t>15. Customer Deposits, Payments, And Refunds</w:t>
      </w:r>
    </w:p>
    <w:p>
      <w:pPr/>
      <w:r>
        <w:t>The company may collect direct-booking payments, security deposits, payment holds, extra bills, cleaning fees, penalties, and other charges through approved payment processors.</w:t>
      </w:r>
    </w:p>
    <w:p>
      <w:pPr/>
      <w:r>
        <w:t>Customer-facing policies must clearly disclose payment terms, cancellation terms, refund rules, deposit hold/release rules, house rules, and any extra-bill practices before payment is accepted.</w:t>
      </w:r>
    </w:p>
    <w:p>
      <w:pPr>
        <w:pStyle w:val="Heading1"/>
      </w:pPr>
      <w:r>
        <w:t>16. AI Agents, Automation, And Customer Data</w:t>
      </w:r>
    </w:p>
    <w:p>
      <w:pPr/>
      <w:r>
        <w:t>The company may use AI agents, calendar integrations, email automation, analytics, and other software to operate the business. These systems must be configured to protect customer data and should operate under least-privilege access where practical.</w:t>
      </w:r>
    </w:p>
    <w:p>
      <w:pPr/>
      <w:r>
        <w:t>Sensitive credentials, API keys, OAuth secrets, bank details, tax IDs, identity documents, and payment card data must not be committed to public code repositories.</w:t>
      </w:r>
    </w:p>
    <w:p>
      <w:pPr/>
      <w:r>
        <w:t>Customer marketing communications should require appropriate consent and opt-out controls.</w:t>
      </w:r>
    </w:p>
    <w:p>
      <w:pPr>
        <w:pStyle w:val="Heading1"/>
      </w:pPr>
      <w:r>
        <w:t>17. Intellectual Property And Brand Assets</w:t>
      </w:r>
    </w:p>
    <w:p>
      <w:pPr/>
      <w:r>
        <w:t>Company-created software, data models, website designs, booking workflows, documentation, logos, trademarks, domain configuration, and operational systems created for MLADIS business purposes are company assets unless a written agreement says otherwise.</w:t>
      </w:r>
    </w:p>
    <w:p>
      <w:pPr/>
      <w:r>
        <w:t>The member may license, assign, or transfer intellectual property to or from the company through written records.</w:t>
      </w:r>
    </w:p>
    <w:p>
      <w:pPr>
        <w:pStyle w:val="Heading1"/>
      </w:pPr>
      <w:r>
        <w:t>18. Agents, Contractors, And Vendors</w:t>
      </w:r>
    </w:p>
    <w:p>
      <w:pPr/>
      <w:r>
        <w:t>The member may engage contractors, accountants, lawyers, agencies, software vendors, payment providers, hosting providers, cleaning services, repair vendors, photographers, marketing providers, and other service providers.</w:t>
      </w:r>
    </w:p>
    <w:p>
      <w:pPr/>
      <w:r>
        <w:t>Material vendor relationships should be documented with invoices, receipts, contracts, or written notes.</w:t>
      </w:r>
    </w:p>
    <w:p>
      <w:pPr>
        <w:pStyle w:val="Heading1"/>
      </w:pPr>
      <w:r>
        <w:t>19. Limitation Of Liability</w:t>
      </w:r>
    </w:p>
    <w:p>
      <w:pPr/>
      <w:r>
        <w:t>The member is not personally liable for the debts, obligations, or liabilities of the company solely by reason of being a member, except as provided by applicable law.</w:t>
      </w:r>
    </w:p>
    <w:p>
      <w:pPr/>
      <w:r>
        <w:t>The company should maintain separate records, accounts, and operations to support the limited-liability structure.</w:t>
      </w:r>
    </w:p>
    <w:p>
      <w:pPr>
        <w:pStyle w:val="Heading1"/>
      </w:pPr>
      <w:r>
        <w:t>20. Indemnification</w:t>
      </w:r>
    </w:p>
    <w:p>
      <w:pPr/>
      <w:r>
        <w:t>To the fullest extent permitted by law, the company may indemnify the member, managers, officers, agents, employees, contractors, or authorized representatives for actions taken in good faith on behalf of the company.</w:t>
      </w:r>
    </w:p>
    <w:p>
      <w:pPr>
        <w:pStyle w:val="Heading1"/>
      </w:pPr>
      <w:r>
        <w:t>21. Transfers</w:t>
      </w:r>
    </w:p>
    <w:p>
      <w:pPr/>
      <w:r>
        <w:t>The member may transfer, assign, pledge, or sell all or part of the member's interest only by signed written instrument. Any transfer should be recorded in the company records.</w:t>
      </w:r>
    </w:p>
    <w:p>
      <w:pPr>
        <w:pStyle w:val="Heading1"/>
      </w:pPr>
      <w:r>
        <w:t>22. Admission Of Additional Members</w:t>
      </w:r>
    </w:p>
    <w:p>
      <w:pPr/>
      <w:r>
        <w:t>Additional members may be admitted only through a written amendment or joinder signed by the existing member and the new member. The written record should specify ownership, contributions, voting rights, tax allocations, management rights, transfer rules, and buyout terms.</w:t>
      </w:r>
    </w:p>
    <w:p>
      <w:pPr>
        <w:pStyle w:val="Heading1"/>
      </w:pPr>
      <w:r>
        <w:t>23. Dissolution</w:t>
      </w:r>
    </w:p>
    <w:p>
      <w:pPr/>
      <w:r>
        <w:t>The company may be dissolved by written decision of the member or as otherwise required by law. Upon dissolution, company assets will be used first to pay debts and obligations, then reserves, then remaining assets will be distributed to the member according to ownership.</w:t>
      </w:r>
    </w:p>
    <w:p>
      <w:pPr>
        <w:pStyle w:val="Heading1"/>
      </w:pPr>
      <w:r>
        <w:t>24. Amendments</w:t>
      </w:r>
    </w:p>
    <w:p>
      <w:pPr/>
      <w:r>
        <w:t>This agreement may be amended only by signed written instrument approved by the member.</w:t>
      </w:r>
    </w:p>
    <w:p>
      <w:pPr>
        <w:pStyle w:val="Heading1"/>
      </w:pPr>
      <w:r>
        <w:t>25. Governing Law</w:t>
      </w:r>
    </w:p>
    <w:p>
      <w:pPr/>
      <w:r>
        <w:t>This agreement is governed by the laws of the State of New York.</w:t>
      </w:r>
    </w:p>
    <w:p>
      <w:pPr>
        <w:pStyle w:val="Heading1"/>
      </w:pPr>
      <w:r>
        <w:t>26. Signature</w:t>
      </w:r>
    </w:p>
    <w:p>
      <w:pPr/>
      <w:r>
        <w:t>By signing below, the member adopts this Operating Agreement for MLADIS LLC.</w:t>
      </w:r>
    </w:p>
    <w:p>
      <w:pPr/>
      <w:r>
        <w:t>Member:</w:t>
      </w:r>
    </w:p>
    <w:p>
      <w:pPr/>
      <w:r>
        <w:t>Signature: /s/ Piter Zacari Garcia Bautista</w:t>
      </w:r>
    </w:p>
    <w:p>
      <w:pPr/>
      <w:r>
        <w:t>Name: Piter Zacari Garcia Bautista</w:t>
      </w:r>
    </w:p>
    <w:p>
      <w:pPr/>
      <w:r>
        <w:t>Date: June 3, 2026</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