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operating-agreement-of-mladis-llc"/>
    <w:p>
      <w:pPr>
        <w:pStyle w:val="Heading1"/>
      </w:pPr>
      <w:r>
        <w:t xml:space="preserve">Operating Agreement Of MLADIS LLC</w:t>
      </w:r>
    </w:p>
    <w:p>
      <w:pPr>
        <w:pStyle w:val="FirstParagraph"/>
      </w:pPr>
      <w:r>
        <w:t xml:space="preserve">Draft for review. Not legal advice. Do not sign until the assumptions are correct.</w:t>
      </w:r>
    </w:p>
    <w:p>
      <w:pPr>
        <w:pStyle w:val="BodyText"/>
      </w:pPr>
      <w:r>
        <w:t xml:space="preserve">This Operating Agreement is entered into as of ____________, 2026 by Piter Zacari Garcia Bautista, as the sole member of MLADIS LLC, a New York limited liability company.</w:t>
      </w:r>
    </w:p>
    <w:bookmarkStart w:id="9" w:name="formation"/>
    <w:p>
      <w:pPr>
        <w:pStyle w:val="Heading2"/>
      </w:pPr>
      <w:r>
        <w:t xml:space="preserve">1. Formation</w:t>
      </w:r>
    </w:p>
    <w:p>
      <w:pPr>
        <w:pStyle w:val="FirstParagraph"/>
      </w:pPr>
      <w:r>
        <w:t xml:space="preserve">MLADIS LLC was formed as a New York domestic limited liability company by filing Articles of Organization with the New York Department of State. The New York Business Express portal shows the Articles of Organization application</w:t>
      </w:r>
      <w:r>
        <w:t xml:space="preserve"> </w:t>
      </w:r>
      <w:r>
        <w:rPr>
          <w:rStyle w:val="VerbatimChar"/>
        </w:rPr>
        <w:t xml:space="preserve">DOS1336-2026-029778</w:t>
      </w:r>
      <w:r>
        <w:t xml:space="preserve"> </w:t>
      </w:r>
      <w:r>
        <w:t xml:space="preserve">as approved on 2026-06-03.</w:t>
      </w:r>
    </w:p>
    <w:bookmarkEnd w:id="9"/>
    <w:bookmarkStart w:id="10" w:name="name"/>
    <w:p>
      <w:pPr>
        <w:pStyle w:val="Heading2"/>
      </w:pPr>
      <w:r>
        <w:t xml:space="preserve">2. Name</w:t>
      </w:r>
    </w:p>
    <w:p>
      <w:pPr>
        <w:pStyle w:val="FirstParagraph"/>
      </w:pPr>
      <w:r>
        <w:t xml:space="preserve">The name of the company is MLADIS LLC.</w:t>
      </w:r>
    </w:p>
    <w:bookmarkEnd w:id="10"/>
    <w:bookmarkStart w:id="11" w:name="principal-office-and-records"/>
    <w:p>
      <w:pPr>
        <w:pStyle w:val="Heading2"/>
      </w:pPr>
      <w:r>
        <w:t xml:space="preserve">3. Principal Office And Records</w:t>
      </w:r>
    </w:p>
    <w:p>
      <w:pPr>
        <w:pStyle w:val="FirstParagraph"/>
      </w:pPr>
      <w:r>
        <w:t xml:space="preserve">The company will maintain its principal business records at the address selected by the member, currently:</w:t>
      </w:r>
    </w:p>
    <w:p>
      <w:pPr>
        <w:pStyle w:val="BodyText"/>
      </w:pPr>
      <w:r>
        <w:t xml:space="preserve">109-19 72nd Rd., Apt 5H, Forest Hills, NY 11375.</w:t>
      </w:r>
    </w:p>
    <w:p>
      <w:pPr>
        <w:pStyle w:val="BodyText"/>
      </w:pPr>
      <w:r>
        <w:t xml:space="preserve">The member may change the records location without amending this agreement. The company will keep the records required by New York law, including Articles of Organization, amendments, this Operating Agreement, tax records, member records, and financial records.</w:t>
      </w:r>
    </w:p>
    <w:bookmarkEnd w:id="11"/>
    <w:bookmarkStart w:id="12" w:name="purpose"/>
    <w:p>
      <w:pPr>
        <w:pStyle w:val="Heading2"/>
      </w:pPr>
      <w:r>
        <w:t xml:space="preserve">4. Purpose</w:t>
      </w:r>
    </w:p>
    <w:p>
      <w:pPr>
        <w:pStyle w:val="FirstParagraph"/>
      </w:pPr>
      <w:r>
        <w:t xml:space="preserve">The company may engage in any lawful act or activity for which a limited liability company may be organized under New York law.</w:t>
      </w:r>
    </w:p>
    <w:p>
      <w:pPr>
        <w:pStyle w:val="BodyText"/>
      </w:pPr>
      <w:r>
        <w:t xml:space="preserve">The current intended business activities include, without limitation:</w:t>
      </w:r>
    </w:p>
    <w:p>
      <w:pPr>
        <w:pStyle w:val="Compact"/>
        <w:numPr>
          <w:ilvl w:val="0"/>
          <w:numId w:val="1001"/>
        </w:numPr>
      </w:pPr>
      <w:r>
        <w:t xml:space="preserve">Vacation rental and direct-booking operations.</w:t>
      </w:r>
    </w:p>
    <w:p>
      <w:pPr>
        <w:pStyle w:val="Compact"/>
        <w:numPr>
          <w:ilvl w:val="0"/>
          <w:numId w:val="1001"/>
        </w:numPr>
      </w:pPr>
      <w:r>
        <w:t xml:space="preserve">Hospitality, reservation, deposit, invoice, and guest-support workflows.</w:t>
      </w:r>
    </w:p>
    <w:p>
      <w:pPr>
        <w:pStyle w:val="Compact"/>
        <w:numPr>
          <w:ilvl w:val="0"/>
          <w:numId w:val="1001"/>
        </w:numPr>
      </w:pPr>
      <w:r>
        <w:t xml:space="preserve">AI-assisted customer service and business automation.</w:t>
      </w:r>
    </w:p>
    <w:p>
      <w:pPr>
        <w:pStyle w:val="Compact"/>
        <w:numPr>
          <w:ilvl w:val="0"/>
          <w:numId w:val="1001"/>
        </w:numPr>
      </w:pPr>
      <w:r>
        <w:t xml:space="preserve">Software, data, analytics, and agent systems supporting booking, operations, and business management.</w:t>
      </w:r>
    </w:p>
    <w:p>
      <w:pPr>
        <w:pStyle w:val="Compact"/>
        <w:numPr>
          <w:ilvl w:val="0"/>
          <w:numId w:val="1001"/>
        </w:numPr>
      </w:pPr>
      <w:r>
        <w:t xml:space="preserve">Related charitable, promotional, educational, and technology initiatives approved by the member.</w:t>
      </w:r>
    </w:p>
    <w:bookmarkEnd w:id="12"/>
    <w:bookmarkStart w:id="13" w:name="term"/>
    <w:p>
      <w:pPr>
        <w:pStyle w:val="Heading2"/>
      </w:pPr>
      <w:r>
        <w:t xml:space="preserve">5. Term</w:t>
      </w:r>
    </w:p>
    <w:p>
      <w:pPr>
        <w:pStyle w:val="FirstParagraph"/>
      </w:pPr>
      <w:r>
        <w:t xml:space="preserve">The company will continue until dissolved under this agreement or applicable law.</w:t>
      </w:r>
    </w:p>
    <w:bookmarkEnd w:id="13"/>
    <w:bookmarkStart w:id="14" w:name="member"/>
    <w:p>
      <w:pPr>
        <w:pStyle w:val="Heading2"/>
      </w:pPr>
      <w:r>
        <w:t xml:space="preserve">6. Member</w:t>
      </w:r>
    </w:p>
    <w:p>
      <w:pPr>
        <w:pStyle w:val="FirstParagraph"/>
      </w:pPr>
      <w:r>
        <w:t xml:space="preserve">The sole initial member is: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Member</w:t>
            </w:r>
          </w:p>
        </w:tc>
        <w:tc>
          <w:tcPr/>
          <w:p>
            <w:pPr>
              <w:pStyle w:val="Compact"/>
            </w:pPr>
            <w:r>
              <w:t xml:space="preserve">Address</w:t>
            </w:r>
          </w:p>
        </w:tc>
        <w:tc>
          <w:tcPr/>
          <w:p>
            <w:pPr>
              <w:pStyle w:val="Compact"/>
            </w:pPr>
            <w:r>
              <w:t xml:space="preserve">Ownership</w:t>
            </w:r>
          </w:p>
        </w:tc>
      </w:tr>
      <w:tr>
        <w:tc>
          <w:tcPr/>
          <w:p>
            <w:pPr>
              <w:pStyle w:val="Compact"/>
            </w:pPr>
            <w:r>
              <w:t xml:space="preserve">Piter Zacari Garcia Bautista</w:t>
            </w:r>
          </w:p>
        </w:tc>
        <w:tc>
          <w:tcPr/>
          <w:p>
            <w:pPr>
              <w:pStyle w:val="Compact"/>
            </w:pPr>
            <w:r>
              <w:t xml:space="preserve">109-19 72nd Rd., Apt 5H, Forest Hills, NY 11375</w:t>
            </w:r>
          </w:p>
        </w:tc>
        <w:tc>
          <w:tcPr/>
          <w:p>
            <w:pPr>
              <w:pStyle w:val="Compact"/>
            </w:pPr>
            <w:r>
              <w:t xml:space="preserve">100%</w:t>
            </w:r>
          </w:p>
        </w:tc>
      </w:tr>
    </w:tbl>
    <w:p>
      <w:pPr>
        <w:pStyle w:val="BodyText"/>
      </w:pPr>
      <w:r>
        <w:t xml:space="preserve">No additional member may be admitted unless approved in a signed written instrument by the member.</w:t>
      </w:r>
    </w:p>
    <w:bookmarkEnd w:id="14"/>
    <w:bookmarkStart w:id="15" w:name="management"/>
    <w:p>
      <w:pPr>
        <w:pStyle w:val="Heading2"/>
      </w:pPr>
      <w:r>
        <w:t xml:space="preserve">7. Management</w:t>
      </w:r>
    </w:p>
    <w:p>
      <w:pPr>
        <w:pStyle w:val="FirstParagraph"/>
      </w:pPr>
      <w:r>
        <w:t xml:space="preserve">The company is member-managed. The member has full authority to manage company affairs, sign contracts, open and manage bank accounts, approve vendors, hire service providers, manage technology systems, register domains, maintain booking platforms, configure payment processors, and take any lawful action on behalf of the company.</w:t>
      </w:r>
    </w:p>
    <w:p>
      <w:pPr>
        <w:pStyle w:val="BodyText"/>
      </w:pPr>
      <w:r>
        <w:t xml:space="preserve">The member may delegate operational tasks to employees, contractors, agents, software systems, or automation tools. Delegation does not remove the member’s ultimate management authority.</w:t>
      </w:r>
    </w:p>
    <w:bookmarkEnd w:id="15"/>
    <w:bookmarkStart w:id="16" w:name="capital-contributions"/>
    <w:p>
      <w:pPr>
        <w:pStyle w:val="Heading2"/>
      </w:pPr>
      <w:r>
        <w:t xml:space="preserve">8. Capital Contributions</w:t>
      </w:r>
    </w:p>
    <w:p>
      <w:pPr>
        <w:pStyle w:val="FirstParagraph"/>
      </w:pPr>
      <w:r>
        <w:t xml:space="preserve">The member may contribute cash, property, services, software, intellectual property, domain assets, business records, or other value to the company. Contributions and reimbursements should be recorded in the company books.</w:t>
      </w:r>
    </w:p>
    <w:p>
      <w:pPr>
        <w:pStyle w:val="BodyText"/>
      </w:pPr>
      <w:r>
        <w:t xml:space="preserve">No member is required to make additional capital contributions unless the member agrees in writing.</w:t>
      </w:r>
    </w:p>
    <w:bookmarkEnd w:id="16"/>
    <w:bookmarkStart w:id="17" w:name="profits-losses-and-distributions"/>
    <w:p>
      <w:pPr>
        <w:pStyle w:val="Heading2"/>
      </w:pPr>
      <w:r>
        <w:t xml:space="preserve">9. Profits, Losses, And Distributions</w:t>
      </w:r>
    </w:p>
    <w:p>
      <w:pPr>
        <w:pStyle w:val="FirstParagraph"/>
      </w:pPr>
      <w:r>
        <w:t xml:space="preserve">Profits, losses, and distributions belong to the member in proportion to ownership. Because this is currently a single-member company, all profits, losses, and distributions belong to Piter Zacari Garcia Bautista unless a later written amendment changes ownership.</w:t>
      </w:r>
    </w:p>
    <w:p>
      <w:pPr>
        <w:pStyle w:val="BodyText"/>
      </w:pPr>
      <w:r>
        <w:t xml:space="preserve">Distributions may be made when the member determines they are appropriate, subject to business cash needs, reserves, debts, taxes, refunds, chargebacks, deposits, and applicable law.</w:t>
      </w:r>
    </w:p>
    <w:bookmarkEnd w:id="17"/>
    <w:bookmarkStart w:id="18" w:name="tax-treatment"/>
    <w:p>
      <w:pPr>
        <w:pStyle w:val="Heading2"/>
      </w:pPr>
      <w:r>
        <w:t xml:space="preserve">10. Tax Treatment</w:t>
      </w:r>
    </w:p>
    <w:p>
      <w:pPr>
        <w:pStyle w:val="FirstParagraph"/>
      </w:pPr>
      <w:r>
        <w:t xml:space="preserve">Unless the member makes a valid tax election, the company is expected to be treated under default federal tax rules for a single-member LLC. The member may approve a different tax election after review with a qualified tax professional.</w:t>
      </w:r>
    </w:p>
    <w:p>
      <w:pPr>
        <w:pStyle w:val="BodyText"/>
      </w:pPr>
      <w:r>
        <w:t xml:space="preserve">The company will use a calendar tax year unless another fiscal year is approved and allowed by law.</w:t>
      </w:r>
    </w:p>
    <w:bookmarkEnd w:id="18"/>
    <w:bookmarkStart w:id="19" w:name="bank-accounts-and-funds"/>
    <w:p>
      <w:pPr>
        <w:pStyle w:val="Heading2"/>
      </w:pPr>
      <w:r>
        <w:t xml:space="preserve">11. Bank Accounts And Funds</w:t>
      </w:r>
    </w:p>
    <w:p>
      <w:pPr>
        <w:pStyle w:val="FirstParagraph"/>
      </w:pPr>
      <w:r>
        <w:t xml:space="preserve">Company funds should be held in accounts under the company’s legal name when practical. Personal and company funds should be kept separate.</w:t>
      </w:r>
    </w:p>
    <w:p>
      <w:pPr>
        <w:pStyle w:val="BodyText"/>
      </w:pPr>
      <w:r>
        <w:t xml:space="preserve">The company may maintain reserves for:</w:t>
      </w:r>
    </w:p>
    <w:p>
      <w:pPr>
        <w:pStyle w:val="Compact"/>
        <w:numPr>
          <w:ilvl w:val="0"/>
          <w:numId w:val="1002"/>
        </w:numPr>
      </w:pPr>
      <w:r>
        <w:t xml:space="preserve">Customer refunds and cancellations.</w:t>
      </w:r>
    </w:p>
    <w:p>
      <w:pPr>
        <w:pStyle w:val="Compact"/>
        <w:numPr>
          <w:ilvl w:val="0"/>
          <w:numId w:val="1002"/>
        </w:numPr>
      </w:pPr>
      <w:r>
        <w:t xml:space="preserve">Damage deposits and deposit releases.</w:t>
      </w:r>
    </w:p>
    <w:p>
      <w:pPr>
        <w:pStyle w:val="Compact"/>
        <w:numPr>
          <w:ilvl w:val="0"/>
          <w:numId w:val="1002"/>
        </w:numPr>
      </w:pPr>
      <w:r>
        <w:t xml:space="preserve">Chargebacks and payment processor disputes.</w:t>
      </w:r>
    </w:p>
    <w:p>
      <w:pPr>
        <w:pStyle w:val="Compact"/>
        <w:numPr>
          <w:ilvl w:val="0"/>
          <w:numId w:val="1002"/>
        </w:numPr>
      </w:pPr>
      <w:r>
        <w:t xml:space="preserve">Cleaning, maintenance, repairs, supplies, utilities, software, hosting, and marketing.</w:t>
      </w:r>
    </w:p>
    <w:p>
      <w:pPr>
        <w:pStyle w:val="Compact"/>
        <w:numPr>
          <w:ilvl w:val="0"/>
          <w:numId w:val="1002"/>
        </w:numPr>
      </w:pPr>
      <w:r>
        <w:t xml:space="preserve">Taxes, publication costs, compliance costs, legal/accounting fees, and insurance.</w:t>
      </w:r>
    </w:p>
    <w:p>
      <w:pPr>
        <w:pStyle w:val="Compact"/>
        <w:numPr>
          <w:ilvl w:val="0"/>
          <w:numId w:val="1002"/>
        </w:numPr>
      </w:pPr>
      <w:r>
        <w:t xml:space="preserve">Charitable or mission-related donations approved by the member.</w:t>
      </w:r>
    </w:p>
    <w:bookmarkEnd w:id="19"/>
    <w:bookmarkStart w:id="20" w:name="customer-deposits-payments-and-refunds"/>
    <w:p>
      <w:pPr>
        <w:pStyle w:val="Heading2"/>
      </w:pPr>
      <w:r>
        <w:t xml:space="preserve">12. Customer Deposits, Payments, And Refunds</w:t>
      </w:r>
    </w:p>
    <w:p>
      <w:pPr>
        <w:pStyle w:val="FirstParagraph"/>
      </w:pPr>
      <w:r>
        <w:t xml:space="preserve">The company may collect direct-booking payments, security deposits, payment holds, extra bills, cleaning fees, penalties, and other charges through approved payment processors.</w:t>
      </w:r>
    </w:p>
    <w:p>
      <w:pPr>
        <w:pStyle w:val="BodyText"/>
      </w:pPr>
      <w:r>
        <w:t xml:space="preserve">Customer-facing policies must clearly disclose payment terms, cancellation terms, refund rules, deposit hold/release rules, house rules, and any extra-bill practices before payment is accepted.</w:t>
      </w:r>
    </w:p>
    <w:bookmarkEnd w:id="20"/>
    <w:bookmarkStart w:id="21" w:name="ai-agents-automation-and-customer-data"/>
    <w:p>
      <w:pPr>
        <w:pStyle w:val="Heading2"/>
      </w:pPr>
      <w:r>
        <w:t xml:space="preserve">13. AI Agents, Automation, And Customer Data</w:t>
      </w:r>
    </w:p>
    <w:p>
      <w:pPr>
        <w:pStyle w:val="FirstParagraph"/>
      </w:pPr>
      <w:r>
        <w:t xml:space="preserve">The company may use AI agents, calendar integrations, email automation, analytics, and other software to operate the business. These systems must be configured to protect customer data and should operate under least-privilege access where practical.</w:t>
      </w:r>
    </w:p>
    <w:p>
      <w:pPr>
        <w:pStyle w:val="BodyText"/>
      </w:pPr>
      <w:r>
        <w:t xml:space="preserve">Sensitive credentials, API keys, OAuth secrets, bank details, tax IDs, identity documents, and payment card data must not be committed to public code repositories.</w:t>
      </w:r>
    </w:p>
    <w:p>
      <w:pPr>
        <w:pStyle w:val="BodyText"/>
      </w:pPr>
      <w:r>
        <w:t xml:space="preserve">Customer marketing communications should require appropriate consent and opt-out controls.</w:t>
      </w:r>
    </w:p>
    <w:bookmarkEnd w:id="21"/>
    <w:bookmarkStart w:id="22" w:name="intellectual-property-and-brand-assets"/>
    <w:p>
      <w:pPr>
        <w:pStyle w:val="Heading2"/>
      </w:pPr>
      <w:r>
        <w:t xml:space="preserve">14. Intellectual Property And Brand Assets</w:t>
      </w:r>
    </w:p>
    <w:p>
      <w:pPr>
        <w:pStyle w:val="FirstParagraph"/>
      </w:pPr>
      <w:r>
        <w:t xml:space="preserve">Company-created software, data models, website designs, booking workflows, documentation, logos, trademarks, domain configuration, and operational systems created for MLADIS business purposes are company assets unless a written agreement says otherwise.</w:t>
      </w:r>
    </w:p>
    <w:p>
      <w:pPr>
        <w:pStyle w:val="BodyText"/>
      </w:pPr>
      <w:r>
        <w:t xml:space="preserve">The member may license, assign, or transfer intellectual property to or from the company through written records.</w:t>
      </w:r>
    </w:p>
    <w:bookmarkEnd w:id="22"/>
    <w:bookmarkStart w:id="23" w:name="agents-contractors-and-vendors"/>
    <w:p>
      <w:pPr>
        <w:pStyle w:val="Heading2"/>
      </w:pPr>
      <w:r>
        <w:t xml:space="preserve">15. Agents, Contractors, And Vendors</w:t>
      </w:r>
    </w:p>
    <w:p>
      <w:pPr>
        <w:pStyle w:val="FirstParagraph"/>
      </w:pPr>
      <w:r>
        <w:t xml:space="preserve">The member may engage contractors, accountants, lawyers, agencies, software vendors, payment providers, hosting providers, cleaning services, repair vendors, photographers, marketing providers, and other service providers.</w:t>
      </w:r>
    </w:p>
    <w:p>
      <w:pPr>
        <w:pStyle w:val="BodyText"/>
      </w:pPr>
      <w:r>
        <w:t xml:space="preserve">Material vendor relationships should be documented with invoices, receipts, contracts, or written notes.</w:t>
      </w:r>
    </w:p>
    <w:bookmarkEnd w:id="23"/>
    <w:bookmarkStart w:id="24" w:name="limitation-of-liability"/>
    <w:p>
      <w:pPr>
        <w:pStyle w:val="Heading2"/>
      </w:pPr>
      <w:r>
        <w:t xml:space="preserve">16. Limitation Of Liability</w:t>
      </w:r>
    </w:p>
    <w:p>
      <w:pPr>
        <w:pStyle w:val="FirstParagraph"/>
      </w:pPr>
      <w:r>
        <w:t xml:space="preserve">The member is not personally liable for the debts, obligations, or liabilities of the company solely by reason of being a member, except as provided by applicable law.</w:t>
      </w:r>
    </w:p>
    <w:p>
      <w:pPr>
        <w:pStyle w:val="BodyText"/>
      </w:pPr>
      <w:r>
        <w:t xml:space="preserve">The company should maintain separate records, accounts, and operations to support the limited-liability structure.</w:t>
      </w:r>
    </w:p>
    <w:bookmarkEnd w:id="24"/>
    <w:bookmarkStart w:id="25" w:name="indemnification"/>
    <w:p>
      <w:pPr>
        <w:pStyle w:val="Heading2"/>
      </w:pPr>
      <w:r>
        <w:t xml:space="preserve">17. Indemnification</w:t>
      </w:r>
    </w:p>
    <w:p>
      <w:pPr>
        <w:pStyle w:val="FirstParagraph"/>
      </w:pPr>
      <w:r>
        <w:t xml:space="preserve">To the fullest extent permitted by law, the company may indemnify the member, managers, officers, agents, employees, contractors, or authorized representatives for actions taken in good faith on behalf of the company.</w:t>
      </w:r>
    </w:p>
    <w:bookmarkEnd w:id="25"/>
    <w:bookmarkStart w:id="26" w:name="transfers"/>
    <w:p>
      <w:pPr>
        <w:pStyle w:val="Heading2"/>
      </w:pPr>
      <w:r>
        <w:t xml:space="preserve">18. Transfers</w:t>
      </w:r>
    </w:p>
    <w:p>
      <w:pPr>
        <w:pStyle w:val="FirstParagraph"/>
      </w:pPr>
      <w:r>
        <w:t xml:space="preserve">The member may transfer, assign, pledge, or sell all or part of the member’s interest only by signed written instrument. Any transfer should be recorded in the company records.</w:t>
      </w:r>
    </w:p>
    <w:bookmarkEnd w:id="26"/>
    <w:bookmarkStart w:id="27" w:name="admission-of-additional-members"/>
    <w:p>
      <w:pPr>
        <w:pStyle w:val="Heading2"/>
      </w:pPr>
      <w:r>
        <w:t xml:space="preserve">19. Admission Of Additional Members</w:t>
      </w:r>
    </w:p>
    <w:p>
      <w:pPr>
        <w:pStyle w:val="FirstParagraph"/>
      </w:pPr>
      <w:r>
        <w:t xml:space="preserve">Additional members may be admitted only through a written amendment or joinder signed by the existing member and the new member. The written record should specify ownership, contributions, voting rights, tax allocations, management rights, transfer rules, and buyout terms.</w:t>
      </w:r>
    </w:p>
    <w:bookmarkEnd w:id="27"/>
    <w:bookmarkStart w:id="28" w:name="dissolution"/>
    <w:p>
      <w:pPr>
        <w:pStyle w:val="Heading2"/>
      </w:pPr>
      <w:r>
        <w:t xml:space="preserve">20. Dissolution</w:t>
      </w:r>
    </w:p>
    <w:p>
      <w:pPr>
        <w:pStyle w:val="FirstParagraph"/>
      </w:pPr>
      <w:r>
        <w:t xml:space="preserve">The company may be dissolved by written decision of the member or as otherwise required by law. Upon dissolution, company assets will be used first to pay debts and obligations, then reserves, then remaining assets will be distributed to the member according to ownership.</w:t>
      </w:r>
    </w:p>
    <w:bookmarkEnd w:id="28"/>
    <w:bookmarkStart w:id="29" w:name="amendments"/>
    <w:p>
      <w:pPr>
        <w:pStyle w:val="Heading2"/>
      </w:pPr>
      <w:r>
        <w:t xml:space="preserve">21. Amendments</w:t>
      </w:r>
    </w:p>
    <w:p>
      <w:pPr>
        <w:pStyle w:val="FirstParagraph"/>
      </w:pPr>
      <w:r>
        <w:t xml:space="preserve">This agreement may be amended only by signed written instrument approved by the member.</w:t>
      </w:r>
    </w:p>
    <w:bookmarkEnd w:id="29"/>
    <w:bookmarkStart w:id="30" w:name="governing-law"/>
    <w:p>
      <w:pPr>
        <w:pStyle w:val="Heading2"/>
      </w:pPr>
      <w:r>
        <w:t xml:space="preserve">22. Governing Law</w:t>
      </w:r>
    </w:p>
    <w:p>
      <w:pPr>
        <w:pStyle w:val="FirstParagraph"/>
      </w:pPr>
      <w:r>
        <w:t xml:space="preserve">This agreement is governed by the laws of the State of New York.</w:t>
      </w:r>
    </w:p>
    <w:bookmarkEnd w:id="30"/>
    <w:bookmarkStart w:id="31" w:name="signature"/>
    <w:p>
      <w:pPr>
        <w:pStyle w:val="Heading2"/>
      </w:pPr>
      <w:r>
        <w:t xml:space="preserve">23. Signature</w:t>
      </w:r>
    </w:p>
    <w:p>
      <w:pPr>
        <w:pStyle w:val="FirstParagraph"/>
      </w:pPr>
      <w:r>
        <w:t xml:space="preserve">By signing below, the member adopts this Operating Agreement for MLADIS LLC.</w:t>
      </w:r>
    </w:p>
    <w:p>
      <w:pPr>
        <w:pStyle w:val="BodyText"/>
      </w:pPr>
      <w:r>
        <w:t xml:space="preserve">Member:</w:t>
      </w:r>
    </w:p>
    <w:p>
      <w:pPr>
        <w:pStyle w:val="BodyText"/>
      </w:pPr>
      <w:r>
        <w:t xml:space="preserve">Signature: ___________________________________________</w:t>
      </w:r>
    </w:p>
    <w:p>
      <w:pPr>
        <w:pStyle w:val="BodyText"/>
      </w:pPr>
      <w:r>
        <w:t xml:space="preserve">Name: Piter Zacari Garcia Bautista</w:t>
      </w:r>
    </w:p>
    <w:p>
      <w:pPr>
        <w:pStyle w:val="BodyText"/>
      </w:pPr>
      <w:r>
        <w:t xml:space="preserve">Date: _______________________________________________</w:t>
      </w:r>
    </w:p>
    <w:bookmarkEnd w:id="31"/>
    <w:bookmarkEnd w:id="3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2026-06-03T07:48:45Z</dcterms:created>
  <dcterms:modified xsi:type="dcterms:W3CDTF">2026-06-03T07:48:45Z</dcterms:modified>
</cp:coreProperties>
</file>

<file path=docProps/custom.xml><?xml version="1.0" encoding="utf-8"?>
<Properties xmlns="http://schemas.openxmlformats.org/officeDocument/2006/custom-properties" xmlns:vt="http://schemas.openxmlformats.org/officeDocument/2006/docPropsVTypes"/>
</file>