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Statement of Grant Purpose - Spain ETA</w:t>
      </w:r>
    </w:p>
    <w:p>
      <w:pPr>
        <w:jc w:val="center"/>
      </w:pPr>
      <w:r>
        <w:rPr>
          <w:rFonts w:ascii="Arial" w:hAnsi="Arial"/>
          <w:sz w:val="22"/>
        </w:rPr>
        <w:t>Piter Garcia Bautista</w:t>
      </w:r>
    </w:p>
    <w:p>
      <w:r>
        <w:t>I prefer an urban secondary placement in the Comunidad de Madrid, followed by secondary or vocational placements in Galicia and then La Rioja. However, I remain flexible about all placement positions. I seek a Fulbright ETA because learning English changed how I make my knowledge and identities visible and advocate for myself and others. I was educated in Spanish in the Dominican Republic through secondary school, where I learnt basic English. After moving to New York for college, I had to think, advocate, and build relationships in English. I aspire to be the communication bridge I once needed, helping students, including neurodivergent learners, use English without surrendering identity or voice. These regions extend English beyond the language classroom: Madrid's Global Classrooms uses it for civic debate; Galicia's plurilingual schools integrate it across subjects; and vocational placements in Galicia and La Rioja use English in professional contexts.</w:t>
      </w:r>
    </w:p>
    <w:p>
      <w:r>
        <w:t>I am completing M.S. degrees in Teaching Computer Science (CS) K-12 at the University of Rochester and Data Science at Rochester Institute of Technology. Teaching in a K-5 CS placement, a middle-school science classroom, and an environmental-science camp showed me that language load, unfamiliar interfaces, executive-function demands, or fear of error can obscure competence. I use backward design and Universal Design for Learning: clear goals, modeled steps, multimodal directions, vocabulary support, partner roles, and varied participation. These choices build access, confidence, and agency. With my host teacher, I would use school-approved AI as a low-stakes English rehearsal partner, never a substitute for human exchange. Using my Ask, Check, Choose, Change, and Explain routine, pairs would compare AI recommendations on whether U.S. and Spanish schools should personalize learning; rehearse by audio, text, or labeled sketches; question each output's assumptions; and revise a one-minute recommendation after peer feedback. I would share my Dominican American and neurodivergent experience as one U.S. perspective among many.</w:t>
      </w:r>
    </w:p>
    <w:p>
      <w:r>
        <w:t>I would adapt grouping, directions, pacing, and technology to students' proficiency, local interests, and the host curriculum; ask before assuming; welcome feedback; and, with my host teacher, use student feedback and school-approved family input to refine lessons. To supplement my ETA duties, I would pursue a host-approved supplemental project on designing access before failure where neurodivergence, chronic illness, language, culture, and multiple identities intersect. Depending on placement, I would learn from Madrid's Plan IncluYO, Galicia's Proxectos de Inclusión Educativa, or La Rioja's autism, homebound, and late-entry language supports through public documents and conversations with willing adult educators. If invited, I would co-create a bilingual, low-cost access map pairing barriers with strategies for local and Rochester educators to adapt.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