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ind w:left="720" w:right="720"/>
        <w:jc w:val="center"/>
      </w:pPr>
      <w:r>
        <w:rPr>
          <w:rFonts w:ascii="Times New Roman" w:hAnsi="Times New Roman" w:eastAsia="Times New Roman"/>
          <w:b/>
          <w:sz w:val="36"/>
        </w:rPr>
        <w:t>NGS Reanalysis Study on Global DEG Discovery in a DRG Mouse Dataset</w:t>
      </w:r>
    </w:p>
    <w:p>
      <w:pPr>
        <w:pStyle w:val="Subtitle"/>
        <w:jc w:val="center"/>
      </w:pPr>
      <w:r>
        <w:rPr>
          <w:rFonts w:ascii="Times New Roman" w:hAnsi="Times New Roman" w:eastAsia="Times New Roman"/>
          <w:i/>
          <w:sz w:val="24"/>
        </w:rPr>
        <w:t>BIOL550 Group Paper</w:t>
      </w:r>
    </w:p>
    <w:p>
      <w:pPr>
        <w:pStyle w:val="Subtitle"/>
        <w:jc w:val="center"/>
      </w:pPr>
      <w:r>
        <w:rPr>
          <w:rFonts w:ascii="Times New Roman" w:hAnsi="Times New Roman" w:eastAsia="Times New Roman"/>
          <w:i/>
          <w:sz w:val="24"/>
        </w:rPr>
        <w:t>Draft 2 Research Paper</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Authors</w:t>
      </w:r>
    </w:p>
    <w:p>
      <w:pPr>
        <w:jc w:val="center"/>
      </w:pPr>
      <w:r>
        <w:rPr>
          <w:rFonts w:ascii="Times New Roman" w:hAnsi="Times New Roman" w:eastAsia="Times New Roman"/>
          <w:sz w:val="24"/>
          <w:shd w:val="clear" w:color="auto" w:fill="B4A7D6"/>
        </w:rPr>
        <w:t>Nikhi Boggavarapu</w:t>
      </w:r>
    </w:p>
    <w:p>
      <w:pPr>
        <w:jc w:val="center"/>
      </w:pPr>
      <w:r>
        <w:rPr>
          <w:rFonts w:ascii="Times New Roman" w:hAnsi="Times New Roman" w:eastAsia="Times New Roman"/>
          <w:sz w:val="24"/>
          <w:shd w:val="clear" w:color="auto" w:fill="6AA84F"/>
        </w:rPr>
        <w:t>Sam Kopelev</w:t>
      </w:r>
    </w:p>
    <w:p>
      <w:pPr>
        <w:jc w:val="center"/>
      </w:pPr>
      <w:r>
        <w:rPr>
          <w:rFonts w:ascii="Times New Roman" w:hAnsi="Times New Roman" w:eastAsia="Times New Roman"/>
          <w:sz w:val="24"/>
          <w:shd w:val="clear" w:color="auto" w:fill="F4CCCC"/>
        </w:rPr>
        <w:t>Piter Garcia</w:t>
      </w:r>
    </w:p>
    <w:p>
      <w:pPr>
        <w:jc w:val="center"/>
      </w:pPr>
      <w:r>
        <w:rPr>
          <w:rFonts w:ascii="Times New Roman" w:hAnsi="Times New Roman" w:eastAsia="Times New Roman"/>
          <w:sz w:val="24"/>
        </w:rPr>
      </w:r>
    </w:p>
    <w:p>
      <w:pPr>
        <w:pStyle w:val="Heading2"/>
        <w:jc w:val="center"/>
      </w:pPr>
      <w:r>
        <w:rPr>
          <w:rFonts w:ascii="Times New Roman" w:hAnsi="Times New Roman" w:eastAsia="Times New Roman"/>
          <w:b/>
          <w:sz w:val="24"/>
        </w:rPr>
        <w:t>Author Contribution Reference</w:t>
      </w:r>
    </w:p>
    <w:p>
      <w:pPr>
        <w:jc w:val="center"/>
      </w:pPr>
      <w:r>
        <w:rPr>
          <w:rFonts w:ascii="Times New Roman" w:hAnsi="Times New Roman" w:eastAsia="Times New Roman"/>
          <w:sz w:val="24"/>
        </w:rPr>
        <w:t>This working draft is submitted as a collaborative BIOL550 group paper with contributions attributed to Nikhi Boggavarapu, Sam Kopelev, and Piter Garcia.</w:t>
      </w:r>
    </w:p>
    <w:p>
      <w:pPr>
        <w:jc w:val="center"/>
      </w:pPr>
      <w:r>
        <w:br w:type="page"/>
      </w:r>
    </w:p>
    <w:p w:rsidR="00000000" w:rsidDel="00000000" w:rsidP="00000000" w:rsidRDefault="00000000" w:rsidRPr="00000000" w14:paraId="00000005">
      <w:pPr>
        <w:pStyle w:val="Heading1"/>
        <w:spacing w:line="480" w:lineRule="auto" w:before="240" w:after="120"/>
        <w:ind w:left="0" w:right="0" w:firstLine="0"/>
        <w:jc w:val="left"/>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bCs w:val="1"/>
          <w:sz w:val="28"/>
          <w:szCs w:val="26"/>
          <w:rtl w:val="0"/>
        </w:rPr>
        <w:t xml:space="preserve">Introduction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shd w:fill="b6d7a8" w:val="clear"/>
        </w:rPr>
      </w:pPr>
      <w:r>
        <w:t>We reanalyzed a published mouse dorsal root ganglion (DRG) RNA-seq dataset to examine how injury responses and regeneration are balanced after peripheral nerve damage, with particular attention to the aryl hydrocarbon receptor (Ahr). The original study used a neuronal conditional Ahr knockout because DRGs are a useful model for peripheral axon regrowth after sciatic nerve injury, and the conditional design helps isolate neuron-intrinsic effects more cleanly than a constitutive knockout background (Halawani et al., 2023).</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shd w:fill="b6d7a8" w:val="clear"/>
        </w:rPr>
      </w:pPr>
      <w:r>
        <w:t>The paper that guided our RNA-seq analysis sought to clarify the role of the AhR pathway. Earlier work by Zuo et al. examined neuronal injury responses and identified transcription factors associated with growth and regeneration, particularly Smad1, ATF3, and Jun. That study also highlighted AhR as an outlier pathway, but its function remained unclear. The main study addressed this question through protein-protein interaction network analysis using STRING, which showed that Smad1, ATF3, and Jun formed a highly interconnected pro-regenerative hub. In contrast, AhR remained distinct from this network, suggesting that it operates independently from the established growth-response pathway (Halawani et al., 2023).</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shd w:fill="b6d7a8" w:val="clear"/>
        </w:rPr>
      </w:pPr>
      <w:r>
        <w:t>After addressing how AhR relates to the previously identified transcription factors, the study moved beyond gene identification to investigate mechanism. This phase showed that AhR does not directly regulate growth; instead, it regulates cellular stress responses, translation, and proteostasis. AhR was therefore positioned as a functionally distinct network driven by HIF-1α, Bmal1, and stress-response transcription factors such as ATF4 and ATF6. Under normal conditions, when AhR is intact, nerve injury suppresses protein synthesis. In contrast, when AhR is removed, protein synthesis increases substantially, shifting the cell toward a highly active de novo translation state (Halawani et al., 2023).</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shd w:fill="b6d7a8" w:val="clear"/>
        </w:rPr>
      </w:pPr>
      <w:r>
        <w:t>To investigate the effects of uninhibited neuronal regeneration, the researchers analyzed dorsal root ganglia (DRG)—clusters of sensory neurons whose peripheral branches have a unique capacity for regrowth—following the targeted knockout of AhR. Each of the twenty mice underwent two surgeries, one on each leg. The ipsilateral side refers to the controlled nerve crush injury, whereas the contralateral side refers to the side opposite the crushed nerve. Because whole-body knockout promoted demyelinating disease, the axonal regrowth detected in Ahr cKO mice was interpreted as arising from a neuron-intrinsic mechanism rather than from altered immune or Schwann cell responses (Halawani et al., 2023).</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shd w:fill="b6d7a8" w:val="clear"/>
        </w:rPr>
      </w:pPr>
      <w:r>
        <w:t>FF is an abbreviation for fl/fl, referring to the homozygous floxed state. Floxed indicates that a gene is flanked by loxP sites. loxP functions as a biochemical tag used by researchers. On its own, this tag has no direct effect and behaves as wild type; however, when Cre recombinase is introduced, the loxP sites act as beacons that mark where the enzyme should cut. Cre stands for Cre recombinase, the DNA-cutting enzyme guided by the loxP sites to remove the gene between them. In this study, the researchers used Thy1-CreERT2 and Nestin-Cre to ensure that the Cre enzyme was produced specifically in neurons (Halawani et al., 2023).</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shd w:fill="b6d7a8" w:val="clear"/>
        </w:rPr>
      </w:pPr>
      <w:r>
        <w:t>First, we aimed to reproduce the study’s findings, particularly the differentially expressed genes (DEGs). Although the study used response-shift scores (RSS) to filter DEGs, we performed a global differential expression analysis and identified 709 statistically significant genes. Second, we aimed to cross-reference those genes, identify validated and unique genes from our global analysis, and compare the gene ontology categories to which they belong in order to understand the biological processes involved (Halawani et al., 2023).</w:t>
      </w:r>
    </w:p>
    <w:p w:rsidR="00000000" w:rsidDel="00000000" w:rsidP="00000000" w:rsidRDefault="00000000" w:rsidRPr="00000000" w14:paraId="0000000C">
      <w:pPr>
        <w:spacing w:line="480" w:lineRule="auto"/>
        <w:ind w:firstLine="720"/>
        <w:rPr>
          <w:rFonts w:ascii="Times New Roman" w:cs="Times New Roman" w:eastAsia="Times New Roman" w:hAnsi="Times New Roman"/>
          <w:color w:val="ff0000"/>
          <w:sz w:val="24"/>
          <w:szCs w:val="24"/>
          <w:shd w:fill="b6d7a8" w:val="clear"/>
        </w:rPr>
      </w:pPr>
      <w:r>
        <w:t>We use the source paper as a guide for understanding the biological processes involved and how they differ from our global differential expression approach. Because the original study focused specifically on genes correlated with AhR through the RSS filter, our broader reanalysis provides a way to compare that targeted view with a transcriptome-wide interpretation (Halawani et al., 2023).</w:t>
      </w:r>
    </w:p>
    <w:p w:rsidR="00000000" w:rsidDel="00000000" w:rsidP="00000000" w:rsidRDefault="00000000" w:rsidRPr="00000000" w14:paraId="0000000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shd w:fill="b4a7d6" w:val="clear"/>
        </w:rPr>
      </w:pPr>
      <w:r>
        <w:t>With these goals in mind, we completed the core steps of RNA-seq analysis, including trimming and alignment. We also conducted a differential expression analysis comparing ipsilateral versus contralateral samples and wild-type versus conditional knockout genotypes. Beyond differential expression, we carried out gene ontology analysis to place the strongest gene sets into biological context and to better understand the functional roles of the genes highlighted by the experiment (Halawani et al., 2023; Love et al., 2014; Kolberg et al., 2020).</w:t>
      </w:r>
    </w:p>
    <w:p w:rsidR="00000000" w:rsidDel="00000000" w:rsidP="00000000" w:rsidRDefault="00000000" w:rsidRPr="00000000" w14:paraId="0000000F">
      <w:pPr>
        <w:pStyle w:val="Heading1"/>
        <w:keepNext w:val="0"/>
        <w:keepLines w:val="0"/>
        <w:spacing w:after="120" w:before="240" w:line="292.17365217391307" w:lineRule="auto"/>
        <w:jc w:val="left"/>
        <w:rPr>
          <w:rFonts w:ascii="Times New Roman" w:cs="Times New Roman" w:eastAsia="Times New Roman" w:hAnsi="Times New Roman"/>
          <w:b w:val="1"/>
          <w:bCs w:val="1"/>
          <w:sz w:val="28"/>
          <w:szCs w:val="28"/>
        </w:rPr>
      </w:pPr>
      <w:bookmarkStart w:colFirst="0" w:colLast="0" w:name="_mf487djije7y" w:id="0"/>
      <w:bookmarkEnd w:id="0"/>
      <w:r w:rsidDel="00000000" w:rsidR="00000000" w:rsidRPr="00000000">
        <w:rPr>
          <w:rFonts w:ascii="Times New Roman" w:cs="Times New Roman" w:eastAsia="Times New Roman" w:hAnsi="Times New Roman"/>
          <w:b/>
          <w:bCs w:val="1"/>
          <w:sz w:val="28"/>
          <w:szCs w:val="28"/>
          <w:rtl w:val="0"/>
        </w:rPr>
        <w:t xml:space="preserve">Materials and Methods</w:t>
      </w:r>
    </w:p>
    <w:p w:rsidR="00000000" w:rsidDel="00000000" w:rsidP="00000000" w:rsidRDefault="00000000" w:rsidRPr="00000000" w14:paraId="00000010">
      <w:pPr>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spacing w:after="120" w:line="523.6363636363636" w:lineRule="auto"/>
        <w:ind w:firstLine="720"/>
        <w:jc w:val="both"/>
        <w:rPr>
          <w:rFonts w:ascii="Times New Roman" w:cs="Times New Roman" w:eastAsia="Times New Roman" w:hAnsi="Times New Roman"/>
          <w:sz w:val="24"/>
          <w:szCs w:val="24"/>
          <w:shd w:fill="f4cccc" w:val="clear"/>
        </w:rPr>
      </w:pPr>
      <w:r>
        <w:t>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 (Wirth &amp; Hipp, 2000).</w:t>
      </w:r>
    </w:p>
    <w:p w:rsidR="00000000" w:rsidDel="00000000" w:rsidP="00000000" w:rsidRDefault="00000000" w:rsidRPr="00000000" w14:paraId="00000012">
      <w:pPr>
        <w:spacing w:after="120" w:line="523.6363636363636" w:lineRule="auto"/>
        <w:ind w:firstLine="720"/>
        <w:jc w:val="both"/>
        <w:rPr>
          <w:rFonts w:ascii="Times New Roman" w:cs="Times New Roman" w:eastAsia="Times New Roman" w:hAnsi="Times New Roman"/>
          <w:sz w:val="24"/>
          <w:szCs w:val="24"/>
          <w:shd w:fill="f4cccc" w:val="clear"/>
        </w:rPr>
      </w:pPr>
      <w:r>
        <w:t>The working subset comprised 20 paired-end Illumina NovaSeq X libraries from SRP618841 (BioProject PRJNA1322439; GEO GSE243308), representing L4–L6 dorsal root ganglion samples collected 1 day after sciatic nerve injury (Halawani et al., 2023; National Center for Biotechnology Information [NCBI], 2026a, 2026b, 2026c).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p>
    <w:p w:rsidR="00000000" w:rsidDel="00000000" w:rsidP="00000000" w:rsidRDefault="00000000" w:rsidRPr="00000000" w14:paraId="00000013">
      <w:pPr>
        <w:spacing w:after="120" w:lineRule="auto"/>
        <w:jc w:val="center"/>
        <w:rPr>
          <w:rFonts w:ascii="Times New Roman" w:cs="Times New Roman" w:eastAsia="Times New Roman" w:hAnsi="Times New Roman"/>
          <w:b w:val="1"/>
          <w:bCs w:val="1"/>
          <w:sz w:val="20"/>
          <w:szCs w:val="20"/>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4">
      <w:pPr>
        <w:spacing w:after="120" w:lineRule="auto" w:before="120"/>
        <w:jc w:val="center"/>
        <w:rPr>
          <w:rFonts w:ascii="Times New Roman" w:cs="Times New Roman" w:eastAsia="Times New Roman" w:hAnsi="Times New Roman"/>
          <w:sz w:val="24"/>
          <w:szCs w:val="24"/>
          <w:shd w:fill="f4cccc" w:val="clear"/>
        </w:rPr>
      </w:pPr>
      <w:r>
        <w:t>Figure 1. Overview ribbon summarizing the four computational stages in the mouse_new workflow.</w:t>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6">
      <w:pPr>
        <w:spacing w:line="480" w:lineRule="auto"/>
        <w:ind w:firstLine="720"/>
        <w:jc w:val="both"/>
        <w:rPr>
          <w:rFonts w:ascii="Times New Roman" w:cs="Times New Roman" w:eastAsia="Times New Roman" w:hAnsi="Times New Roman"/>
          <w:sz w:val="24"/>
          <w:szCs w:val="24"/>
          <w:shd w:fill="f4cccc" w:val="clear"/>
        </w:rPr>
      </w:pPr>
      <w:r>
        <w:t>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a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differential expression tables, bend-point follow-up sets, and enrichment summaries used for interpretation (Andrews, 2010; Chen et al., 2018; Dobin et al., 2013; Ewels et al., 2016; Kolberg et al., 2020; Love et al., 2014).</w:t>
      </w:r>
    </w:p>
    <w:p w:rsidR="00000000" w:rsidDel="00000000" w:rsidP="00000000" w:rsidRDefault="00000000" w:rsidRPr="00000000" w14:paraId="00000017">
      <w:pPr>
        <w:rPr>
          <w:shd w:fill="f4cccc"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18">
      <w:pPr>
        <w:pStyle w:val="Heading2"/>
        <w:spacing w:after="80" w:line="240"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Representative Command Examples</w:t>
      </w:r>
    </w:p>
    <w:p w:rsidR="00000000" w:rsidDel="00000000" w:rsidP="00000000" w:rsidRDefault="00000000" w:rsidRPr="00000000" w14:paraId="00000019">
      <w:pPr>
        <w:spacing w:after="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1A">
      <w:pPr>
        <w:spacing w:after="120" w:line="240" w:lineRule="auto" w:before="120"/>
        <w:jc w:val="center"/>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bCs w:val="1"/>
          <w:i/>
          <w:sz w:val="22"/>
          <w:szCs w:val="20"/>
          <w:shd w:fill="F4CCCC" w:val="clear" w:color="auto"/>
          <w:rtl w:val="0"/>
        </w:rPr>
        <w:t xml:space="preserve">Table 2. </w:t>
      </w:r>
      <w:r w:rsidDel="00000000" w:rsidR="00000000" w:rsidRPr="00000000">
        <w:rPr>
          <w:rFonts w:ascii="Times New Roman" w:cs="Times New Roman" w:eastAsia="Times New Roman" w:hAnsi="Times New Roman"/>
          <w:i/>
          <w:sz w:val="22"/>
          <w:szCs w:val="20"/>
          <w:shd w:fill="F4CCCC" w:val="clear" w:color="auto"/>
          <w:rtl w:val="0"/>
        </w:rPr>
        <w:t xml:space="preserve">Representative command examples for the tools used in the mouse_new</w:t>
      </w:r>
    </w:p>
    <w:tbl>
      <w:tblPr>
        <w:tblStyle w:val="Table1"/>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B">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C">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D">
            <w:pPr>
              <w:spacing w:after="40" w:lineRule="auto" w:before="40"/>
              <w:jc w:val="left"/>
              <w:rPr>
                <w:rFonts w:ascii="Times New Roman" w:cs="Times New Roman" w:eastAsia="Times New Roman" w:hAnsi="Times New Roman"/>
                <w:b w:val="1"/>
                <w:bCs w:val="1"/>
                <w:sz w:val="18"/>
                <w:szCs w:val="18"/>
                <w:shd w:fill="f4cccc" w:val="clear"/>
              </w:rPr>
            </w:pPr>
            <w:r w:rsidDel="00000000" w:rsidR="00000000" w:rsidRPr="00000000">
              <w:rPr>
                <w:rFonts w:ascii="Consolas" w:cs="Times New Roman" w:eastAsia="Times New Roman" w:hAnsi="Consolas"/>
                <w:b/>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1E">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1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0">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1">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3">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4">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6">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7">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8">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9">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A">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B">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pPr>
              <w:spacing w:after="40" w:before="40"/>
              <w:jc w:val="left"/>
            </w:pPr>
            <w:r>
              <w:rPr>
                <w:rFonts w:ascii="Consolas" w:hAnsi="Consolas"/>
                <w:sz w:val="18"/>
              </w:rPr>
              <w:t>STAR --runThreadN 8 --genomeDir star_index --readFilesIn clean_R1.fastq.gz clean_R2.fastq.gz --readFilesCommand zcat --sjdbGTFfile Mus_musculus.GRCm39.115.gtf --outSAMtype BAM SortedByCoordinate --quantMode GeneCounts</w:t>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120" w:line="523.6363636363636" w:lineRule="auto"/>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Collection: SRA Acquisition and Sample Organization</w:t>
      </w:r>
    </w:p>
    <w:p w:rsidR="00000000" w:rsidDel="00000000" w:rsidP="00000000" w:rsidRDefault="00000000" w:rsidRPr="00000000" w14:paraId="0000003A">
      <w:pPr>
        <w:spacing w:after="120" w:line="523.6363636363636" w:lineRule="auto"/>
        <w:ind w:firstLine="720"/>
        <w:jc w:val="both"/>
        <w:rPr>
          <w:rFonts w:ascii="Times New Roman" w:cs="Times New Roman" w:eastAsia="Times New Roman" w:hAnsi="Times New Roman"/>
          <w:sz w:val="24"/>
          <w:szCs w:val="24"/>
          <w:shd w:fill="f4cccc" w:val="clear"/>
        </w:rPr>
      </w:pPr>
      <w:r>
        <w:t>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 (National Center for Biotechnology Information, 2026a, 2026b, 2026c, 2026d).</w:t>
      </w:r>
    </w:p>
    <w:p w:rsidR="00000000" w:rsidDel="00000000" w:rsidP="00000000" w:rsidRDefault="00000000" w:rsidRPr="00000000" w14:paraId="0000003B">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color="auto"/>
          <w:rtl w:val="0"/>
        </w:rPr>
        <w:t xml:space="preserve"> </w:t>
      </w:r>
    </w:p>
    <w:p w:rsidR="00000000" w:rsidDel="00000000" w:rsidP="00000000" w:rsidRDefault="00000000" w:rsidRPr="00000000" w14:paraId="0000003C">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rm0arka88hy" w:id="1"/>
      <w:bookmarkEnd w:id="1"/>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Cleaning: Quality Control and Read Trimming</w:t>
      </w:r>
    </w:p>
    <w:p w:rsidR="00000000" w:rsidDel="00000000" w:rsidP="00000000" w:rsidRDefault="00000000" w:rsidRPr="00000000" w14:paraId="0000003D">
      <w:pPr>
        <w:spacing w:after="120" w:line="523.6363636363636" w:lineRule="auto"/>
        <w:ind w:firstLine="720"/>
        <w:jc w:val="both"/>
        <w:rPr>
          <w:rFonts w:ascii="Times New Roman" w:cs="Times New Roman" w:eastAsia="Times New Roman" w:hAnsi="Times New Roman"/>
          <w:sz w:val="24"/>
          <w:szCs w:val="24"/>
          <w:shd w:fill="f4cccc" w:val="clear"/>
        </w:rPr>
      </w:pPr>
      <w:r>
        <w:t>Raw read quality was evaluated with FastQC, and cohort-level summaries were consolidated with MultiQC. This stage was treated as a documented checkpoint, so pre- and post-trimming QC outputs were retained to show the effect of trimming explicitly (Andrews, 2010; Ewels et al., 2016). The local workflow used fastp v0.23.2 as the canonical cleanup tool because it provided a reproducible paired-end workflow, generated per-sample reports, and resolved adapter-related signal more effectively than the earlier baseline (Chen et al., 2018).</w:t>
      </w:r>
    </w:p>
    <w:p w:rsidR="00000000" w:rsidDel="00000000" w:rsidP="00000000" w:rsidRDefault="00000000" w:rsidRPr="00000000" w14:paraId="0000003E">
      <w:pPr>
        <w:spacing w:after="120" w:line="523.6363636363636" w:lineRule="auto"/>
        <w:ind w:firstLine="720"/>
        <w:jc w:val="both"/>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3F">
      <w:pPr>
        <w:pStyle w:val="Heading2"/>
        <w:spacing w:after="80" w:line="523.6363636363636" w:lineRule="auto" w:before="160"/>
        <w:jc w:val="left"/>
        <w:rPr>
          <w:rFonts w:ascii="Times New Roman" w:cs="Times New Roman" w:eastAsia="Times New Roman" w:hAnsi="Times New Roman"/>
          <w:b w:val="1"/>
          <w:bCs w:val="1"/>
          <w:i w:val="1"/>
          <w:iCs w:val="1"/>
          <w:color w:val="4f81bd"/>
          <w:sz w:val="24"/>
          <w:szCs w:val="24"/>
          <w:shd w:fill="f4cccc" w:val="clear"/>
        </w:rPr>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Preparation: Reference Selection and Alignment</w:t>
      </w:r>
    </w:p>
    <w:p w:rsidR="00000000" w:rsidDel="00000000" w:rsidP="00000000" w:rsidRDefault="00000000" w:rsidRPr="00000000" w14:paraId="00000040">
      <w:pPr>
        <w:spacing w:after="120" w:line="523.6363636363636" w:lineRule="auto"/>
        <w:ind w:firstLine="720"/>
        <w:jc w:val="both"/>
        <w:rPr>
          <w:rFonts w:ascii="Times New Roman" w:cs="Times New Roman" w:eastAsia="Times New Roman" w:hAnsi="Times New Roman"/>
          <w:sz w:val="24"/>
          <w:szCs w:val="24"/>
          <w:shd w:fill="f4cccc" w:val="clear"/>
        </w:rPr>
      </w:pPr>
      <w: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 (Dobin et al., 2013; Ensembl, 2025).</w:t>
      </w:r>
    </w:p>
    <w:p w:rsidR="00000000" w:rsidDel="00000000" w:rsidP="00000000" w:rsidRDefault="00000000" w:rsidRPr="00000000" w14:paraId="00000041">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val="0"/>
        <w:keepLines w:val="0"/>
        <w:spacing w:after="80" w:before="160" w:line="367.0591764705882" w:lineRule="auto"/>
        <w:jc w:val="left"/>
        <w:rPr>
          <w:rFonts w:ascii="Times New Roman" w:cs="Times New Roman" w:eastAsia="Times New Roman" w:hAnsi="Times New Roman"/>
          <w:b w:val="1"/>
          <w:bCs w:val="1"/>
          <w:i w:val="1"/>
          <w:iCs w:val="1"/>
          <w:color w:val="4f81bd"/>
          <w:sz w:val="24"/>
          <w:szCs w:val="24"/>
          <w:shd w:fill="f4cccc" w:val="clear"/>
        </w:rPr>
      </w:pPr>
      <w:bookmarkStart w:colFirst="0" w:colLast="0" w:name="_3lls8e5l4eo4" w:id="2"/>
      <w:bookmarkEnd w:id="2"/>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Analysis and Interpretation: Differential Expression and Functional Analysis</w:t>
      </w:r>
    </w:p>
    <w:p w:rsidR="00000000" w:rsidDel="00000000" w:rsidP="00000000" w:rsidRDefault="00000000" w:rsidRPr="00000000" w14:paraId="00000043">
      <w:pPr>
        <w:spacing w:after="120" w:line="523.6363636363636" w:lineRule="auto"/>
        <w:ind w:firstLine="720"/>
        <w:jc w:val="both"/>
        <w:rPr>
          <w:rFonts w:ascii="Times New Roman" w:cs="Times New Roman" w:eastAsia="Times New Roman" w:hAnsi="Times New Roman"/>
          <w:sz w:val="24"/>
          <w:szCs w:val="24"/>
          <w:shd w:fill="f4cccc" w:val="clear"/>
        </w:rPr>
      </w:pPr>
      <w:r>
        <w:t>The merged family count matrix was analyzed with DESeq2 using the explicit side-by-genotype design carried forward from the sample manifest (Love et al., 2014).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versus contralateral in WT, ipsilateral versus contralateral in cKO, WT versus cKO in contralateral, WT versus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523.6363636363636" w:lineRule="auto"/>
        <w:ind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523.6363636363636" w:lineRule="auto"/>
        <w:ind w:firstLine="720"/>
        <w:jc w:val="both"/>
        <w:rPr>
          <w:rFonts w:ascii="Times New Roman" w:cs="Times New Roman" w:eastAsia="Times New Roman" w:hAnsi="Times New Roman"/>
          <w:sz w:val="24"/>
          <w:szCs w:val="24"/>
          <w:shd w:fill="f4cccc" w:val="clear"/>
        </w:rPr>
      </w:pPr>
      <w:r>
        <w:t>The resulting follow-up sets were then submitted to g:Profiler using GO Biological Process, KEGG, and Reactome layers (Gene Ontology Consortium, 2021; Gillespie et al., 2022; Kanehisa et al., 2025; Kolberg et al., 2020).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spacing w:after="120" w:line="523.6363636363636"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47">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Results</w:t>
      </w:r>
    </w:p>
    <w:p w:rsidR="00000000" w:rsidDel="00000000" w:rsidP="00000000" w:rsidRDefault="00000000" w:rsidRPr="00000000" w14:paraId="00000048">
      <w:pPr>
        <w:pStyle w:val="Heading2"/>
        <w:spacing w:line="480" w:lineRule="auto" w:before="160" w:after="80"/>
        <w:ind w:left="0" w:right="0" w:firstLine="0"/>
        <w:jc w:val="left"/>
        <w:rPr>
          <w:rFonts w:ascii="Times New Roman" w:cs="Times New Roman" w:eastAsia="Times New Roman" w:hAnsi="Times New Roman"/>
          <w:b w:val="1"/>
          <w:bCs w:val="1"/>
          <w:i w:val="1"/>
          <w:iCs w:val="1"/>
          <w:color w:val="4f81bd"/>
          <w:sz w:val="24"/>
          <w:szCs w:val="24"/>
          <w:shd w:fill="b4a7d6" w:val="clear"/>
        </w:rPr>
      </w:pPr>
      <w:r w:rsidDel="00000000" w:rsidR="00000000" w:rsidRPr="00000000">
        <w:rPr>
          <w:rFonts w:ascii="Times New Roman" w:cs="Times New Roman" w:eastAsia="Times New Roman" w:hAnsi="Times New Roman"/>
          <w:b/>
          <w:bCs w:val="1"/>
          <w:i w:val="1"/>
          <w:iCs w:val="1"/>
          <w:color w:val="4f81bd"/>
          <w:sz w:val="24"/>
          <w:szCs w:val="24"/>
          <w:shd w:fill="D9D2E9" w:val="clear" w:color="auto"/>
          <w:rtl w:val="0"/>
        </w:rPr>
        <w:t xml:space="preserve">Quality Control and Trimming of RNASeq Data</w:t>
      </w:r>
    </w:p>
    <w:p w:rsidR="00000000" w:rsidDel="00000000" w:rsidP="00000000" w:rsidRDefault="00000000" w:rsidRPr="00000000" w14:paraId="00000049">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4A">
      <w:pPr>
        <w:spacing w:line="240" w:lineRule="auto" w:before="120" w:after="120"/>
        <w:ind w:left="540" w:right="54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commentRangeStart w:id="0"/>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0"/>
      <w:r w:rsidDel="00000000" w:rsidR="00000000" w:rsidRPr="00000000">
        <w:rPr>
          <w:rFonts w:ascii="Times New Roman" w:hAnsi="Times New Roman" w:eastAsia="Times New Roman"/>
          <w:i/>
          <w:sz w:val="22"/>
          <w:shd w:val="clear" w:color="auto" w:fill="D9D2E9"/>
        </w:rPr>
        <w:commentReference w:id="0"/>
      </w:r>
      <w:r w:rsidDel="00000000" w:rsidR="00000000" w:rsidRPr="00000000">
        <w:rPr>
          <w:rFonts w:ascii="Times New Roman" w:cs="Times New Roman" w:eastAsia="Times New Roman" w:hAnsi="Times New Roman"/>
          <w:b w:val="1"/>
          <w:bCs w:val="1"/>
          <w:i/>
          <w:sz w:val="22"/>
          <w:szCs w:val="20"/>
          <w:shd w:fill="D9D2E9" w:val="clear" w:color="auto"/>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i/>
          <w:sz w:val="22"/>
          <w:szCs w:val="20"/>
          <w:shd w:fill="D9D2E9" w:val="clear" w:color="auto"/>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spacing w:line="480" w:lineRule="auto"/>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4C">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Before using the dataset downstream, it was necessary to evaluate the raw data to identify any major quality issues. MultiQC was used to summarize the sequencing results at the cohort level. The initial review showed a clear adapter-content issue in the post-sequencing data, with about 45% of sequences containing adapter sequence near the 140-bp position (Fig. XA). This pattern is expected in RNA-seq because adapters are required during library preparation and sequencing. To address this issue, the dataset was trimmed to remove adapter contamination, overrepresented sequences, and excess sequence duplication. After trimming, the proportion of sequences containing adapters dropped to below 1% (Fig. XB).</w:t>
      </w:r>
    </w:p>
    <w:p w:rsidR="00000000" w:rsidDel="00000000" w:rsidP="00000000" w:rsidRDefault="00000000" w:rsidRPr="00000000" w14:paraId="0000004D">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4E">
      <w:pPr>
        <w:spacing w:line="240" w:lineRule="auto"/>
        <w:ind w:right="0" w:firstLine="0"/>
        <w:jc w:val="center"/>
        <w:rPr>
          <w:rFonts w:ascii="Times New Roman" w:cs="Times New Roman" w:eastAsia="Times New Roman" w:hAnsi="Times New Roman"/>
          <w:b w:val="1"/>
          <w:bCs w:val="1"/>
          <w:sz w:val="20"/>
          <w:szCs w:val="20"/>
          <w:shd w:fill="b4a7d6" w:val="clear"/>
        </w:rPr>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spacing w:line="240" w:lineRule="auto"/>
        <w:ind w:right="0" w:firstLine="0"/>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0">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 </w:t>
      </w:r>
      <w:commentRangeStart w:id="4"/>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4"/>
      <w:r w:rsidDel="00000000" w:rsidR="00000000" w:rsidRPr="00000000">
        <w:rPr>
          <w:rFonts w:ascii="Times New Roman" w:hAnsi="Times New Roman" w:eastAsia="Times New Roman"/>
          <w:i/>
          <w:sz w:val="22"/>
          <w:shd w:val="clear" w:color="auto" w:fill="D9D2E9"/>
        </w:rPr>
        <w:commentReference w:id="4"/>
      </w:r>
      <w:r w:rsidDel="00000000" w:rsidR="00000000" w:rsidRPr="00000000">
        <w:rPr>
          <w:rFonts w:ascii="Times New Roman" w:cs="Times New Roman" w:eastAsia="Times New Roman" w:hAnsi="Times New Roman"/>
          <w:b w:val="1"/>
          <w:bCs w:val="1"/>
          <w:i/>
          <w:sz w:val="22"/>
          <w:szCs w:val="20"/>
          <w:shd w:fill="D9D2E9" w:val="clear" w:color="auto"/>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iCs w:val="1"/>
          <w:sz w:val="22"/>
          <w:szCs w:val="20"/>
          <w:shd w:fill="D9D2E9" w:val="clear" w:color="auto"/>
          <w:rtl w:val="0"/>
        </w:rPr>
        <w:t xml:space="preserve">Mus musculus </w:t>
      </w:r>
      <w:r w:rsidDel="00000000" w:rsidR="00000000" w:rsidRPr="00000000">
        <w:rPr>
          <w:rFonts w:ascii="Times New Roman" w:cs="Times New Roman" w:eastAsia="Times New Roman" w:hAnsi="Times New Roman"/>
          <w:b w:val="1"/>
          <w:bCs w:val="1"/>
          <w:i/>
          <w:sz w:val="22"/>
          <w:szCs w:val="20"/>
          <w:shd w:fill="D9D2E9" w:val="clear" w:color="auto"/>
          <w:rtl w:val="0"/>
        </w:rPr>
        <w:t xml:space="preserve">reference genome</w:t>
      </w:r>
      <w:r w:rsidDel="00000000" w:rsidR="00000000" w:rsidRPr="00000000">
        <w:rPr>
          <w:rFonts w:ascii="Times New Roman" w:cs="Times New Roman" w:eastAsia="Times New Roman" w:hAnsi="Times New Roman"/>
          <w:b w:val="1"/>
          <w:bCs w:val="1"/>
          <w:i/>
          <w:sz w:val="22"/>
          <w:szCs w:val="20"/>
          <w:shd w:fill="D9D2E9" w:val="clear" w:color="auto"/>
          <w:rtl w:val="0"/>
        </w:rPr>
        <w:t xml:space="preserve">.</w:t>
      </w:r>
      <w:r w:rsidDel="00000000" w:rsidR="00000000" w:rsidRPr="00000000">
        <w:rPr>
          <w:rFonts w:ascii="Times New Roman" w:cs="Times New Roman" w:eastAsia="Times New Roman" w:hAnsi="Times New Roman"/>
          <w:i/>
          <w:sz w:val="22"/>
          <w:szCs w:val="20"/>
          <w:shd w:fill="D9D2E9" w:val="clear" w:color="auto"/>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spacing w:line="480" w:lineRule="auto"/>
        <w:ind w:left="0" w:right="0" w:firstLine="0"/>
        <w:rPr>
          <w:rFonts w:ascii="Times New Roman" w:cs="Times New Roman" w:eastAsia="Times New Roman" w:hAnsi="Times New Roman"/>
          <w:sz w:val="20"/>
          <w:szCs w:val="20"/>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2">
      <w:pPr>
        <w:spacing w:line="480" w:lineRule="auto"/>
        <w:ind w:left="0"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Alignment statistics recorded after mapping the trimmed reads to the reference genome indicated high-quality alignment. Each sample had a uniquely mapped read percentage above 90% (Fig. XA). The lowest value was just below 92.6%, which appears to be a mild outlier relative to the rest of the dataset (Fig. XB). Most samples clustered between 93.1% and slightly above 93.4%. Overall, these alignment metrics indicate that the dataset is high quality and support proceeding with downstream differential expression analyses.</w:t>
      </w:r>
    </w:p>
    <w:p w:rsidR="00000000" w:rsidDel="00000000" w:rsidP="00000000" w:rsidRDefault="00000000" w:rsidRPr="00000000" w14:paraId="00000053">
      <w:pPr>
        <w:spacing w:line="480" w:lineRule="auto"/>
        <w:ind w:left="0" w:right="0" w:firstLine="0"/>
        <w:rPr>
          <w:rFonts w:ascii="Times New Roman" w:cs="Times New Roman" w:eastAsia="Times New Roman" w:hAnsi="Times New Roman"/>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4">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5">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6">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7">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8">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9">
      <w:pPr>
        <w:pStyle w:val="Heading2"/>
        <w:spacing w:line="480" w:lineRule="auto" w:before="160" w:after="80"/>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Differential Expression Analysis</w:t>
      </w:r>
      <w:r w:rsidDel="00000000" w:rsidR="00000000" w:rsidRPr="00000000">
        <w:rPr>
          <w:rFonts w:ascii="Times New Roman" w:hAnsi="Times New Roman" w:eastAsia="Times New Roman"/>
          <w:b/>
          <w:sz w:val="24"/>
          <w:rtl w:val="0"/>
        </w:rPr>
      </w:r>
    </w:p>
    <w:p w:rsidR="00000000" w:rsidDel="00000000" w:rsidP="00000000" w:rsidRDefault="00000000" w:rsidRPr="00000000" w14:paraId="0000005A">
      <w:pPr>
        <w:spacing w:line="240" w:lineRule="auto"/>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B">
      <w:pPr>
        <w:spacing w:line="240" w:lineRule="auto" w:before="120" w:after="120"/>
        <w:ind w:left="900" w:right="81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w:t>
      </w:r>
      <w:commentRangeStart w:id="7"/>
      <w:r w:rsidDel="00000000" w:rsidR="00000000" w:rsidRPr="00000000">
        <w:rPr>
          <w:rFonts w:ascii="Times New Roman" w:cs="Times New Roman" w:eastAsia="Times New Roman" w:hAnsi="Times New Roman"/>
          <w:b w:val="1"/>
          <w:bCs w:val="1"/>
          <w:i/>
          <w:sz w:val="22"/>
          <w:szCs w:val="20"/>
          <w:shd w:fill="6AA84F" w:val="clear" w:color="auto"/>
          <w:rtl w:val="0"/>
        </w:rPr>
        <w:t xml:space="preserve"> X</w:t>
      </w:r>
      <w:commentRangeEnd w:id="7"/>
      <w:r w:rsidDel="00000000" w:rsidR="00000000" w:rsidRPr="00000000">
        <w:rPr>
          <w:rFonts w:ascii="Times New Roman" w:hAnsi="Times New Roman" w:eastAsia="Times New Roman"/>
          <w:i/>
          <w:sz w:val="22"/>
          <w:shd w:val="clear" w:color="auto" w:fill="6AA84F"/>
        </w:rPr>
        <w:commentReference w:id="7"/>
      </w:r>
      <w:r w:rsidDel="00000000" w:rsidR="00000000" w:rsidRPr="00000000">
        <w:rPr>
          <w:rFonts w:ascii="Times New Roman" w:cs="Times New Roman" w:eastAsia="Times New Roman" w:hAnsi="Times New Roman"/>
          <w:b w:val="1"/>
          <w:bCs w:val="1"/>
          <w:i/>
          <w:sz w:val="22"/>
          <w:szCs w:val="20"/>
          <w:shd w:fill="6AA84F" w:val="clear" w:color="auto"/>
          <w:rtl w:val="0"/>
        </w:rPr>
        <w:t xml:space="preserve">.</w:t>
      </w:r>
      <w:r w:rsidDel="00000000" w:rsidR="00000000" w:rsidRPr="00000000">
        <w:rPr>
          <w:rFonts w:ascii="Times New Roman" w:cs="Times New Roman" w:eastAsia="Times New Roman" w:hAnsi="Times New Roman"/>
          <w:i/>
          <w:sz w:val="22"/>
          <w:szCs w:val="20"/>
          <w:shd w:fill="6AA84F" w:val="clear" w:color="auto"/>
          <w:rtl w:val="0"/>
        </w:rPr>
        <w:t xml:space="preserve"> </w:t>
      </w:r>
      <w:r w:rsidDel="00000000" w:rsidR="00000000" w:rsidRPr="00000000">
        <w:rPr>
          <w:rFonts w:ascii="Times New Roman" w:cs="Times New Roman" w:eastAsia="Times New Roman" w:hAnsi="Times New Roman"/>
          <w:b w:val="1"/>
          <w:bCs w:val="1"/>
          <w:i/>
          <w:sz w:val="22"/>
          <w:szCs w:val="20"/>
          <w:shd w:fill="6AA84F" w:val="clear" w:color="auto"/>
          <w:rtl w:val="0"/>
        </w:rPr>
        <w:t xml:space="preserve">Principal Component Analysis (PCA)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spacing w:line="240" w:lineRule="auto"/>
        <w:ind w:left="720" w:right="0" w:hanging="72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D">
      <w:pPr>
        <w:spacing w:line="480" w:lineRule="auto"/>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E">
      <w:pPr>
        <w:spacing w:line="480" w:lineRule="auto"/>
        <w:ind w:left="0" w:right="0" w:firstLine="720"/>
        <w:rPr>
          <w:rFonts w:ascii="Times New Roman" w:cs="Times New Roman" w:eastAsia="Times New Roman" w:hAnsi="Times New Roman"/>
          <w:sz w:val="24"/>
          <w:szCs w:val="24"/>
          <w:shd w:fill="6aa84f" w:val="clear"/>
        </w:rPr>
      </w:pPr>
      <w:r>
        <w:rPr>
          <w:rFonts w:ascii="Times New Roman" w:hAnsi="Times New Roman" w:eastAsia="Times New Roman"/>
          <w:shd w:val="clear" w:color="auto" w:fill="6AA84F"/>
        </w:rPr>
        <w:t>PCA was performed to reduce the dimensionality of the dataset, which contained ~21,000 genes across twenty mouse samples (Fig. X). The analysis condensed these data into two primary components that together explained 66.8% of the total biological variance. PC1 (46.2%) captured the primary variance associated with nerve injury state (contralateral vs. ipsilateral), whereas PC2 (20.6%) captured the secondary variance associated with genotype (WT vs. AhR cKO).</w:t>
      </w:r>
    </w:p>
    <w:p w:rsidR="00000000" w:rsidDel="00000000" w:rsidP="00000000" w:rsidRDefault="00000000" w:rsidRPr="00000000" w14:paraId="0000005F">
      <w:pPr>
        <w:spacing w:line="240" w:lineRule="auto"/>
        <w:ind w:left="0" w:right="0" w:firstLine="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0">
      <w:pPr>
        <w:spacing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1">
      <w:pPr>
        <w:spacing w:line="240" w:lineRule="auto" w:before="120" w:after="120"/>
        <w:ind w:left="1440" w:right="1350" w:firstLine="0"/>
        <w:jc w:val="center"/>
        <w:rPr>
          <w:rFonts w:ascii="Times New Roman" w:cs="Times New Roman" w:eastAsia="Times New Roman" w:hAnsi="Times New Roman"/>
          <w:sz w:val="20"/>
          <w:szCs w:val="20"/>
          <w:shd w:fill="6aa84f" w:val="clear"/>
        </w:rPr>
      </w:pPr>
      <w:r w:rsidDel="00000000" w:rsidR="00000000" w:rsidRPr="00000000">
        <w:rPr>
          <w:rFonts w:ascii="Times New Roman" w:cs="Times New Roman" w:eastAsia="Times New Roman" w:hAnsi="Times New Roman"/>
          <w:b w:val="1"/>
          <w:bCs w:val="1"/>
          <w:i/>
          <w:sz w:val="22"/>
          <w:szCs w:val="20"/>
          <w:shd w:fill="6AA84F" w:val="clear" w:color="auto"/>
          <w:rtl w:val="0"/>
        </w:rPr>
        <w:t xml:space="preserve">Figure </w:t>
      </w:r>
      <w:commentRangeStart w:id="12"/>
      <w:r w:rsidDel="00000000" w:rsidR="00000000" w:rsidRPr="00000000">
        <w:rPr>
          <w:rFonts w:ascii="Times New Roman" w:cs="Times New Roman" w:eastAsia="Times New Roman" w:hAnsi="Times New Roman"/>
          <w:b w:val="1"/>
          <w:bCs w:val="1"/>
          <w:i/>
          <w:sz w:val="22"/>
          <w:szCs w:val="20"/>
          <w:shd w:fill="6AA84F" w:val="clear" w:color="auto"/>
          <w:rtl w:val="0"/>
        </w:rPr>
        <w:t xml:space="preserve">X</w:t>
      </w:r>
      <w:commentRangeEnd w:id="12"/>
      <w:r w:rsidDel="00000000" w:rsidR="00000000" w:rsidRPr="00000000">
        <w:rPr>
          <w:rFonts w:ascii="Times New Roman" w:hAnsi="Times New Roman" w:eastAsia="Times New Roman"/>
          <w:i/>
          <w:sz w:val="22"/>
          <w:shd w:val="clear" w:color="auto" w:fill="6AA84F"/>
        </w:rPr>
        <w:commentReference w:id="12"/>
      </w:r>
      <w:r w:rsidDel="00000000" w:rsidR="00000000" w:rsidRPr="00000000">
        <w:rPr>
          <w:rFonts w:ascii="Times New Roman" w:cs="Times New Roman" w:eastAsia="Times New Roman" w:hAnsi="Times New Roman"/>
          <w:b w:val="1"/>
          <w:bCs w:val="1"/>
          <w:i/>
          <w:sz w:val="22"/>
          <w:szCs w:val="20"/>
          <w:shd w:fill="6AA84F" w:val="clear" w:color="auto"/>
          <w:rtl w:val="0"/>
        </w:rPr>
        <w:t xml:space="preserve">. Sample-to-Sample Distance Heatmap of DRG Transcriptomes.</w:t>
      </w:r>
      <w:r w:rsidDel="00000000" w:rsidR="00000000" w:rsidRPr="00000000">
        <w:rPr>
          <w:rFonts w:ascii="Times New Roman" w:cs="Times New Roman" w:eastAsia="Times New Roman" w:hAnsi="Times New Roman"/>
          <w:i/>
          <w:sz w:val="22"/>
          <w:szCs w:val="20"/>
          <w:shd w:fill="6AA84F" w:val="clear" w:color="auto"/>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spacing w:line="240" w:lineRule="auto"/>
        <w:ind w:right="0" w:firstLine="0"/>
        <w:jc w:val="center"/>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3">
      <w:pPr>
        <w:spacing w:line="480" w:lineRule="auto"/>
        <w:ind w:right="0" w:firstLine="720"/>
        <w:rPr>
          <w:rFonts w:ascii="Times New Roman" w:cs="Times New Roman" w:eastAsia="Times New Roman" w:hAnsi="Times New Roman"/>
          <w:sz w:val="24"/>
          <w:szCs w:val="24"/>
          <w:shd w:fill="6aa84f" w:val="clear"/>
        </w:rPr>
      </w:pPr>
      <w:r>
        <w:rPr>
          <w:rFonts w:ascii="Times New Roman" w:hAnsi="Times New Roman" w:eastAsia="Times New Roman"/>
          <w:shd w:val="clear" w:color="auto" w:fill="6AA84F"/>
        </w:rPr>
        <w:t>To assess global transcriptomic similarity, we generated a sample-to-sample distance heatmap based on Euclidean distance metrics (Fig. X). The results showed clear unsupervised clustering driven primarily by experimental condition, with ipsilateral and contralateral samples forming two cohesive blocks. Within these major clusters, samples were further separated by genotype, indicating that the AhR knockout introduced a consistent secondary transcriptional shift. The strong similarity among biological replicates, together with the absence of anomalous clustering, supports the overall quality and reproducibility of the sequencing data.</w:t>
      </w:r>
    </w:p>
    <w:p w:rsidR="00000000" w:rsidDel="00000000" w:rsidP="00000000" w:rsidRDefault="00000000" w:rsidRPr="00000000" w14:paraId="00000064">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65">
      <w:pPr>
        <w:spacing w:line="240" w:lineRule="auto"/>
        <w:ind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6">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6"/>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6"/>
      <w:r w:rsidDel="00000000" w:rsidR="00000000" w:rsidRPr="00000000">
        <w:rPr>
          <w:rFonts w:ascii="Times New Roman" w:hAnsi="Times New Roman" w:eastAsia="Times New Roman"/>
          <w:i/>
          <w:sz w:val="22"/>
          <w:shd w:val="clear" w:color="auto" w:fill="D9D2E9"/>
        </w:rPr>
        <w:commentReference w:id="16"/>
      </w:r>
      <w:r w:rsidDel="00000000" w:rsidR="00000000" w:rsidRPr="00000000">
        <w:rPr>
          <w:rFonts w:ascii="Times New Roman" w:cs="Times New Roman" w:eastAsia="Times New Roman" w:hAnsi="Times New Roman"/>
          <w:b w:val="1"/>
          <w:bCs w:val="1"/>
          <w:i/>
          <w:sz w:val="22"/>
          <w:szCs w:val="20"/>
          <w:shd w:fill="D9D2E9" w:val="clear" w:color="auto"/>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i/>
          <w:sz w:val="22"/>
          <w:szCs w:val="20"/>
          <w:shd w:fill="D9D2E9" w:val="clear" w:color="auto"/>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spacing w:line="480" w:lineRule="auto"/>
        <w:ind w:left="0" w:right="0" w:firstLine="0"/>
        <w:rPr>
          <w:rFonts w:ascii="Times New Roman" w:cs="Times New Roman" w:eastAsia="Times New Roman" w:hAnsi="Times New Roman"/>
          <w:b w:val="1"/>
          <w:bCs w:val="1"/>
          <w:sz w:val="26"/>
          <w:szCs w:val="26"/>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8">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This dataset contained a very large number of significant genes, so a bend point was used to reduce the list to a more interpretable set for follow-up analysis. The bend point occurred at a p-value of 1.37e-17 (Fig. X), corresponding to approximately 709 genes. In the volcano plot highlighting this threshold, the dense central cluster of genes is largely excluded, while the most strongly differentially expressed genes are retained for downstream analysis. These 709 genes provide a more targeted set for follow-up because they remain highly significant and reflect the point at which the strongest signal begins to separate from the broader background.</w:t>
      </w:r>
    </w:p>
    <w:p w:rsidR="00000000" w:rsidDel="00000000" w:rsidP="00000000" w:rsidRDefault="00000000" w:rsidRPr="00000000" w14:paraId="00000069">
      <w:pPr>
        <w:spacing w:line="48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6A">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B">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C">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D">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E">
      <w:pPr>
        <w:spacing w:line="480" w:lineRule="auto"/>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F">
      <w:pPr>
        <w:pStyle w:val="Heading2"/>
        <w:spacing w:line="480" w:lineRule="auto" w:before="160" w:after="80"/>
        <w:ind w:right="0" w:firstLine="0"/>
        <w:jc w:val="left"/>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bCs w:val="1"/>
          <w:i w:val="1"/>
          <w:iCs w:val="1"/>
          <w:color w:val="4f81bd"/>
          <w:sz w:val="24"/>
          <w:szCs w:val="24"/>
          <w:rtl w:val="0"/>
          <w:shd w:val="clear" w:color="auto" w:fill="D9D2E9"/>
        </w:rPr>
        <w:t xml:space="preserve">Gene Ontology Analysis</w:t>
      </w:r>
    </w:p>
    <w:p w:rsidR="00000000" w:rsidDel="00000000" w:rsidP="00000000" w:rsidRDefault="00000000" w:rsidRPr="00000000" w14:paraId="00000070">
      <w:pPr>
        <w:spacing w:line="24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71">
      <w:pPr>
        <w:spacing w:line="240" w:lineRule="auto" w:before="120" w:after="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b w:val="1"/>
          <w:bCs w:val="1"/>
          <w:i/>
          <w:sz w:val="22"/>
          <w:szCs w:val="20"/>
          <w:shd w:fill="D9D2E9" w:val="clear" w:color="auto"/>
          <w:rtl w:val="0"/>
        </w:rPr>
        <w:t xml:space="preserve">Figure </w:t>
      </w:r>
      <w:commentRangeStart w:id="19"/>
      <w:r w:rsidDel="00000000" w:rsidR="00000000" w:rsidRPr="00000000">
        <w:rPr>
          <w:rFonts w:ascii="Times New Roman" w:cs="Times New Roman" w:eastAsia="Times New Roman" w:hAnsi="Times New Roman"/>
          <w:b w:val="1"/>
          <w:bCs w:val="1"/>
          <w:i/>
          <w:sz w:val="22"/>
          <w:szCs w:val="20"/>
          <w:shd w:fill="D9D2E9" w:val="clear" w:color="auto"/>
          <w:rtl w:val="0"/>
        </w:rPr>
        <w:t xml:space="preserve">X</w:t>
      </w:r>
      <w:commentRangeEnd w:id="19"/>
      <w:r w:rsidDel="00000000" w:rsidR="00000000" w:rsidRPr="00000000">
        <w:rPr>
          <w:rFonts w:ascii="Times New Roman" w:hAnsi="Times New Roman" w:eastAsia="Times New Roman"/>
          <w:i/>
          <w:sz w:val="22"/>
          <w:shd w:val="clear" w:color="auto" w:fill="D9D2E9"/>
        </w:rPr>
        <w:commentReference w:id="19"/>
      </w:r>
      <w:r w:rsidDel="00000000" w:rsidR="00000000" w:rsidRPr="00000000">
        <w:rPr>
          <w:rFonts w:ascii="Times New Roman" w:cs="Times New Roman" w:eastAsia="Times New Roman" w:hAnsi="Times New Roman"/>
          <w:b w:val="1"/>
          <w:bCs w:val="1"/>
          <w:i/>
          <w:sz w:val="22"/>
          <w:szCs w:val="20"/>
          <w:shd w:fill="D9D2E9" w:val="clear" w:color="auto"/>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i/>
          <w:sz w:val="22"/>
          <w:szCs w:val="20"/>
          <w:shd w:fill="D9D2E9" w:val="clear" w:color="auto"/>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spacing w:line="480" w:lineRule="auto"/>
        <w:ind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73">
      <w:pPr>
        <w:spacing w:line="480" w:lineRule="auto"/>
        <w:ind w:right="0" w:firstLine="72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Gene ontology analysis (GOA) was conducted to identify the biological processes most enriched among the significant genes and to provide functional context for the observed expression patterns. Lollipop plots and network plots were used to evaluate both term significance and relationships among enriched terms. The analysis was divided into three categories: Biological Process (BP), Cellular Component (CC), and Molecular Function (MF).</w:t>
      </w:r>
    </w:p>
    <w:p w:rsidR="00000000" w:rsidDel="00000000" w:rsidP="00000000" w:rsidRDefault="00000000" w:rsidRPr="00000000" w14:paraId="00000074">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BP analysis was the most consistent across the enriched terms. Each term included at least 100 associated genes, with some including as many as 250 (Fig. XA.1). The strongest false discovery rate corresponded to approximately −log10(11), indicating strong statistical support, although the most enriched terms reached fold-enrichment values of only about 2.5. Across the top 20 terms, many were associated with negative regulation of cell signaling, cell communication, or responses to stimuli. This functional similarity is reflected in the network plot, where the terms are extensively connected through shared genes (Fig. XA.2).</w:t>
      </w:r>
    </w:p>
    <w:p w:rsidR="00000000" w:rsidDel="00000000" w:rsidP="00000000" w:rsidRDefault="00000000" w:rsidRPr="00000000" w14:paraId="00000075">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cellular component analysis was less consistent than the BP analysis, although many enriched terms still formed related groups. Fewer genes were assigned to this category, but the enriched terms reached fold-enrichment values as high as 4 and false discovery values near −log10(5.5) (Fig. XB.1). The most enriched term was melanosome, while other terms were associated with axonal structures and transcriptional regulators. Overall, the network plot suggests weaker connectivity than in the BP analysis, with two main groupings—one related to vesicles and another related to neuronal structures—plus a small number of outliers (Fig. XB.2).</w:t>
      </w:r>
    </w:p>
    <w:p w:rsidR="00000000" w:rsidDel="00000000" w:rsidP="00000000" w:rsidRDefault="00000000" w:rsidRPr="00000000" w14:paraId="00000076">
      <w:pPr>
        <w:spacing w:line="480" w:lineRule="auto"/>
        <w:ind w:right="0" w:firstLine="0"/>
        <w:rPr>
          <w:rFonts w:ascii="Times New Roman" w:cs="Times New Roman" w:eastAsia="Times New Roman" w:hAnsi="Times New Roman"/>
          <w:sz w:val="24"/>
          <w:szCs w:val="24"/>
          <w:shd w:fill="b4a7d6" w:val="clear"/>
        </w:rPr>
      </w:pPr>
      <w:r>
        <w:rPr>
          <w:rFonts w:ascii="Times New Roman" w:hAnsi="Times New Roman" w:eastAsia="Times New Roman"/>
          <w:shd w:val="clear" w:color="auto" w:fill="D9D2E9"/>
        </w:rPr>
        <w:t>The molecular function analysis was the least consistent of the three categories. One term, ribonuclease inhibitor activity, was the most enriched, with a fold-enrichment value above 30 (Fig. XC.1). It also had the lowest false discovery rate, near −log10(3), although only a small number of genes were assigned to it. The remaining MF terms had fold-enrichment values below 5 and were more interconnected in the network plot, while ribonuclease inhibitor activity remained isolated from the rest (Fig. XC.2). Overall, these terms were more heavily associated with different forms of molecular binding.</w:t>
      </w:r>
    </w:p>
    <w:p w:rsidR="00000000" w:rsidDel="00000000" w:rsidP="00000000" w:rsidRDefault="00000000" w:rsidRPr="00000000" w14:paraId="00000077">
      <w:pPr>
        <w:spacing w:line="480" w:lineRule="auto"/>
        <w:ind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rsidR="00000000" w:rsidDel="00000000" w:rsidP="00000000" w:rsidRDefault="00000000" w:rsidRPr="00000000" w14:paraId="0000008A">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Discussion</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16"/>
          <w:szCs w:val="16"/>
          <w:shd w:fill="f4cccc" w:val="clear"/>
        </w:rPr>
      </w:pPr>
      <w:r>
        <w:t>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remains visible across the differential expression, bend-point, and gene ontology follow-up analyses. The PCA and sample-distance views pointed to the same conclusion: ipsilateral versus contralateral structure was clearer than genotype structure, making the side-specific contrasts the most defensible main path for interpretation (Halawani et al., 2023).</w:t>
      </w:r>
    </w:p>
    <w:p w:rsidR="00000000" w:rsidDel="00000000" w:rsidP="00000000" w:rsidRDefault="00000000" w:rsidRPr="00000000" w14:paraId="0000008C">
      <w:pPr>
        <w:spacing w:after="240" w:before="240" w:line="480" w:lineRule="auto"/>
        <w:ind w:firstLine="720"/>
        <w:jc w:val="both"/>
        <w:rPr>
          <w:rFonts w:ascii="Times New Roman" w:cs="Times New Roman" w:eastAsia="Times New Roman" w:hAnsi="Times New Roman"/>
          <w:sz w:val="24"/>
          <w:szCs w:val="24"/>
          <w:shd w:fill="f4cccc" w:val="clear"/>
        </w:rPr>
      </w:pPr>
      <w:r>
        <w:rPr>
          <w:rFonts w:ascii="Times New Roman" w:hAnsi="Times New Roman" w:eastAsia="Times New Roman"/>
          <w:shd w:val="clear" w:color="auto" w:fill="F4CCCC"/>
        </w:rPr>
        <w:t>This PCA-first reading disciplined the interpretation of the large differential expression output; the analysis converged on a branch-priority logic in which ipsilateral versus contralateral in WT and ipsilateral versus contralateral in cKO served as the primary follow-up branches, while WT versus cKO in the contralateral condition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16"/>
          <w:szCs w:val="16"/>
          <w:shd w:fill="f4cccc" w:val="clear"/>
        </w:rPr>
      </w:pPr>
      <w:r w:rsidDel="00000000" w:rsidR="00000000" w:rsidRPr="00000000">
        <w:rPr>
          <w:rFonts w:ascii="Times New Roman" w:cs="Times New Roman" w:eastAsia="Times New Roman" w:hAnsi="Times New Roman"/>
          <w:sz w:val="24"/>
          <w:szCs w:val="24"/>
          <w:shd w:fill="F4CCCC" w:val="clear" w:color="auto"/>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color="auto"/>
          <w:rtl w:val="0"/>
        </w:rPr>
        <w:t xml:space="preserve">p</w:t>
      </w:r>
      <w:r w:rsidDel="00000000" w:rsidR="00000000" w:rsidRPr="00000000">
        <w:rPr>
          <w:rFonts w:ascii="Times New Roman" w:cs="Times New Roman" w:eastAsia="Times New Roman" w:hAnsi="Times New Roman"/>
          <w:sz w:val="24"/>
          <w:szCs w:val="24"/>
          <w:shd w:fill="F4CCCC" w:val="clear" w:color="auto"/>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color="auto"/>
          <w:rtl w:val="0"/>
        </w:rPr>
        <w:t xml:space="preserve">7,023</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7,541</w:t>
      </w:r>
      <w:r w:rsidDel="00000000" w:rsidR="00000000" w:rsidRPr="00000000">
        <w:rPr>
          <w:rFonts w:ascii="Times New Roman" w:cs="Times New Roman" w:eastAsia="Times New Roman" w:hAnsi="Times New Roman"/>
          <w:sz w:val="24"/>
          <w:szCs w:val="24"/>
          <w:shd w:fill="F4CCCC" w:val="clear" w:color="auto"/>
          <w:rtl w:val="0"/>
        </w:rPr>
        <w:t xml:space="preserve"> significant genes to </w:t>
      </w:r>
      <w:r w:rsidDel="00000000" w:rsidR="00000000" w:rsidRPr="00000000">
        <w:rPr>
          <w:rFonts w:ascii="Times New Roman" w:cs="Times New Roman" w:eastAsia="Times New Roman" w:hAnsi="Times New Roman"/>
          <w:sz w:val="24"/>
          <w:szCs w:val="24"/>
          <w:shd w:fill="F4CCCC" w:val="clear" w:color="auto"/>
          <w:rtl w:val="0"/>
        </w:rPr>
        <w:t xml:space="preserve">709</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870</w:t>
      </w:r>
      <w:r w:rsidDel="00000000" w:rsidR="00000000" w:rsidRPr="00000000">
        <w:rPr>
          <w:rFonts w:ascii="Times New Roman" w:cs="Times New Roman" w:eastAsia="Times New Roman" w:hAnsi="Times New Roman"/>
          <w:sz w:val="24"/>
          <w:szCs w:val="24"/>
          <w:shd w:fill="F4CCCC" w:val="clear" w:color="auto"/>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color="auto"/>
          <w:rtl w:val="0"/>
        </w:rPr>
        <w:t xml:space="preserve"> known injury and regeneration mechanisms.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16"/>
          <w:szCs w:val="16"/>
          <w:shd w:fill="d9d2e9" w:val="clear"/>
        </w:rPr>
      </w:pPr>
      <w:r>
        <w:t>Among the follow-up branches, ipsilateral versus contralateral in WT remained the clearest pathway-level result. It combined a strong side-driven separation, a large but reducible differential expression set, and the most coherent enrichment profile. GO Biological Process dominated the enrichment summary, and the WT GO follow-up indicated that the large number of enriched terms should not be read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centerpiece for the Discussion (Gene Ontology Consortium, 2021; Kolberg et al., 2020).</w:t>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shd w:fill="d9d2e9" w:val="clear"/>
        </w:rPr>
      </w:pPr>
      <w:r>
        <w:rPr>
          <w:rFonts w:ascii="Times New Roman" w:hAnsi="Times New Roman" w:eastAsia="Times New Roman"/>
          <w:shd w:val="clear" w:color="auto" w:fill="D9D2E9"/>
        </w:rPr>
        <w:t>The ipsilateral versus contralateral cKO branch still strengthens the overall argument because it reproduces the same side-specific logic and retains a substantial bend-point set, but it is slightly less clean than the main pathway branch. Likewise, WT versus cKO in the contralateral condition remains useful supporting material because it preserves a genotype-specific signal under contralateral conditions, but it works better as context than as a competing central narrative.</w:t>
      </w:r>
    </w:p>
    <w:p w:rsidR="00000000" w:rsidDel="00000000" w:rsidP="00000000" w:rsidRDefault="00000000" w:rsidRPr="00000000" w14:paraId="00000090">
      <w:pPr>
        <w:spacing w:after="240" w:before="240" w:line="480" w:lineRule="auto"/>
        <w:ind w:firstLine="720"/>
        <w:jc w:val="both"/>
        <w:rPr>
          <w:rFonts w:ascii="Times New Roman" w:cs="Times New Roman" w:eastAsia="Times New Roman" w:hAnsi="Times New Roman"/>
          <w:b w:val="1"/>
          <w:bCs w:val="1"/>
          <w:sz w:val="26"/>
          <w:szCs w:val="26"/>
          <w:shd w:fill="d9d2e9" w:val="clear"/>
        </w:rPr>
      </w:pPr>
      <w:r>
        <w:t>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remains clear: this workflow converged on a robust side-specific injury-response program, and the WT branch provided the clearest pathway-level view of that response.</w:t>
      </w:r>
    </w:p>
    <w:p w:rsidR="00000000" w:rsidDel="00000000" w:rsidP="00000000" w:rsidRDefault="00000000" w:rsidRPr="00000000" w14:paraId="00000091">
      <w:pPr>
        <w:pStyle w:val="Heading1"/>
        <w:spacing w:line="480" w:lineRule="auto" w:before="240" w:after="120"/>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sz w:val="28"/>
          <w:szCs w:val="26"/>
          <w:rtl w:val="0"/>
        </w:rPr>
        <w:t xml:space="preserve">References</w:t>
        <w:br w:type="textWrapping"/>
      </w:r>
    </w:p>
    <w:p>
      <w:pPr>
        <w:spacing w:after="0" w:line="480" w:lineRule="auto" w:before="0"/>
        <w:ind w:left="720" w:hanging="720"/>
      </w:pPr>
      <w:r>
        <w:t>Andrews, S. (2010). FastQC: A quality control tool for high throughput sequence data. https://www.bioinformatics.babraham.ac.uk/projects/fastqc/</w:t>
      </w:r>
    </w:p>
    <w:p>
      <w:pPr>
        <w:spacing w:after="0" w:line="480" w:lineRule="auto" w:before="0"/>
        <w:ind w:left="720" w:hanging="720"/>
      </w:pPr>
      <w:r>
        <w:t>Chen, S., Zhou, Y., Chen, Y., &amp; Gu, J. (2018). fastp: An ultra-fast all-in-one FASTQ preprocessor. Bioinformatics, 34(17), i884–i890. https://doi.org/10.1093/bioinformatics/bty560</w:t>
      </w:r>
    </w:p>
    <w:p>
      <w:pPr>
        <w:spacing w:after="0" w:line="480" w:lineRule="auto" w:before="0"/>
        <w:ind w:left="720" w:hanging="720"/>
      </w:pPr>
      <w:r>
        <w:t>Dobin, A., Davis, C. A., Schlesinger, F., Drenkow, J., Zaleski, C., Jha, S., Batut, P., Chaisson, M., &amp; Gingeras, T. R. (2013). STAR: Ultrafast universal RNA-seq aligner. Bioinformatics, 29(1), 15–21. https://doi.org/10.1093/bioinformatics/bts635</w:t>
      </w:r>
    </w:p>
    <w:p>
      <w:pPr>
        <w:spacing w:after="0" w:before="0"/>
        <w:ind w:left="720" w:hanging="720"/>
      </w:pPr>
      <w:r>
        <w:t>Ensembl. (2025). Mus musculus GRCm39 release 115. https://useast.ensembl.org/Mus_musculus/Info/Index</w:t>
      </w:r>
    </w:p>
    <w:p>
      <w:pPr>
        <w:spacing w:after="0" w:before="0"/>
        <w:ind w:left="720" w:hanging="720"/>
      </w:pPr>
      <w:r>
        <w:t>Ewels, P., Magnusson, M., Lundin, S., &amp; Käller, M. (2016). MultiQC: Summarize analysis results for multiple tools and samples in a single report. Bioinformatics, 32(19), 3047–3048. https://doi.org/10.1093/bioinformatics/btw354</w:t>
      </w:r>
    </w:p>
    <w:p>
      <w:pPr>
        <w:spacing w:after="0" w:before="0"/>
        <w:ind w:left="720" w:hanging="720"/>
      </w:pPr>
      <w:r>
        <w:t>Gene Ontology Consortium. (2021). The Gene Ontology resource: Enriching a GOLD mine. Nucleic Acids Research, 49(D1), D325–D334. https://doi.org/10.1093/nar/gkaa1113</w:t>
      </w:r>
    </w:p>
    <w:p>
      <w:pPr>
        <w:spacing w:after="0" w:before="0"/>
        <w:ind w:left="720" w:hanging="720"/>
      </w:pPr>
      <w:r>
        <w:t>Gillespie, M., Jassal, B., Stephan, R., Milacic, M., Rothfels, K., Senff-Ribeiro, A., Griss, J., Sevilla, C., Matthews, L., Gong, C., Deng, C., Varusai, T., Ragueneau, E., Haider, Y., May, B., Weiser, J., Brunson, T., Sanati, N., Beckman, L., ... Hermjakob, H. (2022). The Reactome pathway knowledgebase 2022. Nucleic Acids Research, 50(D1), D687–D692. https://doi.org/10.1093/nar/gkab1028</w:t>
      </w:r>
    </w:p>
    <w:p>
      <w:pPr>
        <w:spacing w:after="0" w:before="0"/>
        <w:ind w:left="720" w:hanging="720"/>
      </w:pPr>
      <w:r>
        <w:t>Halawani, D., Wang, Y., Li, J., Halperin, D., Ni, H., Estill, M., Ramakrishnan, A., Shen, L., Sefiani, A., Geoffroy, C. G., Friedel, R. H., &amp; Zou, H. (2023). AhR restricts axon regeneration by balancing neuronal stress and growth response after injury. bioRxiv. https://doi.org/10.1101/2023.11.04.565649</w:t>
      </w:r>
    </w:p>
    <w:p>
      <w:pPr>
        <w:spacing w:after="0" w:before="0"/>
        <w:ind w:left="720" w:hanging="720"/>
      </w:pPr>
      <w:r>
        <w:t>Kanehisa, M., Furumichi, M., Sato, Y., Kawashima, M., &amp; Ishiguro-Watanabe, M. (2025). KEGG for taxonomy-based analysis of pathways and genomes. Nucleic Acids Research, 53(D1), D545–D552. https://doi.org/10.1093/nar/gkae987</w:t>
      </w:r>
    </w:p>
    <w:p>
      <w:pPr>
        <w:spacing w:after="0" w:before="0"/>
        <w:ind w:left="720" w:hanging="720"/>
      </w:pPr>
      <w:r>
        <w:t>Kolberg, L., Raudvere, U., Kuzmin, I., Vilo, J., &amp; Peterson, H. (2020). g:Profiler—Interoperable web service for functional enrichment analysis and gene identifier mapping (2021 update). Nucleic Acids Research, 48(W1), W191–W198. https://doi.org/10.1093/nar/gkaa427</w:t>
      </w:r>
    </w:p>
    <w:p>
      <w:pPr>
        <w:spacing w:after="0" w:before="0"/>
        <w:ind w:left="720" w:hanging="720"/>
      </w:pPr>
      <w:r>
        <w:t>Love, M. I., Huber, W., &amp; Anders, S. (2014). Moderated estimation of fold change and dispersion for RNA-seq data with DESeq2. Genome Biology, 15(12), 550. https://doi.org/10.1186/s13059-014-0550-8</w:t>
      </w:r>
    </w:p>
    <w:p>
      <w:pPr>
        <w:spacing w:after="0" w:before="0"/>
        <w:ind w:left="720" w:hanging="720"/>
      </w:pPr>
      <w:r>
        <w:t>National Center for Biotechnology Information. (2026a). Sequence Read Archive study SRP618841. https://www.ncbi.nlm.nih.gov/Traces/study/?acc=SRP618841</w:t>
      </w:r>
    </w:p>
    <w:p>
      <w:pPr>
        <w:spacing w:after="0" w:before="0"/>
        <w:ind w:left="720" w:hanging="720"/>
      </w:pPr>
      <w:r>
        <w:t>National Center for Biotechnology Information. (2026b). BioProject PRJNA1322439. https://www.ncbi.nlm.nih.gov/bioproject/PRJNA1322439</w:t>
      </w:r>
    </w:p>
    <w:p>
      <w:pPr>
        <w:spacing w:after="0" w:before="0"/>
        <w:ind w:left="720" w:hanging="720"/>
      </w:pPr>
      <w:r>
        <w:t>National Center for Biotechnology Information. (2026c). GEO series GSE243308. https://www.ncbi.nlm.nih.gov/geo/query/acc.cgi?acc=GSE243308</w:t>
      </w:r>
    </w:p>
    <w:p>
      <w:pPr>
        <w:spacing w:after="0" w:before="0"/>
        <w:ind w:left="720" w:hanging="720"/>
      </w:pPr>
      <w:r>
        <w:t>National Center for Biotechnology Information. (2026d). SRA Toolkit. https://github.com/ncbi/sra-tools</w:t>
      </w:r>
    </w:p>
    <w:p>
      <w:pPr>
        <w:spacing w:after="0" w:line="480" w:lineRule="auto" w:before="0"/>
        <w:ind w:left="720" w:hanging="720"/>
      </w:pPr>
      <w:r>
        <w:t>Wirth, R., &amp; Hipp, J. (2000). CRISP-DM: Towards a standard process model for data mining. In Proceedings of the 4th International Conference on the Practical Applications of Knowledge Discovery and Data Mining (pp. 29–39).</w:t>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120"/>
    </w:pPr>
    <w:rPr>
      <w:rFonts w:ascii="Times New Roman" w:hAnsi="Times New Roman" w:eastAsia="Times New Roman"/>
      <w:b w:val="0"/>
      <w:i w:val="0"/>
      <w:color w:val="000000"/>
      <w:sz w:val="24"/>
    </w:r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b/>
      <w:i w:val="0"/>
      <w:color w:val="000000"/>
      <w:sz w:val="28"/>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b/>
      <w:bCs w:val="0"/>
      <w:i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b/>
      <w:i w:val="0"/>
      <w:color w:val="000000"/>
      <w:sz w:val="36"/>
      <w:szCs w:val="52"/>
    </w:rPr>
  </w:style>
  <w:style w:type="paragraph" w:styleId="Subtitle">
    <w:name w:val="Subtitle"/>
    <w:basedOn w:val="Normal"/>
    <w:next w:val="Normal"/>
    <w:pPr>
      <w:keepNext w:val="1"/>
      <w:keepLines w:val="1"/>
      <w:pageBreakBefore w:val="0"/>
      <w:spacing w:after="320" w:before="0" w:lineRule="auto"/>
    </w:pPr>
    <w:rPr>
      <w:rFonts w:ascii="Times New Roman" w:cs="Arial" w:eastAsia="Times New Roman" w:hAnsi="Times New Roman"/>
      <w:b w:val="0"/>
      <w:i/>
      <w:iCs w:val="0"/>
      <w:color w:val="404040"/>
      <w:sz w:val="24"/>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