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widowControl/>
        <w:spacing w:after="120" w:line="480" w:lineRule="auto"/>
        <w:ind w:left="720" w:right="720"/>
        <w:jc w:val="center"/>
      </w:pPr>
      <w:r>
        <w:rPr>
          <w:rFonts w:ascii="Times New Roman" w:hAnsi="Times New Roman" w:eastAsia="Times New Roman"/>
          <w:b/>
          <w:sz w:val="36"/>
        </w:rPr>
        <w:t>NGS Reanalysis Study on Global DEG Discovery in a DRG Mouse Dataset</w:t>
      </w:r>
    </w:p>
    <w:p>
      <w:pPr>
        <w:pStyle w:val="Subtitle"/>
        <w:widowControl/>
        <w:spacing w:after="120" w:line="480" w:lineRule="auto"/>
        <w:jc w:val="center"/>
      </w:pPr>
      <w:r>
        <w:rPr>
          <w:rFonts w:ascii="Times New Roman" w:hAnsi="Times New Roman" w:eastAsia="Times New Roman"/>
          <w:i/>
          <w:sz w:val="24"/>
        </w:rPr>
        <w:t>BIOL550 Group Paper</w:t>
      </w:r>
    </w:p>
    <w:p>
      <w:pPr>
        <w:pStyle w:val="Subtitle"/>
        <w:widowControl/>
        <w:spacing w:after="120" w:line="480" w:lineRule="auto"/>
        <w:jc w:val="center"/>
      </w:pPr>
      <w:r>
        <w:rPr>
          <w:rFonts w:ascii="Times New Roman" w:hAnsi="Times New Roman" w:eastAsia="Times New Roman"/>
          <w:i/>
          <w:sz w:val="24"/>
        </w:rPr>
        <w:t>Draft 2 Research Paper</w:t>
      </w:r>
    </w:p>
    <w:p>
      <w:pPr>
        <w:widowControl/>
        <w:spacing w:after="0" w:before="0"/>
        <w:jc w:val="center"/>
      </w:pPr>
      <w:r>
        <w:rPr>
          <w:rFonts w:ascii="Times New Roman" w:hAnsi="Times New Roman" w:eastAsia="Times New Roman"/>
          <w:sz w:val="24"/>
        </w:rPr>
      </w:r>
    </w:p>
    <w:p>
      <w:pPr>
        <w:pStyle w:val="Heading2"/>
        <w:keepNext/>
        <w:widowControl/>
        <w:spacing w:before="240" w:after="80"/>
        <w:jc w:val="center"/>
      </w:pPr>
      <w:r>
        <w:rPr>
          <w:rFonts w:ascii="Times New Roman" w:hAnsi="Times New Roman" w:eastAsia="Times New Roman"/>
          <w:b/>
          <w:sz w:val="24"/>
        </w:rPr>
        <w:t>Authors</w:t>
      </w:r>
    </w:p>
    <w:p>
      <w:pPr>
        <w:spacing w:after="120" w:line="480" w:lineRule="auto"/>
        <w:jc w:val="center"/>
        <w:keepNext/>
        <w:widowControl/>
        <w:shd w:val="clear" w:color="auto" w:fill="D9D2E9"/>
      </w:pPr>
      <w:r>
        <w:rPr>
          <w:rFonts w:ascii="Times New Roman" w:hAnsi="Times New Roman" w:eastAsia="Times New Roman"/>
          <w:sz w:val="24"/>
          <w:shd w:val="clear" w:color="auto" w:fill="B4A7D6"/>
        </w:rPr>
        <w:t>Nikhi Boggavarapu</w:t>
      </w:r>
    </w:p>
    <w:p>
      <w:pPr>
        <w:spacing w:after="120" w:line="480" w:lineRule="auto"/>
        <w:jc w:val="center"/>
        <w:widowControl/>
        <w:shd w:val="clear" w:color="auto" w:fill="B6D7A8"/>
      </w:pPr>
      <w:r>
        <w:rPr>
          <w:rFonts w:ascii="Times New Roman" w:hAnsi="Times New Roman" w:eastAsia="Times New Roman"/>
          <w:sz w:val="24"/>
          <w:shd w:val="clear" w:color="auto" w:fill="6AA84F"/>
        </w:rPr>
        <w:t>Sam Kopelev</w:t>
      </w:r>
    </w:p>
    <w:p>
      <w:pPr>
        <w:spacing w:after="120" w:line="480" w:lineRule="auto"/>
        <w:jc w:val="center"/>
        <w:widowControl/>
        <w:shd w:val="clear" w:color="auto" w:fill="F4CCCC"/>
      </w:pPr>
      <w:r>
        <w:rPr>
          <w:rFonts w:ascii="Times New Roman" w:hAnsi="Times New Roman" w:eastAsia="Times New Roman"/>
          <w:sz w:val="24"/>
          <w:shd w:val="clear" w:color="auto" w:fill="F4CCCC"/>
        </w:rPr>
        <w:t>Piter Garcia</w:t>
      </w:r>
    </w:p>
    <w:p>
      <w:pPr>
        <w:widowControl/>
        <w:spacing w:after="0" w:before="0"/>
        <w:jc w:val="center"/>
      </w:pPr>
      <w:r>
        <w:rPr>
          <w:rFonts w:ascii="Times New Roman" w:hAnsi="Times New Roman" w:eastAsia="Times New Roman"/>
          <w:sz w:val="24"/>
        </w:rPr>
      </w:r>
    </w:p>
    <w:p>
      <w:pPr>
        <w:pStyle w:val="Heading2"/>
        <w:keepNext/>
        <w:widowControl/>
        <w:spacing w:before="240" w:after="80"/>
        <w:jc w:val="center"/>
      </w:pPr>
      <w:r>
        <w:rPr>
          <w:rFonts w:ascii="Times New Roman" w:hAnsi="Times New Roman" w:eastAsia="Times New Roman"/>
          <w:b/>
          <w:sz w:val="24"/>
        </w:rPr>
        <w:t>Author Contribution Reference</w:t>
      </w:r>
    </w:p>
    <w:p>
      <w:pPr>
        <w:keepNext/>
        <w:widowControl/>
        <w:spacing w:after="120" w:line="480" w:lineRule="auto"/>
        <w:jc w:val="center"/>
      </w:pPr>
      <w:r>
        <w:rPr>
          <w:rFonts w:ascii="Times New Roman" w:hAnsi="Times New Roman" w:eastAsia="Times New Roman"/>
          <w:sz w:val="24"/>
        </w:rPr>
        <w:t>This working draft is submitted as a collaborative BIOL550 group paper with contributions attributed to Nikhi Boggavarapu, Sam Kopelev, and Piter Garcia.</w:t>
      </w:r>
    </w:p>
    <w:p>
      <w:pPr>
        <w:widowControl/>
        <w:spacing w:after="0" w:before="0"/>
        <w:jc w:val="center"/>
      </w:pPr>
      <w:r>
        <w:br w:type="page"/>
      </w:r>
    </w:p>
    <w:p w:rsidR="00000000" w:rsidDel="00000000" w:rsidP="00000000" w:rsidRDefault="00000000" w:rsidRPr="00000000" w14:paraId="00000005">
      <w:pPr>
        <w:pStyle w:val="Heading1"/>
        <w:keepNext/>
        <w:pageBreakBefore w:val="0"/>
        <w:widowControl/>
        <w:spacing w:line="480" w:lineRule="auto" w:before="360" w:after="160"/>
        <w:ind w:left="0" w:right="0" w:firstLine="0"/>
        <w:jc w:val="left"/>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bCs w:val="1"/>
          <w:sz w:val="28"/>
          <w:szCs w:val="26"/>
          <w:rtl w:val="0"/>
        </w:rPr>
        <w:t xml:space="preserve">Introduction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6">
      <w:pPr>
        <w:spacing w:line="480" w:lineRule="auto" w:after="120"/>
        <w:ind w:firstLine="720"/>
        <w:rPr>
          <w:rFonts w:ascii="Times New Roman" w:cs="Times New Roman" w:eastAsia="Times New Roman" w:hAnsi="Times New Roman"/>
          <w:sz w:val="24"/>
          <w:szCs w:val="24"/>
          <w:shd w:fill="b6d7a8" w:val="clear"/>
        </w:rPr>
        <w:widowControl/>
        <w:shd w:val="clear" w:color="auto" w:fill="B6D7A8"/>
      </w:pPr>
      <w:r>
        <w:t>We reanalyzed a published mouse dorsal root ganglion (DRG) RNA-seq dataset to examine how injury responses and regeneration are balanced after peripheral nerve damage, with particular attention to the aryl hydrocarbon receptor (Ahr). The original study used a neuronal conditional Ahr knockout because DRGs are a useful model for peripheral axon regrowth after sciatic nerve injury, and the conditional design helps isolate neuron-intrinsic effects more cleanly than a constitutive knockout background (Halawani et al., 2023).</w:t>
      </w:r>
    </w:p>
    <w:p w:rsidR="00000000" w:rsidDel="00000000" w:rsidP="00000000" w:rsidRDefault="00000000" w:rsidRPr="00000000" w14:paraId="00000007">
      <w:pPr>
        <w:spacing w:line="480" w:lineRule="auto" w:after="120"/>
        <w:ind w:firstLine="720"/>
        <w:rPr>
          <w:rFonts w:ascii="Times New Roman" w:cs="Times New Roman" w:eastAsia="Times New Roman" w:hAnsi="Times New Roman"/>
          <w:sz w:val="24"/>
          <w:szCs w:val="24"/>
          <w:shd w:fill="b6d7a8" w:val="clear"/>
        </w:rPr>
        <w:widowControl/>
        <w:shd w:val="clear" w:color="auto" w:fill="B6D7A8"/>
      </w:pPr>
      <w:r>
        <w:t>The paper that guided our RNA-seq analysis sought to clarify the role of the AhR pathway. Earlier work by Zuo et al. examined neuronal injury responses and identified transcription factors associated with growth and regeneration, particularly Smad1, ATF3, and Jun. That study also highlighted AhR as an outlier pathway, but its function remained unclear. The main study addressed this question through protein-protein interaction network analysis using STRING, which showed that Smad1, ATF3, and Jun formed a highly interconnected pro-regenerative hub. In contrast, AhR remained distinct from this network, suggesting that it operates independently from the established growth-response pathway (Halawani et al., 2023).</w:t>
      </w:r>
    </w:p>
    <w:p w:rsidR="00000000" w:rsidDel="00000000" w:rsidP="00000000" w:rsidRDefault="00000000" w:rsidRPr="00000000" w14:paraId="00000008">
      <w:pPr>
        <w:spacing w:line="480" w:lineRule="auto" w:after="120"/>
        <w:ind w:firstLine="720"/>
        <w:rPr>
          <w:rFonts w:ascii="Times New Roman" w:cs="Times New Roman" w:eastAsia="Times New Roman" w:hAnsi="Times New Roman"/>
          <w:sz w:val="24"/>
          <w:szCs w:val="24"/>
          <w:shd w:fill="b6d7a8" w:val="clear"/>
        </w:rPr>
        <w:widowControl/>
        <w:shd w:val="clear" w:color="auto" w:fill="B6D7A8"/>
      </w:pPr>
      <w:r>
        <w:t>After addressing how AhR relates to the previously identified transcription factors, the study moved beyond gene identification to investigate mechanism. This phase showed that AhR does not directly regulate growth; instead, it regulates cellular stress responses, translation, and proteostasis. AhR was therefore positioned as a functionally distinct network driven by HIF-1α, Bmal1, and stress-response transcription factors such as ATF4 and ATF6. Under normal conditions, when AhR is intact, nerve injury suppresses protein synthesis. In contrast, when AhR is removed, protein synthesis increases substantially, shifting the cell toward a highly active de novo translation state (Halawani et al., 2023).</w:t>
      </w:r>
    </w:p>
    <w:p w:rsidR="00000000" w:rsidDel="00000000" w:rsidP="00000000" w:rsidRDefault="00000000" w:rsidRPr="00000000" w14:paraId="00000009">
      <w:pPr>
        <w:spacing w:line="480" w:lineRule="auto" w:after="120"/>
        <w:ind w:left="0" w:firstLine="720"/>
        <w:rPr>
          <w:rFonts w:ascii="Times New Roman" w:cs="Times New Roman" w:eastAsia="Times New Roman" w:hAnsi="Times New Roman"/>
          <w:sz w:val="24"/>
          <w:szCs w:val="24"/>
          <w:shd w:fill="b6d7a8" w:val="clear"/>
        </w:rPr>
        <w:widowControl/>
        <w:shd w:val="clear" w:color="auto" w:fill="B6D7A8"/>
      </w:pPr>
      <w:r>
        <w:t>To investigate the effects of uninhibited neuronal regeneration, the researchers analyzed dorsal root ganglia (DRG)—clusters of sensory neurons whose peripheral branches have a unique capacity for regrowth—following the targeted knockout of AhR. Each of the twenty mice underwent two surgeries, one on each leg. The ipsilateral side refers to the controlled nerve crush injury, whereas the contralateral side refers to the side opposite the crushed nerve. Because whole-body knockout promoted demyelinating disease, the axonal regrowth detected in Ahr cKO mice was interpreted as arising from a neuron-intrinsic mechanism rather than from altered immune or Schwann cell responses (Halawani et al., 2023).</w:t>
      </w:r>
    </w:p>
    <w:p w:rsidR="00000000" w:rsidDel="00000000" w:rsidP="00000000" w:rsidRDefault="00000000" w:rsidRPr="00000000" w14:paraId="0000000A">
      <w:pPr>
        <w:spacing w:line="480" w:lineRule="auto" w:after="120"/>
        <w:ind w:firstLine="720"/>
        <w:rPr>
          <w:rFonts w:ascii="Times New Roman" w:cs="Times New Roman" w:eastAsia="Times New Roman" w:hAnsi="Times New Roman"/>
          <w:sz w:val="24"/>
          <w:szCs w:val="24"/>
          <w:shd w:fill="b6d7a8" w:val="clear"/>
        </w:rPr>
        <w:widowControl/>
        <w:shd w:val="clear" w:color="auto" w:fill="B6D7A8"/>
      </w:pPr>
      <w:r>
        <w:t>FF is an abbreviation for fl/fl, referring to the homozygous floxed state. Floxed indicates that a gene is flanked by loxP sites. loxP functions as a biochemical tag used by researchers. On its own, this tag has no direct effect and behaves as wild type; however, when Cre recombinase is introduced, the loxP sites act as beacons that mark where the enzyme should cut. Cre stands for Cre recombinase, the DNA-cutting enzyme guided by the loxP sites to remove the gene between them. In this study, the researchers used Thy1-CreERT2 and Nestin-Cre to ensure that the Cre enzyme was produced specifically in neurons (Halawani et al., 2023).</w:t>
      </w:r>
    </w:p>
    <w:p w:rsidR="00000000" w:rsidDel="00000000" w:rsidP="00000000" w:rsidRDefault="00000000" w:rsidRPr="00000000" w14:paraId="0000000B">
      <w:pPr>
        <w:spacing w:line="480" w:lineRule="auto" w:after="120"/>
        <w:ind w:firstLine="720"/>
        <w:rPr>
          <w:rFonts w:ascii="Times New Roman" w:cs="Times New Roman" w:eastAsia="Times New Roman" w:hAnsi="Times New Roman"/>
          <w:sz w:val="24"/>
          <w:szCs w:val="24"/>
          <w:shd w:fill="b6d7a8" w:val="clear"/>
        </w:rPr>
        <w:widowControl/>
        <w:shd w:val="clear" w:color="auto" w:fill="B6D7A8"/>
      </w:pPr>
      <w:r>
        <w:t>First, we aimed to reproduce the study’s findings, particularly the differentially expressed genes (DEGs). Although the study used response-shift scores (RSS) to filter DEGs, we performed a global differential expression analysis and identified 709 statistically significant genes. Second, we aimed to cross-reference those genes, identify validated and unique genes from our global analysis, and compare the gene ontology categories to which they belong in order to understand the biological processes involved (Halawani et al., 2023).</w:t>
      </w:r>
    </w:p>
    <w:p w:rsidR="00000000" w:rsidDel="00000000" w:rsidP="00000000" w:rsidRDefault="00000000" w:rsidRPr="00000000" w14:paraId="0000000C">
      <w:pPr>
        <w:spacing w:line="480" w:lineRule="auto" w:after="120"/>
        <w:ind w:firstLine="720"/>
        <w:rPr>
          <w:rFonts w:ascii="Times New Roman" w:cs="Times New Roman" w:eastAsia="Times New Roman" w:hAnsi="Times New Roman"/>
          <w:color w:val="ff0000"/>
          <w:sz w:val="24"/>
          <w:szCs w:val="24"/>
          <w:shd w:fill="b6d7a8" w:val="clear"/>
        </w:rPr>
        <w:widowControl/>
        <w:shd w:val="clear" w:color="auto" w:fill="B6D7A8"/>
      </w:pPr>
      <w:r>
        <w:t>We use the source paper as a guide for understanding the biological processes involved and how they differ from our global differential expression approach. Because the original study focused specifically on genes correlated with AhR through the RSS filter, our broader reanalysis provides a way to compare that targeted view with a transcriptome-wide interpretation (Halawani et al., 2023).</w:t>
      </w:r>
    </w:p>
    <w:p w:rsidR="00000000" w:rsidDel="00000000" w:rsidP="00000000" w:rsidRDefault="00000000" w:rsidRPr="00000000" w14:paraId="0000000D">
      <w:pPr>
        <w:widowControl/>
        <w:spacing w:line="240" w:lineRule="auto" w:after="0" w:before="0"/>
        <w:rPr>
          <w:rFonts w:ascii="Times New Roman" w:cs="Times New Roman" w:eastAsia="Times New Roman" w:hAnsi="Times New Roman"/>
          <w:color w:val="ff0000"/>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0E">
      <w:pPr>
        <w:spacing w:line="480" w:lineRule="auto" w:after="120"/>
        <w:rPr>
          <w:rFonts w:ascii="Times New Roman" w:cs="Times New Roman" w:eastAsia="Times New Roman" w:hAnsi="Times New Roman"/>
          <w:sz w:val="24"/>
          <w:szCs w:val="24"/>
          <w:shd w:fill="b4a7d6" w:val="clear"/>
        </w:rPr>
        <w:widowControl/>
        <w:shd w:val="clear" w:color="auto" w:fill="D9D2E9"/>
      </w:pPr>
      <w:r>
        <w:t>With these goals in mind, we completed the core steps of RNA-seq analysis, including trimming and alignment. We also conducted a differential expression analysis comparing ipsilateral versus contralateral samples and wild-type versus conditional knockout genotypes. Beyond differential expression, we carried out gene ontology analysis to place the strongest gene sets into biological context and to better understand the functional roles of the genes highlighted by the experiment (Halawani et al., 2023; Love et al., 2014; Kolberg et al., 2020).</w:t>
      </w:r>
    </w:p>
    <w:p w:rsidR="00000000" w:rsidDel="00000000" w:rsidP="00000000" w:rsidRDefault="00000000" w:rsidRPr="00000000" w14:paraId="0000000F">
      <w:pPr>
        <w:pStyle w:val="Heading1"/>
        <w:keepNext/>
        <w:keepLines w:val="0"/>
        <w:widowControl/>
        <w:spacing w:after="160" w:before="360" w:line="292.17365217391307" w:lineRule="auto"/>
        <w:jc w:val="left"/>
        <w:rPr>
          <w:rFonts w:ascii="Times New Roman" w:cs="Times New Roman" w:eastAsia="Times New Roman" w:hAnsi="Times New Roman"/>
          <w:b w:val="1"/>
          <w:bCs w:val="1"/>
          <w:sz w:val="28"/>
          <w:szCs w:val="28"/>
        </w:rPr>
        <w:pageBreakBefore/>
      </w:pPr>
      <w:bookmarkStart w:colFirst="0" w:colLast="0" w:name="_mf487djije7y" w:id="0"/>
      <w:bookmarkEnd w:id="0"/>
      <w:r w:rsidDel="00000000" w:rsidR="00000000" w:rsidRPr="00000000">
        <w:rPr>
          <w:rFonts w:ascii="Times New Roman" w:cs="Times New Roman" w:eastAsia="Times New Roman" w:hAnsi="Times New Roman"/>
          <w:b/>
          <w:bCs w:val="1"/>
          <w:sz w:val="28"/>
          <w:szCs w:val="28"/>
          <w:rtl w:val="0"/>
        </w:rPr>
        <w:t xml:space="preserve">Materials and Methods</w:t>
      </w:r>
    </w:p>
    <w:p w:rsidR="00000000" w:rsidDel="00000000" w:rsidP="00000000" w:rsidRDefault="00000000" w:rsidRPr="00000000" w14:paraId="00000010">
      <w:pPr>
        <w:widowControl/>
        <w:spacing w:after="0" w:before="0"/>
        <w:jc w:val="both"/>
        <w:rPr/>
      </w:pPr>
      <w:r w:rsidDel="00000000" w:rsidR="00000000" w:rsidRPr="00000000">
        <w:rPr>
          <w:rFonts w:ascii="Times New Roman" w:hAnsi="Times New Roman" w:eastAsia="Times New Roman"/>
          <w:rtl w:val="0"/>
        </w:rPr>
      </w:r>
    </w:p>
    <w:p w:rsidR="00000000" w:rsidDel="00000000" w:rsidP="00000000" w:rsidRDefault="00000000" w:rsidRPr="00000000" w14:paraId="00000011">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This project reanalyzed mouse DRG bulk RNA-seq data collected after sciatic nerve injury using a four-stage computational workflow: Data Collection, Data Cleaning, Data Preparation, and Data Analysis and Interpretation. This structure was used to keep accession tracking, quality control, alignment review, and downstream modeling as explicit and reproducible checkpoints, while allowing the same analysis path to be reused after earlier dataset-selection issues without rebuilding the workflow from scratch (Wirth &amp; Hipp, 2000).</w:t>
      </w:r>
    </w:p>
    <w:p w:rsidR="00000000" w:rsidDel="00000000" w:rsidP="00000000" w:rsidRDefault="00000000" w:rsidRPr="00000000" w14:paraId="00000012">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The working subset comprised 20 paired-end Illumina NovaSeq X libraries from SRP618841 (BioProject PRJNA1322439; GEO GSE243308), representing L4–L6 dorsal root ganglion samples collected 1 day after sciatic nerve injury (Halawani et al., 2023; National Center for Biotechnology Information [NCBI], 2026a, 2026b, 2026c). The local subset was organized as a balanced side-by-genotype design within the family_drg_novaseqx family, with equal representation of ipsilateral and contralateral samples and of wild-type and cKO genotype classes before quality control, alignment, and differential expression analysis. At each stage, outputs were reviewed and advanced through defined checkpoints to maintain consistency and reproducibility throughout the analysis.</w:t>
      </w:r>
    </w:p>
    <w:p w:rsidR="00000000" w:rsidDel="00000000" w:rsidP="00000000" w:rsidRDefault="00000000" w:rsidRPr="00000000" w14:paraId="00000013">
      <w:pPr>
        <w:spacing w:after="0" w:lineRule="auto" w:before="0"/>
        <w:jc w:val="center"/>
        <w:rPr>
          <w:rFonts w:ascii="Times New Roman" w:cs="Times New Roman" w:eastAsia="Times New Roman" w:hAnsi="Times New Roman"/>
          <w:b w:val="1"/>
          <w:bCs w:val="1"/>
          <w:sz w:val="20"/>
          <w:szCs w:val="20"/>
          <w:shd w:fill="f4cccc" w:val="clear"/>
        </w:rPr>
        <w:widowControl/>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4">
      <w:pPr>
        <w:spacing w:after="160" w:lineRule="auto" w:before="40" w:line="480"/>
        <w:jc w:val="center"/>
        <w:rPr>
          <w:rFonts w:ascii="Times New Roman" w:cs="Times New Roman" w:eastAsia="Times New Roman" w:hAnsi="Times New Roman"/>
          <w:sz w:val="24"/>
          <w:szCs w:val="24"/>
          <w:shd w:fill="f4cccc" w:val="clear"/>
        </w:rPr>
        <w:keepNext/>
        <w:keepLines/>
        <w:widowControl/>
        <w:shd w:val="clear" w:color="auto" w:fill="F4CCCC"/>
      </w:pPr>
      <w:r>
        <w:rPr>
          <w:i/>
          <w:sz w:val="20"/>
        </w:rPr>
        <w:t>Figure 1. Overview ribbon summarizing the four computational stages in the mouse_new workflow.</w:t>
      </w:r>
    </w:p>
    <w:p w:rsidR="00000000" w:rsidDel="00000000" w:rsidP="00000000" w:rsidRDefault="00000000" w:rsidRPr="00000000" w14:paraId="00000015">
      <w:pPr>
        <w:spacing w:line="480" w:lineRule="auto" w:after="0" w:before="0"/>
        <w:ind w:firstLine="720"/>
        <w:jc w:val="both"/>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6">
      <w:pPr>
        <w:spacing w:line="480" w:lineRule="auto" w:after="120"/>
        <w:ind w:firstLine="720"/>
        <w:jc w:val="both"/>
        <w:rPr>
          <w:rFonts w:ascii="Times New Roman" w:cs="Times New Roman" w:eastAsia="Times New Roman" w:hAnsi="Times New Roman"/>
          <w:sz w:val="24"/>
          <w:szCs w:val="24"/>
          <w:shd w:fill="f4cccc" w:val="clear"/>
        </w:rPr>
        <w:widowControl/>
        <w:shd w:val="clear" w:color="auto" w:fill="F4CCCC"/>
      </w:pPr>
      <w:r>
        <w:t>The workflow was structured as four connected stages with explicit checkpoints and handoffs. The Collection stage used prefetch and fasterq-dump to assemble the sample table and family manifest, retaining 20 SRRs across four balanced subgroups (n = 5 each) and producing the FASTQ.gz pairs and manifest used throughout the pipeline. The Cleaning stage applied FastQC, MultiQC, and fastp, generating the QC heatmap and severity-delta summary and showing that the raw adapter-content failures were resolved after trimming, with cleaned read pairs and per-sample QC reports passed forward. The Preparation stage used STAR with GeneCounts to generate the unique-mapping plot and STAR median summary, with a median unique-mapping rate of 93.24% and a median noFeature rate of 3.82%, and produced the sorted BAMs, STAR logs, count tables, and family matrix used downstream. Finally, the Analysis stage used DESeq2, bend-point follow-up, and g:Profiler to generate the filtering summary, analysis summary, and enrichment-source tables, reducing the tested set from 78,334 to 21,481 genes across five modeled contrasts and producing the differential expression tables, bend-point follow-up sets, and enrichment summaries used for interpretation (Andrews, 2010; Chen et al., 2018; Dobin et al., 2013; Ewels et al., 2016; Kolberg et al., 2020; Love et al., 2014).</w:t>
      </w:r>
    </w:p>
    <w:p w:rsidR="00000000" w:rsidDel="00000000" w:rsidP="00000000" w:rsidRDefault="00000000" w:rsidRPr="00000000" w14:paraId="00000017">
      <w:pPr>
        <w:spacing w:after="0" w:before="0"/>
        <w:rPr>
          <w:shd w:fill="f4cccc" w:val="clear"/>
        </w:rPr>
        <w:widowControl/>
        <w:shd w:val="clear" w:color="auto" w:fill="F4CCCC"/>
      </w:pPr>
      <w:r w:rsidDel="00000000" w:rsidR="00000000" w:rsidRPr="00000000">
        <w:rPr>
          <w:rFonts w:ascii="Times New Roman" w:hAnsi="Times New Roman" w:eastAsia="Times New Roman"/>
          <w:rtl w:val="0"/>
        </w:rPr>
      </w:r>
    </w:p>
    <w:p w:rsidR="00000000" w:rsidDel="00000000" w:rsidP="00000000" w:rsidRDefault="00000000" w:rsidRPr="00000000" w14:paraId="00000018">
      <w:pPr>
        <w:pStyle w:val="Heading2"/>
        <w:spacing w:after="80" w:line="240" w:lineRule="auto" w:before="240"/>
        <w:jc w:val="left"/>
        <w:rPr>
          <w:rFonts w:ascii="Times New Roman" w:cs="Times New Roman" w:eastAsia="Times New Roman" w:hAnsi="Times New Roman"/>
          <w:b w:val="1"/>
          <w:bCs w:val="1"/>
          <w:i w:val="1"/>
          <w:iCs w:val="1"/>
          <w:color w:val="4f81bd"/>
          <w:sz w:val="24"/>
          <w:szCs w:val="24"/>
          <w:shd w:fill="f4cccc" w:val="clear"/>
        </w:rPr>
        <w:keepNext/>
        <w:widowControl/>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Representative Command Examples</w:t>
      </w:r>
    </w:p>
    <w:p w:rsidR="00000000" w:rsidDel="00000000" w:rsidP="00000000" w:rsidRDefault="00000000" w:rsidRPr="00000000" w14:paraId="00000019">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corresponding table summarizes representative examples of the commands used to execute the main workflow stages, with emphasis on the computational path and key non-default parameters.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1A">
      <w:pPr>
        <w:spacing w:after="160" w:line="480" w:lineRule="auto" w:before="40"/>
        <w:jc w:val="left"/>
        <w:rPr>
          <w:rFonts w:ascii="Times New Roman" w:cs="Times New Roman" w:eastAsia="Times New Roman" w:hAnsi="Times New Roman"/>
          <w:sz w:val="20"/>
          <w:szCs w:val="20"/>
          <w:shd w:fill="f4cccc" w:val="clear"/>
        </w:rPr>
        <w:keepNext/>
        <w:keepLines/>
        <w:widowControl/>
        <w:shd w:val="clear" w:color="auto" w:fill="F4CCCC"/>
      </w:pPr>
      <w:r w:rsidDel="00000000" w:rsidR="00000000" w:rsidRPr="00000000">
        <w:rPr>
          <w:rFonts w:ascii="Times New Roman" w:cs="Times New Roman" w:eastAsia="Times New Roman" w:hAnsi="Times New Roman"/>
          <w:b w:val="1"/>
          <w:bCs w:val="1"/>
          <w:i/>
          <w:sz w:val="20"/>
          <w:szCs w:val="20"/>
          <w:shd w:fill="F4CCCC" w:val="clear" w:color="auto"/>
          <w:rtl w:val="0"/>
        </w:rPr>
        <w:t xml:space="preserve">Table 2. </w:t>
      </w:r>
      <w:r w:rsidDel="00000000" w:rsidR="00000000" w:rsidRPr="00000000">
        <w:rPr>
          <w:rFonts w:ascii="Times New Roman" w:cs="Times New Roman" w:eastAsia="Times New Roman" w:hAnsi="Times New Roman"/>
          <w:i/>
          <w:sz w:val="20"/>
          <w:szCs w:val="20"/>
          <w:shd w:fill="F4CCCC" w:val="clear" w:color="auto"/>
          <w:rtl w:val="0"/>
        </w:rPr>
        <w:t xml:space="preserve">Representative command examples for the tools used in the mouse_new</w:t>
      </w:r>
    </w:p>
    <w:tbl>
      <w:tblPr>
        <w:tblStyle w:val="Table1"/>
        <w:tblW w:w="9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995"/>
        <w:gridCol w:w="6000"/>
        <w:tblGridChange w:id="0">
          <w:tblGrid>
            <w:gridCol w:w="1125"/>
            <w:gridCol w:w="1995"/>
            <w:gridCol w:w="6000"/>
          </w:tblGrid>
        </w:tblGridChange>
      </w:tblGrid>
      <w:tr>
        <w:trPr>
          <w:cantSplit w:val="0"/>
          <w:trHeight w:val="435" w:hRule="atLeast"/>
          <w:tblHeader w:val="0"/>
        </w:trPr>
        <w:tc>
          <w:tcPr>
            <w:tcBorders>
              <w:top w:color="666666" w:space="0" w:sz="6" w:val="single"/>
              <w:left w:color="666666" w:space="0" w:sz="6" w:val="single"/>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B">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Stage</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C">
            <w:pPr>
              <w:spacing w:after="40" w:lineRule="auto" w:before="40"/>
              <w:jc w:val="center"/>
              <w:rPr>
                <w:rFonts w:ascii="Times New Roman" w:cs="Times New Roman" w:eastAsia="Times New Roman" w:hAnsi="Times New Roman"/>
                <w:b w:val="1"/>
                <w:bCs w:val="1"/>
                <w:sz w:val="18"/>
                <w:szCs w:val="18"/>
                <w:shd w:fill="f4cccc" w:val="clear"/>
              </w:rPr>
            </w:pPr>
            <w:r w:rsidDel="00000000" w:rsidR="00000000" w:rsidRPr="00000000">
              <w:rPr>
                <w:rFonts w:ascii="Times New Roman" w:cs="Times New Roman" w:eastAsia="Times New Roman" w:hAnsi="Times New Roman"/>
                <w:b/>
                <w:bCs w:val="1"/>
                <w:sz w:val="21"/>
                <w:szCs w:val="18"/>
                <w:shd w:fill="f4cccc" w:val="clear"/>
                <w:rtl w:val="0"/>
              </w:rPr>
              <w:t xml:space="preserve">Tool</w:t>
            </w:r>
          </w:p>
        </w:tc>
        <w:tc>
          <w:tcPr>
            <w:tcBorders>
              <w:top w:color="666666" w:space="0" w:sz="6" w:val="single"/>
              <w:left w:color="000000" w:space="0" w:sz="0" w:val="nil"/>
              <w:bottom w:color="666666" w:space="0" w:sz="6" w:val="single"/>
              <w:right w:color="666666" w:space="0" w:sz="6" w:val="single"/>
            </w:tcBorders>
            <w:shd w:fill="f2f2f2" w:val="clear"/>
            <w:tcMar>
              <w:top w:w="0.0" w:type="dxa"/>
              <w:left w:w="100.0" w:type="dxa"/>
              <w:bottom w:w="0.0" w:type="dxa"/>
              <w:right w:w="100.0" w:type="dxa"/>
            </w:tcMar>
            <w:vAlign w:val="center"/>
            <w:shd w:fill="D9E2F3"/>
          </w:tcPr>
          <w:p w:rsidR="00000000" w:rsidDel="00000000" w:rsidP="00000000" w:rsidRDefault="00000000" w:rsidRPr="00000000" w14:paraId="0000001D">
            <w:pPr>
              <w:spacing w:after="40" w:lineRule="auto" w:before="40"/>
              <w:jc w:val="left"/>
              <w:rPr>
                <w:rFonts w:ascii="Times New Roman" w:cs="Times New Roman" w:eastAsia="Times New Roman" w:hAnsi="Times New Roman"/>
                <w:b w:val="1"/>
                <w:bCs w:val="1"/>
                <w:sz w:val="18"/>
                <w:szCs w:val="18"/>
                <w:shd w:fill="f4cccc" w:val="clear"/>
              </w:rPr>
            </w:pPr>
            <w:r w:rsidDel="00000000" w:rsidR="00000000" w:rsidRPr="00000000">
              <w:rPr>
                <w:rFonts w:ascii="Consolas" w:cs="Times New Roman" w:eastAsia="Times New Roman" w:hAnsi="Consolas"/>
                <w:b/>
                <w:bCs w:val="1"/>
                <w:sz w:val="18"/>
                <w:szCs w:val="18"/>
                <w:shd w:fill="f4cccc" w:val="clear"/>
                <w:rtl w:val="0"/>
              </w:rPr>
              <w:t xml:space="preserve">Representative command/code example</w:t>
            </w:r>
          </w:p>
        </w:tc>
      </w:tr>
      <w:tr>
        <w:trPr>
          <w:cantSplit w:val="0"/>
          <w:trHeight w:val="33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1E">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Collection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1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prefetch + fasterq-dump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0">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prefetch SRR35329980 &amp;&amp; fasterq-dump SRR35329980 --split-files -O fastq/</w:t>
            </w:r>
          </w:p>
        </w:tc>
      </w:tr>
      <w:tr>
        <w:trPr>
          <w:cantSplit w:val="0"/>
          <w:trHeight w:val="4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1">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3">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fastqc raw/*.fastq.gz trimmed/*.fastq.gz --outdir fastqc_reports/</w:t>
            </w:r>
          </w:p>
        </w:tc>
      </w:tr>
      <w:tr>
        <w:trPr>
          <w:cantSplit w:val="0"/>
          <w:trHeight w:val="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4">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MultiQC</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6">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multiqc fastqc_reports/ fastp_reports_full/ -o multiqc/</w:t>
            </w:r>
          </w:p>
        </w:tc>
      </w:tr>
      <w:tr>
        <w:trPr>
          <w:cantSplit w:val="0"/>
          <w:trHeight w:val="6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7">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Cleaning</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8">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fastp</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9">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fastp -i sample_R1.fastq.gz -I sample_R2.fastq.gz -o clean_R1.fastq.gz -O clean_R2.fastq.gz --detect_adapter_for_pe --trim_poly_g --cut_mean_quality 20 --length_required 30 -h sample.html -j sample.json</w:t>
            </w:r>
          </w:p>
        </w:tc>
      </w:tr>
      <w:tr>
        <w:trPr>
          <w:cantSplit w:val="0"/>
          <w:trHeight w:val="78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A">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Preparation</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2B">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STAR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pPr>
              <w:spacing w:after="40" w:before="40"/>
              <w:jc w:val="left"/>
            </w:pPr>
            <w:r>
              <w:rPr>
                <w:rFonts w:ascii="Consolas" w:hAnsi="Consolas"/>
                <w:sz w:val="18"/>
              </w:rPr>
              <w:t>STAR --runThreadN 8 --genomeDir star_index --readFilesIn clean_R1.fastq.gz clean_R2.fastq.gz --readFilesCommand zcat --sjdbGTFfile Mus_musculus.GRCm39.115.gtf --outSAMtype BAM SortedByCoordinate --quantMode GeneCounts</w:t>
            </w:r>
          </w:p>
        </w:tc>
      </w:tr>
      <w:tr>
        <w:trPr>
          <w:cantSplit w:val="0"/>
          <w:trHeight w:val="22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2F">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0">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DESeq2</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1">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dds &lt;- DESeqDataSetFromMatrix(countData, colData, design = side_class * geno_class); dds &lt;- DESeq(dds)</w:t>
            </w:r>
          </w:p>
        </w:tc>
      </w:tr>
      <w:tr>
        <w:trPr>
          <w:cantSplit w:val="0"/>
          <w:trHeight w:val="195"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2">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3">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bend-point script</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4">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python3 run_bendpoint_followup.py --contrast ipsi_vs_contra_in_ff --padj-column padj</w:t>
            </w:r>
          </w:p>
        </w:tc>
      </w:tr>
      <w:tr>
        <w:trPr>
          <w:cantSplit w:val="0"/>
          <w:trHeight w:val="360" w:hRule="atLeast"/>
          <w:tblHeader w:val="0"/>
        </w:trPr>
        <w:tc>
          <w:tcPr>
            <w:tcBorders>
              <w:top w:color="000000" w:space="0" w:sz="0" w:val="nil"/>
              <w:left w:color="666666" w:space="0" w:sz="6" w:val="single"/>
              <w:bottom w:color="666666" w:space="0" w:sz="6" w:val="single"/>
              <w:right w:color="666666" w:space="0" w:sz="6" w:val="single"/>
            </w:tcBorders>
            <w:shd w:fill="eeeaf7" w:val="clear"/>
            <w:tcMar>
              <w:top w:w="0.0" w:type="dxa"/>
              <w:left w:w="100.0" w:type="dxa"/>
              <w:bottom w:w="0.0" w:type="dxa"/>
              <w:right w:w="100.0" w:type="dxa"/>
            </w:tcMar>
            <w:vAlign w:val="center"/>
          </w:tcPr>
          <w:p w:rsidR="00000000" w:rsidDel="00000000" w:rsidP="00000000" w:rsidRDefault="00000000" w:rsidRPr="00000000" w14:paraId="00000035">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Analysis</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6">
            <w:pPr>
              <w:spacing w:after="40" w:lineRule="auto" w:before="40"/>
              <w:jc w:val="center"/>
              <w:rPr>
                <w:rFonts w:ascii="Times New Roman" w:cs="Times New Roman" w:eastAsia="Times New Roman" w:hAnsi="Times New Roman"/>
                <w:sz w:val="18"/>
                <w:szCs w:val="18"/>
                <w:shd w:fill="f4cccc" w:val="clear"/>
              </w:rPr>
            </w:pPr>
            <w:r w:rsidDel="00000000" w:rsidR="00000000" w:rsidRPr="00000000">
              <w:rPr>
                <w:rFonts w:ascii="Times New Roman" w:cs="Times New Roman" w:eastAsia="Times New Roman" w:hAnsi="Times New Roman"/>
                <w:sz w:val="20"/>
                <w:szCs w:val="18"/>
                <w:shd w:fill="f4cccc" w:val="clear"/>
                <w:rtl w:val="0"/>
              </w:rPr>
              <w:t xml:space="preserve">g:Profiler</w:t>
            </w:r>
          </w:p>
        </w:tc>
        <w:tc>
          <w:tcPr>
            <w:tcBorders>
              <w:top w:color="000000" w:space="0" w:sz="0" w:val="nil"/>
              <w:left w:color="000000" w:space="0" w:sz="0" w:val="nil"/>
              <w:bottom w:color="666666" w:space="0" w:sz="6" w:val="single"/>
              <w:right w:color="666666" w:space="0" w:sz="6" w:val="single"/>
            </w:tcBorders>
            <w:tcMar>
              <w:top w:w="0.0" w:type="dxa"/>
              <w:left w:w="100.0" w:type="dxa"/>
              <w:bottom w:w="0.0" w:type="dxa"/>
              <w:right w:w="100.0" w:type="dxa"/>
            </w:tcMar>
            <w:vAlign w:val="center"/>
          </w:tcPr>
          <w:p w:rsidR="00000000" w:rsidDel="00000000" w:rsidP="00000000" w:rsidRDefault="00000000" w:rsidRPr="00000000" w14:paraId="00000037">
            <w:pPr>
              <w:spacing w:after="40" w:lineRule="auto" w:before="40"/>
              <w:jc w:val="left"/>
              <w:rPr>
                <w:rFonts w:ascii="Times New Roman" w:cs="Times New Roman" w:eastAsia="Times New Roman" w:hAnsi="Times New Roman"/>
                <w:sz w:val="18"/>
                <w:szCs w:val="18"/>
                <w:shd w:fill="f4cccc" w:val="clear"/>
              </w:rPr>
            </w:pPr>
            <w:r w:rsidDel="00000000" w:rsidR="00000000" w:rsidRPr="00000000">
              <w:rPr>
                <w:rFonts w:ascii="Consolas" w:cs="Times New Roman" w:eastAsia="Times New Roman" w:hAnsi="Consolas"/>
                <w:sz w:val="18"/>
                <w:szCs w:val="18"/>
                <w:shd w:fill="f4cccc" w:val="clear"/>
                <w:rtl w:val="0"/>
              </w:rPr>
              <w:t xml:space="preserve">gp.profile(organism = "mmusculus", query = selected_genes, sources = c("GO:BP","KEGG","REAC"))</w:t>
            </w:r>
          </w:p>
        </w:tc>
      </w:tr>
    </w:tbl>
    <w:p w:rsidR="00000000" w:rsidDel="00000000" w:rsidP="00000000" w:rsidRDefault="00000000" w:rsidRPr="00000000" w14:paraId="00000038">
      <w:pPr>
        <w:spacing w:after="0" w:line="523.6363636363636" w:lineRule="auto" w:before="0"/>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rtl w:val="0"/>
        </w:rPr>
        <w:t xml:space="preserve"> </w:t>
      </w:r>
    </w:p>
    <w:p w:rsidR="00000000" w:rsidDel="00000000" w:rsidP="00000000" w:rsidRDefault="00000000" w:rsidRPr="00000000" w14:paraId="00000039">
      <w:pPr>
        <w:pStyle w:val="Heading2"/>
        <w:spacing w:after="80" w:line="523.6363636363636" w:lineRule="auto" w:before="240"/>
        <w:jc w:val="left"/>
        <w:rPr>
          <w:rFonts w:ascii="Times New Roman" w:cs="Times New Roman" w:eastAsia="Times New Roman" w:hAnsi="Times New Roman"/>
          <w:b w:val="1"/>
          <w:bCs w:val="1"/>
          <w:i w:val="1"/>
          <w:iCs w:val="1"/>
          <w:color w:val="4f81bd"/>
          <w:sz w:val="24"/>
          <w:szCs w:val="24"/>
          <w:shd w:fill="f4cccc" w:val="clear"/>
        </w:rPr>
        <w:keepNext/>
        <w:widowControl/>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Collection: SRA Acquisition and Sample Organization</w:t>
      </w:r>
    </w:p>
    <w:p w:rsidR="00000000" w:rsidDel="00000000" w:rsidP="00000000" w:rsidRDefault="00000000" w:rsidRPr="00000000" w14:paraId="0000003A">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The analysis began with the published DRG RNA-seq study SRP618841, linked to BioProject PRJNA1322439 and GEO series GSE243308. Public runs were retrieved using the project wrappers around prefetch and fasterq-dump, and the local workflow retained 20 paired-end NovaSeq X libraries from the 1-day-post-injury DRG subset. Recording this accession lineage was important because the pipeline had to remain reusable across candidate mouse datasets; explicit accession-to-run tracking prevented later stages from being tied to an ambiguous source dataset (National Center for Biotechnology Information, 2026a, 2026b, 2026c, 2026d).</w:t>
      </w:r>
    </w:p>
    <w:p w:rsidR="00000000" w:rsidDel="00000000" w:rsidP="00000000" w:rsidRDefault="00000000" w:rsidRPr="00000000" w14:paraId="0000003B">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After download, metadata were consolidated into a design-aware sample table. Each retained sample was annotated by side_class (ipsilateral or contralateral), geno_class (WT or cKO), and the derived condition_family. This step established a balanced 2 × 2 experimental design, with two genotypes (WT, cKO) by two sides (ipsilateral, contralateral) and five samples per group, which was then used in the DESeq2 model and subsequent interpretation. It also created a reusable family manifest that could be re-read by downstream notebooks without reconstructing group identity from filenames.</w:t>
      </w:r>
      <w:r w:rsidDel="00000000" w:rsidR="00000000" w:rsidRPr="00000000">
        <w:rPr>
          <w:rFonts w:ascii="Times New Roman" w:cs="Times New Roman" w:eastAsia="Times New Roman" w:hAnsi="Times New Roman"/>
          <w:sz w:val="24"/>
          <w:szCs w:val="24"/>
          <w:shd w:fill="F4CCCC" w:val="clear" w:color="auto"/>
          <w:rtl w:val="0"/>
        </w:rPr>
        <w:t xml:space="preserve"> </w:t>
      </w:r>
    </w:p>
    <w:p w:rsidR="00000000" w:rsidDel="00000000" w:rsidP="00000000" w:rsidRDefault="00000000" w:rsidRPr="00000000" w14:paraId="0000003C">
      <w:pPr>
        <w:pStyle w:val="Heading2"/>
        <w:keepNext/>
        <w:keepLines w:val="0"/>
        <w:spacing w:after="80" w:before="240" w:line="367.0591764705882" w:lineRule="auto"/>
        <w:jc w:val="left"/>
        <w:rPr>
          <w:rFonts w:ascii="Times New Roman" w:cs="Times New Roman" w:eastAsia="Times New Roman" w:hAnsi="Times New Roman"/>
          <w:b w:val="1"/>
          <w:bCs w:val="1"/>
          <w:i w:val="1"/>
          <w:iCs w:val="1"/>
          <w:color w:val="4f81bd"/>
          <w:sz w:val="24"/>
          <w:szCs w:val="24"/>
          <w:shd w:fill="f4cccc" w:val="clear"/>
        </w:rPr>
        <w:widowControl/>
        <w:shd w:val="clear" w:color="auto" w:fill="F4CCCC"/>
      </w:pPr>
      <w:bookmarkStart w:colFirst="0" w:colLast="0" w:name="_rm0arka88hy" w:id="1"/>
      <w:bookmarkEnd w:id="1"/>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Cleaning: Quality Control and Read Trimming</w:t>
      </w:r>
    </w:p>
    <w:p w:rsidR="00000000" w:rsidDel="00000000" w:rsidP="00000000" w:rsidRDefault="00000000" w:rsidRPr="00000000" w14:paraId="0000003D">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Raw read quality was evaluated with FastQC, and cohort-level summaries were consolidated with MultiQC. This stage was treated as a documented checkpoint, so pre- and post-trimming QC outputs were retained to show the effect of trimming explicitly (Andrews, 2010; Ewels et al., 2016). The local workflow used fastp v0.23.2 as the canonical cleanup tool because it provided a reproducible paired-end workflow, generated per-sample reports, and resolved adapter-related signal more effectively than the earlier baseline (Chen et al., 2018).</w:t>
      </w:r>
    </w:p>
    <w:p w:rsidR="00000000" w:rsidDel="00000000" w:rsidP="00000000" w:rsidRDefault="00000000" w:rsidRPr="00000000" w14:paraId="0000003E">
      <w:pPr>
        <w:spacing w:after="120" w:line="480" w:lineRule="auto"/>
        <w:ind w:firstLine="720"/>
        <w:jc w:val="both"/>
        <w:rPr>
          <w:rFonts w:ascii="Times New Roman" w:cs="Times New Roman" w:eastAsia="Times New Roman" w:hAnsi="Times New Roman"/>
          <w:b w:val="1"/>
          <w:bCs w:val="1"/>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retained fastp configuration used paired-end adapter detection, poly-G trimming, a mean-quality cutoff of 20, a minimum retained length of 30 bases, and per-sample HTML/JSON reporting. In the accompanying figure, the left panel shows the module-status heatmap, and the right panel shows the SRR-level severity-change plot. Together, these outputs document a consistent improvement in read quality across the cohort before alignment. Retaining both the raw and trimmed checkpoints also made this stage reusable for later dataset screening, because poor candidate subsets could be rejected or repaired using the same QC evidence.</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3F">
      <w:pPr>
        <w:pStyle w:val="Heading2"/>
        <w:spacing w:after="80" w:line="523.6363636363636" w:lineRule="auto" w:before="240"/>
        <w:jc w:val="left"/>
        <w:rPr>
          <w:rFonts w:ascii="Times New Roman" w:cs="Times New Roman" w:eastAsia="Times New Roman" w:hAnsi="Times New Roman"/>
          <w:b w:val="1"/>
          <w:bCs w:val="1"/>
          <w:i w:val="1"/>
          <w:iCs w:val="1"/>
          <w:color w:val="4f81bd"/>
          <w:sz w:val="24"/>
          <w:szCs w:val="24"/>
          <w:shd w:fill="f4cccc" w:val="clear"/>
        </w:rPr>
        <w:keepNext/>
        <w:widowControl/>
        <w:shd w:val="clear" w:color="auto" w:fill="F4CCCC"/>
      </w:pPr>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Preparation: Reference Selection and Alignment</w:t>
      </w:r>
    </w:p>
    <w:p w:rsidR="00000000" w:rsidDel="00000000" w:rsidP="00000000" w:rsidRDefault="00000000" w:rsidRPr="00000000" w14:paraId="00000040">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Trimmed read pairs were aligned to the Mus musculus GRCm39 primary assembly with the matching Ensembl release 115 annotation. The reference pair used in the local workflow consisted of Mus_musculus.GRCm39.dna.primary_assembly.fa and Mus_musculus.GRCm39.115.gtf. A STAR genome index was generated with sjdbOverhang = 150 to match the 151-bp paired-end reads. Alignment was performed with STAR using gzip-aware input handling, coordinate-sorted BAM output, and GeneCounts, so that the same run also produced per-sample count tables (Dobin et al., 2013; Ensembl, 2025).</w:t>
      </w:r>
    </w:p>
    <w:p w:rsidR="00000000" w:rsidDel="00000000" w:rsidP="00000000" w:rsidRDefault="00000000" w:rsidRPr="00000000" w14:paraId="00000041">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This stage linked cleaned reads to downstream modeling through a stable alignment handoff. For each sample, the workflow retained three key outputs: a coordinate-sorted BAM file, a STAR Log.final.out summary, and a ReadsPerGene.out.tab count table. These outputs provided both the alignment checkpoint and the count-level handoff used to assemble the final family matrix for the DRG subset. Reverse-stranded counts (column 4 of each ReadsPerGene.out.tab file) were used as the input for downstream DESeq2 modeling, consistent with the strandedness assumption used in the project workflow. Treating alignment review and count-matrix assembly as explicit handoffs also made the same preparation stage reusable across candidate datasets.</w:t>
      </w:r>
    </w:p>
    <w:p w:rsidR="00000000" w:rsidDel="00000000" w:rsidP="00000000" w:rsidRDefault="00000000" w:rsidRPr="00000000" w14:paraId="00000042">
      <w:pPr>
        <w:pStyle w:val="Heading2"/>
        <w:keepNext/>
        <w:keepLines w:val="0"/>
        <w:spacing w:after="80" w:before="240" w:line="367.0591764705882" w:lineRule="auto"/>
        <w:jc w:val="left"/>
        <w:rPr>
          <w:rFonts w:ascii="Times New Roman" w:cs="Times New Roman" w:eastAsia="Times New Roman" w:hAnsi="Times New Roman"/>
          <w:b w:val="1"/>
          <w:bCs w:val="1"/>
          <w:i w:val="1"/>
          <w:iCs w:val="1"/>
          <w:color w:val="4f81bd"/>
          <w:sz w:val="24"/>
          <w:szCs w:val="24"/>
          <w:shd w:fill="f4cccc" w:val="clear"/>
        </w:rPr>
        <w:widowControl/>
        <w:shd w:val="clear" w:color="auto" w:fill="F4CCCC"/>
      </w:pPr>
      <w:bookmarkStart w:colFirst="0" w:colLast="0" w:name="_3lls8e5l4eo4" w:id="2"/>
      <w:bookmarkEnd w:id="2"/>
      <w:r w:rsidDel="00000000" w:rsidR="00000000" w:rsidRPr="00000000">
        <w:rPr>
          <w:rFonts w:ascii="Times New Roman" w:cs="Times New Roman" w:eastAsia="Times New Roman" w:hAnsi="Times New Roman"/>
          <w:b/>
          <w:bCs w:val="1"/>
          <w:i w:val="1"/>
          <w:iCs w:val="1"/>
          <w:color w:val="4F81BD"/>
          <w:sz w:val="24"/>
          <w:szCs w:val="24"/>
          <w:shd w:fill="F4CCCC" w:val="clear" w:color="auto"/>
          <w:rtl w:val="0"/>
        </w:rPr>
        <w:t xml:space="preserve">Data Analysis and Interpretation: Differential Expression and Functional Analysis</w:t>
      </w:r>
    </w:p>
    <w:p w:rsidR="00000000" w:rsidDel="00000000" w:rsidP="00000000" w:rsidRDefault="00000000" w:rsidRPr="00000000" w14:paraId="00000043">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The merged family count matrix was analyzed with DESeq2 using the explicit side-by-genotype design carried forward from the sample manifest (Love et al., 2014). An interaction design formula (~ side_class * geno_class) was specified so that the effect of side could differ by genotype, while all five contrast branches were extracted from a single fitted model. Before modeling, low-support genes were filtered, reducing the tested set from 78,334 to 21,481 genes while retaining all 20 DRG samples. Five contrasts were then evaluated: ipsilateral versus contralateral in WT, ipsilateral versus contralateral in cKO, WT versus cKO in contralateral, WT versus cKO in ipsilateral, and interaction. This contrast inventory was kept fixed so that later interpretation did not drift when one branch became more interpretable than another.</w:t>
      </w:r>
    </w:p>
    <w:p w:rsidR="00000000" w:rsidDel="00000000" w:rsidP="00000000" w:rsidRDefault="00000000" w:rsidRPr="00000000" w14:paraId="00000044">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Downstream interpretation followed a PCA-first, branch-priority logic. PCA was used to evaluate sample structure before long DE tables were emphasized, and the side-specific branches were then carried forward as the primary follow-up path. To avoid reducing very large DE outputs to unstructured gene lists, the workflow applied a bend-point rule to the ordered adjusted-p-value curve for each contrast. These bend-point-derived follow-up sets were reported alongside the padj &lt; 0.05 results. For the two primary side-specific contrasts, this step retained 709 and 870 genes, respectively.</w:t>
      </w:r>
    </w:p>
    <w:p w:rsidR="00000000" w:rsidDel="00000000" w:rsidP="00000000" w:rsidRDefault="00000000" w:rsidRPr="00000000" w14:paraId="00000045">
      <w:pPr>
        <w:spacing w:after="120" w:line="480" w:lineRule="auto"/>
        <w:ind w:firstLine="720"/>
        <w:jc w:val="both"/>
        <w:rPr>
          <w:rFonts w:ascii="Times New Roman" w:cs="Times New Roman" w:eastAsia="Times New Roman" w:hAnsi="Times New Roman"/>
          <w:sz w:val="24"/>
          <w:szCs w:val="24"/>
          <w:shd w:fill="f4cccc" w:val="clear"/>
        </w:rPr>
        <w:widowControl/>
        <w:shd w:val="clear" w:color="auto" w:fill="F4CCCC"/>
      </w:pPr>
      <w:r>
        <w:t>The resulting follow-up sets were then submitted to g:Profiler using GO Biological Process, KEGG, and Reactome layers (Gene Ontology Consortium, 2021; Gillespie et al., 2022; Kanehisa et al., 2025; Kolberg et al., 2020). In the WT branch, which remained the clearest pathway-level follow-up, enrichment outputs were further summarized using shared-gene chart, tree, and network views to reduce redundancy among overlapping GO labels. These enrichment products are described here as downstream summaries of the differential-expression workflow rather than as final biological claims.</w:t>
      </w:r>
    </w:p>
    <w:p w:rsidR="00000000" w:rsidDel="00000000" w:rsidP="00000000" w:rsidRDefault="00000000" w:rsidRPr="00000000" w14:paraId="00000046">
      <w:pPr>
        <w:widowControl/>
        <w:spacing w:after="0" w:line="523.6363636363636" w:lineRule="auto" w:before="0"/>
        <w:ind w:firstLine="72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47">
      <w:pPr>
        <w:pStyle w:val="Heading1"/>
        <w:keepNext/>
        <w:widowControl/>
        <w:spacing w:line="480" w:lineRule="auto" w:before="360" w:after="16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Results</w:t>
      </w:r>
    </w:p>
    <w:p>
      <w:pPr>
        <w:widowControl/>
        <w:shd w:val="clear" w:color="auto" w:fill="F4CCCC"/>
        <w:spacing w:after="120" w:line="480" w:lineRule="auto"/>
      </w:pPr>
      <w:r>
        <w:t>The results are presented in the same order as the workflow described in the Methods section, moving from data quality and alignment to differential expression and functional interpretation.</w:t>
      </w:r>
    </w:p>
    <w:p w:rsidR="00000000" w:rsidDel="00000000" w:rsidP="00000000" w:rsidRDefault="00000000" w:rsidRPr="00000000" w14:paraId="00000048">
      <w:pPr>
        <w:pStyle w:val="Heading2"/>
        <w:spacing w:line="480" w:lineRule="auto" w:before="240" w:after="80"/>
        <w:ind w:left="0" w:right="0" w:firstLine="0"/>
        <w:jc w:val="left"/>
        <w:rPr>
          <w:rFonts w:ascii="Times New Roman" w:cs="Times New Roman" w:eastAsia="Times New Roman" w:hAnsi="Times New Roman"/>
          <w:b w:val="1"/>
          <w:bCs w:val="1"/>
          <w:i w:val="1"/>
          <w:iCs w:val="1"/>
          <w:color w:val="4f81bd"/>
          <w:sz w:val="24"/>
          <w:szCs w:val="24"/>
          <w:shd w:fill="b4a7d6" w:val="clear"/>
        </w:rPr>
        <w:keepNext/>
        <w:widowControl/>
        <w:shd w:val="clear" w:color="auto" w:fill="D9D2E9"/>
      </w:pPr>
      <w:r w:rsidDel="00000000" w:rsidR="00000000" w:rsidRPr="00000000">
        <w:rPr>
          <w:rFonts w:ascii="Times New Roman" w:cs="Times New Roman" w:eastAsia="Times New Roman" w:hAnsi="Times New Roman"/>
          <w:b/>
          <w:bCs w:val="1"/>
          <w:i w:val="1"/>
          <w:iCs w:val="1"/>
          <w:color w:val="4F81BD"/>
          <w:sz w:val="24"/>
          <w:szCs w:val="24"/>
          <w:shd w:fill="D9D2E9" w:val="clear" w:color="auto"/>
          <w:rtl w:val="0"/>
        </w:rPr>
        <w:t xml:space="preserve">Quality Control and Trimming of RNASeq Data</w:t>
      </w:r>
    </w:p>
    <w:p w:rsidR="00000000" w:rsidDel="00000000" w:rsidP="00000000" w:rsidRDefault="00000000" w:rsidRPr="00000000" w14:paraId="00000049">
      <w:pPr>
        <w:keepNext/>
        <w:keepLines/>
        <w:widowControl/>
        <w:spacing w:line="240" w:lineRule="auto" w:after="60" w:before="120"/>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shd w:fill="b4a7d6" w:val="clear"/>
        </w:rPr>
        <w:drawing>
          <wp:inline distB="114300" distT="114300" distL="114300" distR="114300">
            <wp:extent cx="5176838" cy="4229100"/>
            <wp:effectExtent b="25400" l="25400" r="25400" t="25400"/>
            <wp:docPr id="6" name="image6.png"/>
            <a:graphic>
              <a:graphicData uri="http://schemas.openxmlformats.org/drawingml/2006/picture">
                <pic:pic>
                  <pic:nvPicPr>
                    <pic:cNvPr id="0" name="image6.png"/>
                    <pic:cNvPicPr preferRelativeResize="0"/>
                  </pic:nvPicPr>
                  <pic:blipFill>
                    <a:blip r:embed="rId17"/>
                    <a:srcRect b="28792" l="6811" r="6170" t="0"/>
                    <a:stretch>
                      <a:fillRect/>
                    </a:stretch>
                  </pic:blipFill>
                  <pic:spPr>
                    <a:xfrm>
                      <a:off x="0" y="0"/>
                      <a:ext cx="5176838" cy="42291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4A">
      <w:pPr>
        <w:spacing w:line="480" w:lineRule="auto" w:before="40" w:after="160"/>
        <w:ind w:left="540" w:right="540" w:firstLine="0"/>
        <w:jc w:val="center"/>
        <w:rPr>
          <w:rFonts w:ascii="Times New Roman" w:cs="Times New Roman" w:eastAsia="Times New Roman" w:hAnsi="Times New Roman"/>
          <w:sz w:val="20"/>
          <w:szCs w:val="20"/>
          <w:shd w:fill="b4a7d6" w:val="clear"/>
        </w:rPr>
        <w:keepNext/>
        <w:keepLines/>
        <w:widowControl/>
        <w:shd w:val="clear" w:color="auto" w:fill="D9D2E9"/>
      </w:pPr>
      <w:r w:rsidDel="00000000" w:rsidR="00000000" w:rsidRPr="00000000">
        <w:rPr>
          <w:rFonts w:ascii="Times New Roman" w:cs="Times New Roman" w:eastAsia="Times New Roman" w:hAnsi="Times New Roman"/>
          <w:b w:val="1"/>
          <w:bCs w:val="1"/>
          <w:i/>
          <w:sz w:val="20"/>
          <w:szCs w:val="20"/>
          <w:shd w:fill="D9D2E9" w:val="clear" w:color="auto"/>
          <w:rtl w:val="0"/>
        </w:rPr>
        <w:t xml:space="preserve">Figure</w:t>
      </w:r>
      <w:commentRangeStart w:id="0"/>
      <w:r w:rsidDel="00000000" w:rsidR="00000000" w:rsidRPr="00000000">
        <w:rPr>
          <w:rFonts w:ascii="Times New Roman" w:cs="Times New Roman" w:eastAsia="Times New Roman" w:hAnsi="Times New Roman"/>
          <w:b w:val="1"/>
          <w:bCs w:val="1"/>
          <w:i/>
          <w:sz w:val="20"/>
          <w:szCs w:val="20"/>
          <w:shd w:fill="D9D2E9" w:val="clear" w:color="auto"/>
          <w:rtl w:val="0"/>
        </w:rPr>
        <w:t xml:space="preserve"> </w:t>
      </w:r>
      <w:r w:rsidDel="00000000" w:rsidR="00000000" w:rsidRPr="00000000">
        <w:rPr>
          <w:rFonts w:ascii="Times New Roman" w:cs="Times New Roman" w:eastAsia="Times New Roman" w:hAnsi="Times New Roman"/>
          <w:b w:val="1"/>
          <w:bCs w:val="1"/>
          <w:i/>
          <w:sz w:val="20"/>
          <w:szCs w:val="20"/>
          <w:shd w:fill="D9D2E9" w:val="clear" w:color="auto"/>
          <w:rtl w:val="0"/>
        </w:rPr>
        <w:t xml:space="preserve">X</w:t>
      </w:r>
      <w:commentRangeEnd w:id="0"/>
      <w:r w:rsidDel="00000000" w:rsidR="00000000" w:rsidRPr="00000000">
        <w:rPr>
          <w:rFonts w:ascii="Times New Roman" w:hAnsi="Times New Roman" w:eastAsia="Times New Roman"/>
          <w:i/>
          <w:sz w:val="20"/>
          <w:shd w:val="clear" w:color="auto" w:fill="D9D2E9"/>
        </w:rPr>
        <w:commentReference w:id="0"/>
      </w:r>
      <w:r w:rsidDel="00000000" w:rsidR="00000000" w:rsidRPr="00000000">
        <w:rPr>
          <w:rFonts w:ascii="Times New Roman" w:cs="Times New Roman" w:eastAsia="Times New Roman" w:hAnsi="Times New Roman"/>
          <w:b w:val="1"/>
          <w:bCs w:val="1"/>
          <w:i/>
          <w:sz w:val="20"/>
          <w:szCs w:val="20"/>
          <w:shd w:fill="D9D2E9" w:val="clear" w:color="auto"/>
          <w:rtl w:val="0"/>
        </w:rPr>
        <w:t xml:space="preserve">. Plots displaying adapter content present in the RNASeq samples pre-trim (A) and post-trim (B). </w:t>
      </w:r>
      <w:r w:rsidDel="00000000" w:rsidR="00000000" w:rsidRPr="00000000">
        <w:rPr>
          <w:rFonts w:ascii="Times New Roman" w:cs="Times New Roman" w:eastAsia="Times New Roman" w:hAnsi="Times New Roman"/>
          <w:i/>
          <w:sz w:val="20"/>
          <w:szCs w:val="20"/>
          <w:shd w:fill="D9D2E9" w:val="clear" w:color="auto"/>
          <w:rtl w:val="0"/>
        </w:rPr>
        <w:t xml:space="preserve">The plots demonstrate the percentage of sequences that have the adapter content due to RNASeq steps, where the post-trim plot has significantly less adapter content present.</w:t>
      </w:r>
    </w:p>
    <w:p w:rsidR="00000000" w:rsidDel="00000000" w:rsidP="00000000" w:rsidRDefault="00000000" w:rsidRPr="00000000" w14:paraId="0000004B">
      <w:pPr>
        <w:widowControl/>
        <w:spacing w:line="480" w:lineRule="auto" w:after="0" w:before="0"/>
        <w:ind w:left="0"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4C">
      <w:pPr>
        <w:spacing w:line="480" w:lineRule="auto" w:after="120"/>
        <w:ind w:left="0" w:right="0" w:firstLine="72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Before using the dataset downstream, it was necessary to evaluate the raw data to identify any major quality issues. MultiQC was used to summarize the sequencing results at the cohort level. The initial review showed a clear adapter-content issue in the post-sequencing data, with about 45% of sequences containing adapter sequence near the 140-bp position (Fig. XA). This pattern is expected in RNA-seq because adapters are required during library preparation and sequencing. To address this issue, the dataset was trimmed to remove adapter contamination, overrepresented sequences, and excess sequence duplication. After trimming, the proportion of sequences containing adapters dropped to below 1% (Fig. XB).</w:t>
      </w:r>
    </w:p>
    <w:p w:rsidR="00000000" w:rsidDel="00000000" w:rsidP="00000000" w:rsidRDefault="00000000" w:rsidRPr="00000000" w14:paraId="0000004D">
      <w:pPr>
        <w:widowControl/>
        <w:spacing w:line="240" w:lineRule="auto" w:after="0" w:before="0"/>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4E">
      <w:pPr>
        <w:spacing w:line="480" w:lineRule="auto" w:after="40" w:before="0"/>
        <w:ind w:right="0" w:firstLine="0"/>
        <w:jc w:val="center"/>
        <w:rPr>
          <w:rFonts w:ascii="Times New Roman" w:cs="Times New Roman" w:eastAsia="Times New Roman" w:hAnsi="Times New Roman"/>
          <w:b w:val="1"/>
          <w:bCs w:val="1"/>
          <w:sz w:val="20"/>
          <w:szCs w:val="20"/>
          <w:shd w:fill="b4a7d6" w:val="clear"/>
        </w:rPr>
        <w:widowControl/>
        <w:shd w:val="clear" w:color="auto" w:fill="D9D2E9"/>
      </w:pPr>
      <w:r w:rsidDel="00000000" w:rsidR="00000000" w:rsidRPr="00000000">
        <w:rPr>
          <w:rFonts w:ascii="Times New Roman" w:cs="Times New Roman" w:eastAsia="Times New Roman" w:hAnsi="Times New Roman"/>
          <w:b w:val="1"/>
          <w:bCs w:val="1"/>
          <w:sz w:val="20"/>
          <w:szCs w:val="20"/>
          <w:shd w:fill="b4a7d6" w:val="clear"/>
          <w:rtl w:val="0"/>
        </w:rPr>
        <w:t xml:space="preserve">A. </w:t>
        <w:tab/>
        <w:tab/>
        <w:tab/>
        <w:tab/>
        <w:tab/>
        <w:tab/>
        <w:tab/>
        <w:t xml:space="preserve">B.</w:t>
      </w:r>
    </w:p>
    <w:p w:rsidR="00000000" w:rsidDel="00000000" w:rsidP="00000000" w:rsidRDefault="00000000" w:rsidRPr="00000000" w14:paraId="0000004F">
      <w:pPr>
        <w:keepNext/>
        <w:keepLines/>
        <w:widowControl/>
        <w:spacing w:line="240" w:lineRule="auto" w:after="60" w:before="120"/>
        <w:ind w:right="0" w:firstLine="0"/>
        <w:jc w:val="cente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3095625" cy="1827981"/>
            <wp:effectExtent b="25400" l="25400" r="25400" t="25400"/>
            <wp:docPr id="7" name="image3.png"/>
            <a:graphic>
              <a:graphicData uri="http://schemas.openxmlformats.org/drawingml/2006/picture">
                <pic:pic>
                  <pic:nvPicPr>
                    <pic:cNvPr id="0" name="image3.png"/>
                    <pic:cNvPicPr preferRelativeResize="0"/>
                  </pic:nvPicPr>
                  <pic:blipFill>
                    <a:blip r:embed="rId18"/>
                    <a:srcRect b="0" l="0" r="13611" t="5461"/>
                    <a:stretch>
                      <a:fillRect/>
                    </a:stretch>
                  </pic:blipFill>
                  <pic:spPr>
                    <a:xfrm>
                      <a:off x="0" y="0"/>
                      <a:ext cx="3095625" cy="1827981"/>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0"/>
          <w:szCs w:val="20"/>
          <w:shd w:fill="b4a7d6" w:val="clear"/>
        </w:rPr>
        <w:drawing>
          <wp:inline distB="114300" distT="114300" distL="114300" distR="114300">
            <wp:extent cx="2524125" cy="1842269"/>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5954"/>
                    <a:stretch>
                      <a:fillRect/>
                    </a:stretch>
                  </pic:blipFill>
                  <pic:spPr>
                    <a:xfrm>
                      <a:off x="0" y="0"/>
                      <a:ext cx="2524125" cy="1842269"/>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0">
      <w:pPr>
        <w:spacing w:line="480" w:lineRule="auto" w:before="40" w:after="160"/>
        <w:ind w:right="0" w:firstLine="0"/>
        <w:jc w:val="center"/>
        <w:rPr>
          <w:rFonts w:ascii="Times New Roman" w:cs="Times New Roman" w:eastAsia="Times New Roman" w:hAnsi="Times New Roman"/>
          <w:sz w:val="20"/>
          <w:szCs w:val="20"/>
          <w:shd w:fill="b4a7d6" w:val="clear"/>
        </w:rPr>
        <w:keepNext/>
        <w:keepLines/>
        <w:widowControl/>
        <w:shd w:val="clear" w:color="auto" w:fill="D9D2E9"/>
      </w:pPr>
      <w:r w:rsidDel="00000000" w:rsidR="00000000" w:rsidRPr="00000000">
        <w:rPr>
          <w:rFonts w:ascii="Times New Roman" w:cs="Times New Roman" w:eastAsia="Times New Roman" w:hAnsi="Times New Roman"/>
          <w:b w:val="1"/>
          <w:bCs w:val="1"/>
          <w:i/>
          <w:sz w:val="20"/>
          <w:szCs w:val="20"/>
          <w:shd w:fill="D9D2E9" w:val="clear" w:color="auto"/>
          <w:rtl w:val="0"/>
        </w:rPr>
        <w:t xml:space="preserve">Figure</w:t>
      </w:r>
      <w:r w:rsidDel="00000000" w:rsidR="00000000" w:rsidRPr="00000000">
        <w:rPr>
          <w:rFonts w:ascii="Times New Roman" w:cs="Times New Roman" w:eastAsia="Times New Roman" w:hAnsi="Times New Roman"/>
          <w:b w:val="1"/>
          <w:bCs w:val="1"/>
          <w:i/>
          <w:sz w:val="20"/>
          <w:szCs w:val="20"/>
          <w:shd w:fill="D9D2E9" w:val="clear" w:color="auto"/>
          <w:rtl w:val="0"/>
        </w:rPr>
        <w:t xml:space="preserve"> </w:t>
      </w:r>
      <w:commentRangeStart w:id="4"/>
      <w:r w:rsidDel="00000000" w:rsidR="00000000" w:rsidRPr="00000000">
        <w:rPr>
          <w:rFonts w:ascii="Times New Roman" w:cs="Times New Roman" w:eastAsia="Times New Roman" w:hAnsi="Times New Roman"/>
          <w:b w:val="1"/>
          <w:bCs w:val="1"/>
          <w:i/>
          <w:sz w:val="20"/>
          <w:szCs w:val="20"/>
          <w:shd w:fill="D9D2E9" w:val="clear" w:color="auto"/>
          <w:rtl w:val="0"/>
        </w:rPr>
        <w:t xml:space="preserve">X</w:t>
      </w:r>
      <w:commentRangeEnd w:id="4"/>
      <w:r w:rsidDel="00000000" w:rsidR="00000000" w:rsidRPr="00000000">
        <w:rPr>
          <w:rFonts w:ascii="Times New Roman" w:hAnsi="Times New Roman" w:eastAsia="Times New Roman"/>
          <w:i/>
          <w:sz w:val="20"/>
          <w:shd w:val="clear" w:color="auto" w:fill="D9D2E9"/>
        </w:rPr>
        <w:commentReference w:id="4"/>
      </w:r>
      <w:r w:rsidDel="00000000" w:rsidR="00000000" w:rsidRPr="00000000">
        <w:rPr>
          <w:rFonts w:ascii="Times New Roman" w:cs="Times New Roman" w:eastAsia="Times New Roman" w:hAnsi="Times New Roman"/>
          <w:b w:val="1"/>
          <w:bCs w:val="1"/>
          <w:i/>
          <w:sz w:val="20"/>
          <w:szCs w:val="20"/>
          <w:shd w:fill="D9D2E9" w:val="clear" w:color="auto"/>
          <w:rtl w:val="0"/>
        </w:rPr>
        <w:t xml:space="preserve">. Display of statistics after completing alignment of RNASeq data to the GRCm39 </w:t>
      </w:r>
      <w:r w:rsidDel="00000000" w:rsidR="00000000" w:rsidRPr="00000000">
        <w:rPr>
          <w:rFonts w:ascii="Times New Roman" w:cs="Times New Roman" w:eastAsia="Times New Roman" w:hAnsi="Times New Roman"/>
          <w:b w:val="1"/>
          <w:bCs w:val="1"/>
          <w:i/>
          <w:iCs w:val="1"/>
          <w:sz w:val="20"/>
          <w:szCs w:val="20"/>
          <w:shd w:fill="D9D2E9" w:val="clear" w:color="auto"/>
          <w:rtl w:val="0"/>
        </w:rPr>
        <w:t xml:space="preserve">Mus musculus </w:t>
      </w:r>
      <w:r w:rsidDel="00000000" w:rsidR="00000000" w:rsidRPr="00000000">
        <w:rPr>
          <w:rFonts w:ascii="Times New Roman" w:cs="Times New Roman" w:eastAsia="Times New Roman" w:hAnsi="Times New Roman"/>
          <w:b w:val="1"/>
          <w:bCs w:val="1"/>
          <w:i/>
          <w:sz w:val="20"/>
          <w:szCs w:val="20"/>
          <w:shd w:fill="D9D2E9" w:val="clear" w:color="auto"/>
          <w:rtl w:val="0"/>
        </w:rPr>
        <w:t xml:space="preserve">reference genome</w:t>
      </w:r>
      <w:r w:rsidDel="00000000" w:rsidR="00000000" w:rsidRPr="00000000">
        <w:rPr>
          <w:rFonts w:ascii="Times New Roman" w:cs="Times New Roman" w:eastAsia="Times New Roman" w:hAnsi="Times New Roman"/>
          <w:b w:val="1"/>
          <w:bCs w:val="1"/>
          <w:i/>
          <w:sz w:val="20"/>
          <w:szCs w:val="20"/>
          <w:shd w:fill="D9D2E9" w:val="clear" w:color="auto"/>
          <w:rtl w:val="0"/>
        </w:rPr>
        <w:t xml:space="preserve">.</w:t>
      </w:r>
      <w:r w:rsidDel="00000000" w:rsidR="00000000" w:rsidRPr="00000000">
        <w:rPr>
          <w:rFonts w:ascii="Times New Roman" w:cs="Times New Roman" w:eastAsia="Times New Roman" w:hAnsi="Times New Roman"/>
          <w:i/>
          <w:sz w:val="20"/>
          <w:szCs w:val="20"/>
          <w:shd w:fill="D9D2E9" w:val="clear" w:color="auto"/>
          <w:rtl w:val="0"/>
        </w:rPr>
        <w:t xml:space="preserve"> Figure A displays the unique mapping percentages across each read, and Figure B displays a box plot showing the distribution of the uniquely mapped reads.</w:t>
      </w:r>
    </w:p>
    <w:p w:rsidR="00000000" w:rsidDel="00000000" w:rsidP="00000000" w:rsidRDefault="00000000" w:rsidRPr="00000000" w14:paraId="00000051">
      <w:pPr>
        <w:widowControl/>
        <w:spacing w:line="480" w:lineRule="auto" w:after="0" w:before="0"/>
        <w:ind w:left="0" w:right="0" w:firstLine="0"/>
        <w:rPr>
          <w:rFonts w:ascii="Times New Roman" w:cs="Times New Roman" w:eastAsia="Times New Roman" w:hAnsi="Times New Roman"/>
          <w:sz w:val="20"/>
          <w:szCs w:val="20"/>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2">
      <w:pPr>
        <w:spacing w:line="480" w:lineRule="auto" w:after="120"/>
        <w:ind w:left="0" w:right="0" w:firstLine="72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Alignment statistics recorded after mapping the trimmed reads to the reference genome indicated high-quality alignment. Each sample had a uniquely mapped read percentage above 90% (Fig. XA). The lowest value was just below 92.6%, which appears to be a mild outlier relative to the rest of the dataset (Fig. XB). Most samples clustered between 93.1% and slightly above 93.4%. Overall, these alignment metrics indicate that the dataset is high quality and support proceeding with downstream differential expression analyses.</w:t>
      </w:r>
    </w:p>
    <w:p w:rsidR="00000000" w:rsidDel="00000000" w:rsidP="00000000" w:rsidRDefault="00000000" w:rsidRPr="00000000" w14:paraId="00000053">
      <w:pPr>
        <w:widowControl/>
        <w:spacing w:line="480" w:lineRule="auto" w:after="0" w:before="0"/>
        <w:ind w:left="0" w:right="0" w:firstLine="0"/>
        <w:rPr>
          <w:rFonts w:ascii="Times New Roman" w:cs="Times New Roman" w:eastAsia="Times New Roman" w:hAnsi="Times New Roman"/>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4">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5">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6">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7">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8">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59">
      <w:pPr>
        <w:pStyle w:val="Heading2"/>
        <w:keepNext/>
        <w:widowControl/>
        <w:spacing w:line="480" w:lineRule="auto" w:before="240" w:after="80"/>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1"/>
          <w:iCs w:val="1"/>
          <w:color w:val="4F81BD"/>
          <w:sz w:val="24"/>
          <w:szCs w:val="24"/>
          <w:rtl w:val="0"/>
        </w:rPr>
        <w:t xml:space="preserve">Differential Expression Analysis</w:t>
      </w:r>
      <w:r w:rsidDel="00000000" w:rsidR="00000000" w:rsidRPr="00000000">
        <w:rPr>
          <w:rFonts w:ascii="Times New Roman" w:hAnsi="Times New Roman" w:eastAsia="Times New Roman"/>
          <w:b/>
          <w:color w:val="4F81BD"/>
          <w:sz w:val="24"/>
          <w:rtl w:val="0"/>
        </w:rPr>
      </w:r>
    </w:p>
    <w:p w:rsidR="00000000" w:rsidDel="00000000" w:rsidP="00000000" w:rsidRDefault="00000000" w:rsidRPr="00000000" w14:paraId="0000005A">
      <w:pPr>
        <w:keepNext/>
        <w:keepLines/>
        <w:widowControl/>
        <w:spacing w:line="240" w:lineRule="auto" w:after="60" w:before="120"/>
        <w:ind w:left="0" w:right="0" w:firstLine="0"/>
        <w:jc w:val="center"/>
        <w:rPr>
          <w:rFonts w:ascii="Times New Roman" w:cs="Times New Roman" w:eastAsia="Times New Roman" w:hAnsi="Times New Roman"/>
          <w:sz w:val="24"/>
          <w:szCs w:val="24"/>
          <w:shd w:fill="b4a7d6" w:val="clear"/>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37823"/>
            <wp:effectExtent b="25400" l="25400" r="25400" t="2540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86313" cy="3337823"/>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5B">
      <w:pPr>
        <w:spacing w:line="480" w:lineRule="auto" w:before="40" w:after="160"/>
        <w:ind w:left="900" w:right="810" w:firstLine="0"/>
        <w:jc w:val="center"/>
        <w:rPr>
          <w:rFonts w:ascii="Times New Roman" w:cs="Times New Roman" w:eastAsia="Times New Roman" w:hAnsi="Times New Roman"/>
          <w:sz w:val="20"/>
          <w:szCs w:val="20"/>
          <w:shd w:fill="6aa84f" w:val="clear"/>
        </w:rPr>
        <w:keepNext/>
        <w:keepLines/>
        <w:widowControl/>
        <w:shd w:val="clear" w:color="auto" w:fill="B6D7A8"/>
      </w:pPr>
      <w:r w:rsidDel="00000000" w:rsidR="00000000" w:rsidRPr="00000000">
        <w:rPr>
          <w:rFonts w:ascii="Times New Roman" w:cs="Times New Roman" w:eastAsia="Times New Roman" w:hAnsi="Times New Roman"/>
          <w:b w:val="1"/>
          <w:bCs w:val="1"/>
          <w:i/>
          <w:sz w:val="20"/>
          <w:szCs w:val="20"/>
          <w:shd w:fill="6AA84F" w:val="clear" w:color="auto"/>
          <w:rtl w:val="0"/>
        </w:rPr>
        <w:t xml:space="preserve">Figure</w:t>
      </w:r>
      <w:commentRangeStart w:id="7"/>
      <w:r w:rsidDel="00000000" w:rsidR="00000000" w:rsidRPr="00000000">
        <w:rPr>
          <w:rFonts w:ascii="Times New Roman" w:cs="Times New Roman" w:eastAsia="Times New Roman" w:hAnsi="Times New Roman"/>
          <w:b w:val="1"/>
          <w:bCs w:val="1"/>
          <w:i/>
          <w:sz w:val="20"/>
          <w:szCs w:val="20"/>
          <w:shd w:fill="6AA84F" w:val="clear" w:color="auto"/>
          <w:rtl w:val="0"/>
        </w:rPr>
        <w:t xml:space="preserve"> X</w:t>
      </w:r>
      <w:commentRangeEnd w:id="7"/>
      <w:r w:rsidDel="00000000" w:rsidR="00000000" w:rsidRPr="00000000">
        <w:rPr>
          <w:rFonts w:ascii="Times New Roman" w:hAnsi="Times New Roman" w:eastAsia="Times New Roman"/>
          <w:i/>
          <w:sz w:val="20"/>
          <w:shd w:val="clear" w:color="auto" w:fill="6AA84F"/>
        </w:rPr>
        <w:commentReference w:id="7"/>
      </w:r>
      <w:r w:rsidDel="00000000" w:rsidR="00000000" w:rsidRPr="00000000">
        <w:rPr>
          <w:rFonts w:ascii="Times New Roman" w:cs="Times New Roman" w:eastAsia="Times New Roman" w:hAnsi="Times New Roman"/>
          <w:b w:val="1"/>
          <w:bCs w:val="1"/>
          <w:i/>
          <w:sz w:val="20"/>
          <w:szCs w:val="20"/>
          <w:shd w:fill="6AA84F" w:val="clear" w:color="auto"/>
          <w:rtl w:val="0"/>
        </w:rPr>
        <w:t xml:space="preserve">.</w:t>
      </w:r>
      <w:r w:rsidDel="00000000" w:rsidR="00000000" w:rsidRPr="00000000">
        <w:rPr>
          <w:rFonts w:ascii="Times New Roman" w:cs="Times New Roman" w:eastAsia="Times New Roman" w:hAnsi="Times New Roman"/>
          <w:i/>
          <w:sz w:val="20"/>
          <w:szCs w:val="20"/>
          <w:shd w:fill="6AA84F" w:val="clear" w:color="auto"/>
          <w:rtl w:val="0"/>
        </w:rPr>
        <w:t xml:space="preserve"> </w:t>
      </w:r>
      <w:r w:rsidDel="00000000" w:rsidR="00000000" w:rsidRPr="00000000">
        <w:rPr>
          <w:rFonts w:ascii="Times New Roman" w:cs="Times New Roman" w:eastAsia="Times New Roman" w:hAnsi="Times New Roman"/>
          <w:b w:val="1"/>
          <w:bCs w:val="1"/>
          <w:i/>
          <w:sz w:val="20"/>
          <w:szCs w:val="20"/>
          <w:shd w:fill="6AA84F" w:val="clear" w:color="auto"/>
          <w:rtl w:val="0"/>
        </w:rPr>
        <w:t xml:space="preserve">Principal Component Analysis (PCA) of DRG Transcriptomes.</w:t>
      </w:r>
      <w:r w:rsidDel="00000000" w:rsidR="00000000" w:rsidRPr="00000000">
        <w:rPr>
          <w:rFonts w:ascii="Times New Roman" w:cs="Times New Roman" w:eastAsia="Times New Roman" w:hAnsi="Times New Roman"/>
          <w:i/>
          <w:sz w:val="20"/>
          <w:szCs w:val="20"/>
          <w:shd w:fill="6AA84F" w:val="clear" w:color="auto"/>
          <w:rtl w:val="0"/>
        </w:rPr>
        <w:t xml:space="preserve"> Samples are plotted along the first two principal components, which capture 46.2% and 20.6% of the total variance, respectively. The shapes represent the injury state (circle: contralateral; triangle: ipsilateral) and colors represent genotype (coral: wildtype; teal: AhR cKO).</w:t>
      </w:r>
    </w:p>
    <w:p w:rsidR="00000000" w:rsidDel="00000000" w:rsidP="00000000" w:rsidRDefault="00000000" w:rsidRPr="00000000" w14:paraId="0000005C">
      <w:pPr>
        <w:widowControl/>
        <w:spacing w:line="240" w:lineRule="auto" w:after="0" w:before="0"/>
        <w:ind w:left="720" w:right="0" w:hanging="72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D">
      <w:pPr>
        <w:widowControl/>
        <w:spacing w:line="480" w:lineRule="auto" w:after="0" w:before="0"/>
        <w:ind w:left="0" w:right="0" w:firstLine="0"/>
        <w:rPr>
          <w:rFonts w:ascii="Times New Roman" w:cs="Times New Roman" w:eastAsia="Times New Roman" w:hAnsi="Times New Roman"/>
          <w:sz w:val="24"/>
          <w:szCs w:val="24"/>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5E">
      <w:pPr>
        <w:spacing w:line="480" w:lineRule="auto" w:after="120"/>
        <w:ind w:left="0" w:right="0" w:firstLine="720"/>
        <w:rPr>
          <w:rFonts w:ascii="Times New Roman" w:cs="Times New Roman" w:eastAsia="Times New Roman" w:hAnsi="Times New Roman"/>
          <w:sz w:val="24"/>
          <w:szCs w:val="24"/>
          <w:shd w:fill="6aa84f" w:val="clear"/>
        </w:rPr>
        <w:widowControl/>
        <w:shd w:val="clear" w:color="auto" w:fill="B6D7A8"/>
      </w:pPr>
      <w:r>
        <w:rPr>
          <w:rFonts w:ascii="Times New Roman" w:hAnsi="Times New Roman" w:eastAsia="Times New Roman"/>
          <w:shd w:val="clear" w:color="auto" w:fill="6AA84F"/>
        </w:rPr>
        <w:t>PCA was performed to reduce the dimensionality of the dataset, which contained ~21,000 genes across twenty mouse samples (Fig. X). The analysis condensed these data into two primary components that together explained 66.8% of the total biological variance. PC1 (46.2%) captured the primary variance associated with nerve injury state (contralateral vs. ipsilateral), whereas PC2 (20.6%) captured the secondary variance associated with genotype (WT vs. AhR cKO).</w:t>
      </w:r>
    </w:p>
    <w:p w:rsidR="00000000" w:rsidDel="00000000" w:rsidP="00000000" w:rsidRDefault="00000000" w:rsidRPr="00000000" w14:paraId="0000005F">
      <w:pPr>
        <w:widowControl/>
        <w:spacing w:line="240" w:lineRule="auto" w:after="0" w:before="0"/>
        <w:ind w:left="0" w:right="0" w:firstLine="0"/>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0">
      <w:pPr>
        <w:keepNext/>
        <w:keepLines/>
        <w:widowControl/>
        <w:spacing w:line="240" w:lineRule="auto" w:after="60" w:before="120"/>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33850" cy="3397541"/>
            <wp:effectExtent b="25400" l="25400" r="25400" t="254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133850" cy="3397541"/>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1">
      <w:pPr>
        <w:spacing w:line="480" w:lineRule="auto" w:before="40" w:after="160"/>
        <w:ind w:left="1440" w:right="1350" w:firstLine="0"/>
        <w:jc w:val="center"/>
        <w:rPr>
          <w:rFonts w:ascii="Times New Roman" w:cs="Times New Roman" w:eastAsia="Times New Roman" w:hAnsi="Times New Roman"/>
          <w:sz w:val="20"/>
          <w:szCs w:val="20"/>
          <w:shd w:fill="6aa84f" w:val="clear"/>
        </w:rPr>
        <w:keepNext/>
        <w:keepLines/>
        <w:widowControl/>
        <w:shd w:val="clear" w:color="auto" w:fill="B6D7A8"/>
      </w:pPr>
      <w:r w:rsidDel="00000000" w:rsidR="00000000" w:rsidRPr="00000000">
        <w:rPr>
          <w:rFonts w:ascii="Times New Roman" w:cs="Times New Roman" w:eastAsia="Times New Roman" w:hAnsi="Times New Roman"/>
          <w:b w:val="1"/>
          <w:bCs w:val="1"/>
          <w:i/>
          <w:sz w:val="20"/>
          <w:szCs w:val="20"/>
          <w:shd w:fill="6AA84F" w:val="clear" w:color="auto"/>
          <w:rtl w:val="0"/>
        </w:rPr>
        <w:t xml:space="preserve">Figure </w:t>
      </w:r>
      <w:commentRangeStart w:id="12"/>
      <w:r w:rsidDel="00000000" w:rsidR="00000000" w:rsidRPr="00000000">
        <w:rPr>
          <w:rFonts w:ascii="Times New Roman" w:cs="Times New Roman" w:eastAsia="Times New Roman" w:hAnsi="Times New Roman"/>
          <w:b w:val="1"/>
          <w:bCs w:val="1"/>
          <w:i/>
          <w:sz w:val="20"/>
          <w:szCs w:val="20"/>
          <w:shd w:fill="6AA84F" w:val="clear" w:color="auto"/>
          <w:rtl w:val="0"/>
        </w:rPr>
        <w:t xml:space="preserve">X</w:t>
      </w:r>
      <w:commentRangeEnd w:id="12"/>
      <w:r w:rsidDel="00000000" w:rsidR="00000000" w:rsidRPr="00000000">
        <w:rPr>
          <w:rFonts w:ascii="Times New Roman" w:hAnsi="Times New Roman" w:eastAsia="Times New Roman"/>
          <w:i/>
          <w:sz w:val="20"/>
          <w:shd w:val="clear" w:color="auto" w:fill="6AA84F"/>
        </w:rPr>
        <w:commentReference w:id="12"/>
      </w:r>
      <w:r w:rsidDel="00000000" w:rsidR="00000000" w:rsidRPr="00000000">
        <w:rPr>
          <w:rFonts w:ascii="Times New Roman" w:cs="Times New Roman" w:eastAsia="Times New Roman" w:hAnsi="Times New Roman"/>
          <w:b w:val="1"/>
          <w:bCs w:val="1"/>
          <w:i/>
          <w:sz w:val="20"/>
          <w:szCs w:val="20"/>
          <w:shd w:fill="6AA84F" w:val="clear" w:color="auto"/>
          <w:rtl w:val="0"/>
        </w:rPr>
        <w:t xml:space="preserve">. Sample-to-Sample Distance Heatmap of DRG Transcriptomes.</w:t>
      </w:r>
      <w:r w:rsidDel="00000000" w:rsidR="00000000" w:rsidRPr="00000000">
        <w:rPr>
          <w:rFonts w:ascii="Times New Roman" w:cs="Times New Roman" w:eastAsia="Times New Roman" w:hAnsi="Times New Roman"/>
          <w:i/>
          <w:sz w:val="20"/>
          <w:szCs w:val="20"/>
          <w:shd w:fill="6AA84F" w:val="clear" w:color="auto"/>
          <w:rtl w:val="0"/>
        </w:rPr>
        <w:t xml:space="preserve"> Euclidean distances between samples were calculated based on the regularized log-transformed (rlog) count data. Darker blue indicates higher similarity (lower distance), while lighter blue indicates lower similarity (higher distance). Samples are hierarchically clustered, revealing a primary separation by nerve injury (ipsilateral vs. contralateral) and secondary clustering by genotype (wildtype vs. cKO).</w:t>
      </w:r>
    </w:p>
    <w:p w:rsidR="00000000" w:rsidDel="00000000" w:rsidP="00000000" w:rsidRDefault="00000000" w:rsidRPr="00000000" w14:paraId="00000062">
      <w:pPr>
        <w:widowControl/>
        <w:spacing w:line="240" w:lineRule="auto" w:after="0" w:before="0"/>
        <w:ind w:right="0" w:firstLine="0"/>
        <w:jc w:val="center"/>
        <w:rPr>
          <w:rFonts w:ascii="Times New Roman" w:cs="Times New Roman" w:eastAsia="Times New Roman" w:hAnsi="Times New Roman"/>
          <w:sz w:val="20"/>
          <w:szCs w:val="20"/>
          <w:shd w:fill="6aa84f"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3">
      <w:pPr>
        <w:spacing w:line="480" w:lineRule="auto" w:after="120"/>
        <w:ind w:right="0" w:firstLine="720"/>
        <w:rPr>
          <w:rFonts w:ascii="Times New Roman" w:cs="Times New Roman" w:eastAsia="Times New Roman" w:hAnsi="Times New Roman"/>
          <w:sz w:val="24"/>
          <w:szCs w:val="24"/>
          <w:shd w:fill="6aa84f" w:val="clear"/>
        </w:rPr>
        <w:widowControl/>
        <w:shd w:val="clear" w:color="auto" w:fill="B6D7A8"/>
      </w:pPr>
      <w:r>
        <w:rPr>
          <w:rFonts w:ascii="Times New Roman" w:hAnsi="Times New Roman" w:eastAsia="Times New Roman"/>
          <w:shd w:val="clear" w:color="auto" w:fill="6AA84F"/>
        </w:rPr>
        <w:t>To assess global transcriptomic similarity, we generated a sample-to-sample distance heatmap based on Euclidean distance metrics (Fig. X). The results showed clear unsupervised clustering driven primarily by experimental condition, with ipsilateral and contralateral samples forming two cohesive blocks. Within these major clusters, samples were further separated by genotype, indicating that the AhR knockout introduced a consistent secondary transcriptional shift. The strong similarity among biological replicates, together with the absence of anomalous clustering, supports the overall quality and reproducibility of the sequencing data.</w:t>
      </w:r>
    </w:p>
    <w:p w:rsidR="00000000" w:rsidDel="00000000" w:rsidP="00000000" w:rsidRDefault="00000000" w:rsidRPr="00000000" w14:paraId="00000064">
      <w:pPr>
        <w:widowControl/>
        <w:spacing w:line="240" w:lineRule="auto" w:after="0" w:before="0"/>
        <w:ind w:right="0" w:firstLine="0"/>
        <w:rPr>
          <w:rFonts w:ascii="Times New Roman" w:cs="Times New Roman" w:eastAsia="Times New Roman" w:hAnsi="Times New Roman"/>
          <w:sz w:val="20"/>
          <w:szCs w:val="20"/>
        </w:rPr>
      </w:pPr>
      <w:r w:rsidDel="00000000" w:rsidR="00000000" w:rsidRPr="00000000">
        <w:rPr>
          <w:rFonts w:ascii="Times New Roman" w:hAnsi="Times New Roman" w:eastAsia="Times New Roman"/>
          <w:rtl w:val="0"/>
        </w:rPr>
      </w:r>
    </w:p>
    <w:p w:rsidR="00000000" w:rsidDel="00000000" w:rsidP="00000000" w:rsidRDefault="00000000" w:rsidRPr="00000000" w14:paraId="00000065">
      <w:pPr>
        <w:keepNext/>
        <w:keepLines/>
        <w:widowControl/>
        <w:spacing w:line="240" w:lineRule="auto" w:after="60" w:before="120"/>
        <w:ind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86450" cy="2343150"/>
            <wp:effectExtent b="25400" l="25400" r="25400" t="25400"/>
            <wp:docPr id="9" name="image1.png"/>
            <a:graphic>
              <a:graphicData uri="http://schemas.openxmlformats.org/drawingml/2006/picture">
                <pic:pic>
                  <pic:nvPicPr>
                    <pic:cNvPr id="0" name="image1.png"/>
                    <pic:cNvPicPr preferRelativeResize="0"/>
                  </pic:nvPicPr>
                  <pic:blipFill>
                    <a:blip r:embed="rId22"/>
                    <a:srcRect b="0" l="962" r="0" t="2046"/>
                    <a:stretch>
                      <a:fillRect/>
                    </a:stretch>
                  </pic:blipFill>
                  <pic:spPr>
                    <a:xfrm>
                      <a:off x="0" y="0"/>
                      <a:ext cx="5886450" cy="234315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66">
      <w:pPr>
        <w:spacing w:line="480" w:lineRule="auto" w:before="40" w:after="160"/>
        <w:ind w:right="0" w:firstLine="0"/>
        <w:jc w:val="center"/>
        <w:rPr>
          <w:rFonts w:ascii="Times New Roman" w:cs="Times New Roman" w:eastAsia="Times New Roman" w:hAnsi="Times New Roman"/>
          <w:sz w:val="20"/>
          <w:szCs w:val="20"/>
          <w:shd w:fill="b4a7d6" w:val="clear"/>
        </w:rPr>
        <w:keepNext/>
        <w:keepLines/>
        <w:widowControl/>
        <w:shd w:val="clear" w:color="auto" w:fill="D9D2E9"/>
      </w:pPr>
      <w:r w:rsidDel="00000000" w:rsidR="00000000" w:rsidRPr="00000000">
        <w:rPr>
          <w:rFonts w:ascii="Times New Roman" w:cs="Times New Roman" w:eastAsia="Times New Roman" w:hAnsi="Times New Roman"/>
          <w:b w:val="1"/>
          <w:bCs w:val="1"/>
          <w:i/>
          <w:sz w:val="20"/>
          <w:szCs w:val="20"/>
          <w:shd w:fill="D9D2E9" w:val="clear" w:color="auto"/>
          <w:rtl w:val="0"/>
        </w:rPr>
        <w:t xml:space="preserve">Figure </w:t>
      </w:r>
      <w:commentRangeStart w:id="16"/>
      <w:r w:rsidDel="00000000" w:rsidR="00000000" w:rsidRPr="00000000">
        <w:rPr>
          <w:rFonts w:ascii="Times New Roman" w:cs="Times New Roman" w:eastAsia="Times New Roman" w:hAnsi="Times New Roman"/>
          <w:b w:val="1"/>
          <w:bCs w:val="1"/>
          <w:i/>
          <w:sz w:val="20"/>
          <w:szCs w:val="20"/>
          <w:shd w:fill="D9D2E9" w:val="clear" w:color="auto"/>
          <w:rtl w:val="0"/>
        </w:rPr>
        <w:t xml:space="preserve">X</w:t>
      </w:r>
      <w:commentRangeEnd w:id="16"/>
      <w:r w:rsidDel="00000000" w:rsidR="00000000" w:rsidRPr="00000000">
        <w:rPr>
          <w:rFonts w:ascii="Times New Roman" w:hAnsi="Times New Roman" w:eastAsia="Times New Roman"/>
          <w:i/>
          <w:sz w:val="20"/>
          <w:shd w:val="clear" w:color="auto" w:fill="D9D2E9"/>
        </w:rPr>
        <w:commentReference w:id="16"/>
      </w:r>
      <w:r w:rsidDel="00000000" w:rsidR="00000000" w:rsidRPr="00000000">
        <w:rPr>
          <w:rFonts w:ascii="Times New Roman" w:cs="Times New Roman" w:eastAsia="Times New Roman" w:hAnsi="Times New Roman"/>
          <w:b w:val="1"/>
          <w:bCs w:val="1"/>
          <w:i/>
          <w:sz w:val="20"/>
          <w:szCs w:val="20"/>
          <w:shd w:fill="D9D2E9" w:val="clear" w:color="auto"/>
          <w:rtl w:val="0"/>
        </w:rPr>
        <w:t xml:space="preserve">. Comparison of volcano plots between all significant genes (A) and highlighting the genes present at the identified bend-point (B).</w:t>
      </w:r>
      <w:r w:rsidDel="00000000" w:rsidR="00000000" w:rsidRPr="00000000">
        <w:rPr>
          <w:rFonts w:ascii="Times New Roman" w:cs="Times New Roman" w:eastAsia="Times New Roman" w:hAnsi="Times New Roman"/>
          <w:i/>
          <w:sz w:val="20"/>
          <w:szCs w:val="20"/>
          <w:shd w:fill="D9D2E9" w:val="clear" w:color="auto"/>
          <w:rtl w:val="0"/>
        </w:rPr>
        <w:t xml:space="preserve"> The volcano plot is observing all the genes that were significantly expressed and had a p-value under 0.05 (A). The second volcano plot highlights the genes under the new p-value threshold in red to identify the genes being used for further analysis.</w:t>
      </w:r>
    </w:p>
    <w:p w:rsidR="00000000" w:rsidDel="00000000" w:rsidP="00000000" w:rsidRDefault="00000000" w:rsidRPr="00000000" w14:paraId="00000067">
      <w:pPr>
        <w:widowControl/>
        <w:spacing w:line="480" w:lineRule="auto" w:after="0" w:before="0"/>
        <w:ind w:left="0" w:right="0" w:firstLine="0"/>
        <w:rPr>
          <w:rFonts w:ascii="Times New Roman" w:cs="Times New Roman" w:eastAsia="Times New Roman" w:hAnsi="Times New Roman"/>
          <w:b w:val="1"/>
          <w:bCs w:val="1"/>
          <w:sz w:val="26"/>
          <w:szCs w:val="26"/>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68">
      <w:pPr>
        <w:spacing w:line="480" w:lineRule="auto" w:after="120"/>
        <w:ind w:right="0" w:firstLine="72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This dataset contained a very large number of significant genes, so a bend point was used to reduce the list to a more interpretable set for follow-up analysis. The bend point occurred at a p-value of 1.37e-17 (Fig. X), corresponding to approximately 709 genes. In the volcano plot highlighting this threshold, the dense central cluster of genes is largely excluded, while the most strongly differentially expressed genes are retained for downstream analysis. These 709 genes provide a more targeted set for follow-up because they remain highly significant and reflect the point at which the strongest signal begins to separate from the broader background.</w:t>
      </w:r>
    </w:p>
    <w:p w:rsidR="00000000" w:rsidDel="00000000" w:rsidP="00000000" w:rsidRDefault="00000000" w:rsidRPr="00000000" w14:paraId="00000069">
      <w:pPr>
        <w:widowControl/>
        <w:spacing w:line="480" w:lineRule="auto" w:after="0" w:before="0"/>
        <w:ind w:left="0" w:right="0" w:firstLine="0"/>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rtl w:val="0"/>
        </w:rPr>
      </w:r>
    </w:p>
    <w:p w:rsidR="00000000" w:rsidDel="00000000" w:rsidP="00000000" w:rsidRDefault="00000000" w:rsidRPr="00000000" w14:paraId="0000006A">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B">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C">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D">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E">
      <w:pPr>
        <w:widowControl/>
        <w:spacing w:line="480" w:lineRule="auto" w:after="0" w:before="0"/>
        <w:ind w:right="0" w:firstLine="0"/>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hAnsi="Times New Roman" w:eastAsia="Times New Roman"/>
          <w:rtl w:val="0"/>
        </w:rPr>
      </w:r>
    </w:p>
    <w:p w:rsidR="00000000" w:rsidDel="00000000" w:rsidP="00000000" w:rsidRDefault="00000000" w:rsidRPr="00000000" w14:paraId="0000006F">
      <w:pPr>
        <w:pStyle w:val="Heading2"/>
        <w:keepNext/>
        <w:widowControl/>
        <w:spacing w:line="480" w:lineRule="auto" w:before="240" w:after="80"/>
        <w:ind w:right="0" w:firstLine="0"/>
        <w:jc w:val="left"/>
        <w:rPr>
          <w:rFonts w:ascii="Times New Roman" w:cs="Times New Roman" w:eastAsia="Times New Roman" w:hAnsi="Times New Roman"/>
          <w:b w:val="1"/>
          <w:bCs w:val="1"/>
          <w:i w:val="1"/>
          <w:iCs w:val="1"/>
          <w:color w:val="4f81bd"/>
          <w:sz w:val="24"/>
          <w:szCs w:val="24"/>
        </w:rPr>
      </w:pPr>
      <w:r w:rsidDel="00000000" w:rsidR="00000000" w:rsidRPr="00000000">
        <w:rPr>
          <w:rFonts w:ascii="Times New Roman" w:cs="Times New Roman" w:eastAsia="Times New Roman" w:hAnsi="Times New Roman"/>
          <w:b/>
          <w:bCs w:val="1"/>
          <w:i w:val="1"/>
          <w:iCs w:val="1"/>
          <w:color w:val="4F81BD"/>
          <w:sz w:val="24"/>
          <w:szCs w:val="24"/>
          <w:rtl w:val="0"/>
          <w:shd w:val="clear" w:color="auto" w:fill="D9D2E9"/>
        </w:rPr>
        <w:t xml:space="preserve">Gene Ontology Analysis</w:t>
      </w:r>
    </w:p>
    <w:p w:rsidR="00000000" w:rsidDel="00000000" w:rsidP="00000000" w:rsidRDefault="00000000" w:rsidRPr="00000000" w14:paraId="00000070">
      <w:pPr>
        <w:keepNext/>
        <w:keepLines/>
        <w:widowControl/>
        <w:spacing w:line="240" w:lineRule="auto" w:after="60" w:before="120"/>
        <w:ind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5943600"/>
                    </a:xfrm>
                    <a:prstGeom prst="rect"/>
                    <a:ln w="25400">
                      <a:solidFill>
                        <a:srgbClr val="000000"/>
                      </a:solidFill>
                      <a:prstDash val="solid"/>
                    </a:ln>
                  </pic:spPr>
                </pic:pic>
              </a:graphicData>
            </a:graphic>
          </wp:inline>
        </w:drawing>
      </w:r>
      <w:r w:rsidDel="00000000" w:rsidR="00000000" w:rsidRPr="00000000">
        <w:rPr>
          <w:rFonts w:ascii="Times New Roman" w:hAnsi="Times New Roman" w:eastAsia="Times New Roman"/>
          <w:rtl w:val="0"/>
        </w:rPr>
      </w:r>
    </w:p>
    <w:p w:rsidR="00000000" w:rsidDel="00000000" w:rsidP="00000000" w:rsidRDefault="00000000" w:rsidRPr="00000000" w14:paraId="00000071">
      <w:pPr>
        <w:spacing w:line="480" w:lineRule="auto" w:before="40" w:after="160"/>
        <w:ind w:right="0" w:firstLine="0"/>
        <w:jc w:val="center"/>
        <w:rPr>
          <w:rFonts w:ascii="Times New Roman" w:cs="Times New Roman" w:eastAsia="Times New Roman" w:hAnsi="Times New Roman"/>
          <w:sz w:val="20"/>
          <w:szCs w:val="20"/>
          <w:shd w:fill="b4a7d6" w:val="clear"/>
        </w:rPr>
        <w:keepNext/>
        <w:keepLines/>
        <w:widowControl/>
        <w:shd w:val="clear" w:color="auto" w:fill="D9D2E9"/>
      </w:pPr>
      <w:r w:rsidDel="00000000" w:rsidR="00000000" w:rsidRPr="00000000">
        <w:rPr>
          <w:rFonts w:ascii="Times New Roman" w:cs="Times New Roman" w:eastAsia="Times New Roman" w:hAnsi="Times New Roman"/>
          <w:b w:val="1"/>
          <w:bCs w:val="1"/>
          <w:i/>
          <w:sz w:val="20"/>
          <w:szCs w:val="20"/>
          <w:shd w:fill="D9D2E9" w:val="clear" w:color="auto"/>
          <w:rtl w:val="0"/>
        </w:rPr>
        <w:t xml:space="preserve">Figure </w:t>
      </w:r>
      <w:commentRangeStart w:id="19"/>
      <w:r w:rsidDel="00000000" w:rsidR="00000000" w:rsidRPr="00000000">
        <w:rPr>
          <w:rFonts w:ascii="Times New Roman" w:cs="Times New Roman" w:eastAsia="Times New Roman" w:hAnsi="Times New Roman"/>
          <w:b w:val="1"/>
          <w:bCs w:val="1"/>
          <w:i/>
          <w:sz w:val="20"/>
          <w:szCs w:val="20"/>
          <w:shd w:fill="D9D2E9" w:val="clear" w:color="auto"/>
          <w:rtl w:val="0"/>
        </w:rPr>
        <w:t xml:space="preserve">X</w:t>
      </w:r>
      <w:commentRangeEnd w:id="19"/>
      <w:r w:rsidDel="00000000" w:rsidR="00000000" w:rsidRPr="00000000">
        <w:rPr>
          <w:rFonts w:ascii="Times New Roman" w:hAnsi="Times New Roman" w:eastAsia="Times New Roman"/>
          <w:i/>
          <w:sz w:val="20"/>
          <w:shd w:val="clear" w:color="auto" w:fill="D9D2E9"/>
        </w:rPr>
        <w:commentReference w:id="19"/>
      </w:r>
      <w:r w:rsidDel="00000000" w:rsidR="00000000" w:rsidRPr="00000000">
        <w:rPr>
          <w:rFonts w:ascii="Times New Roman" w:cs="Times New Roman" w:eastAsia="Times New Roman" w:hAnsi="Times New Roman"/>
          <w:b w:val="1"/>
          <w:bCs w:val="1"/>
          <w:i/>
          <w:sz w:val="20"/>
          <w:szCs w:val="20"/>
          <w:shd w:fill="D9D2E9" w:val="clear" w:color="auto"/>
          <w:rtl w:val="0"/>
        </w:rPr>
        <w:t xml:space="preserve">. Gene Ontology (GO) analysis of 709 differentially expressed genes selected from the dataset. </w:t>
      </w:r>
      <w:r w:rsidDel="00000000" w:rsidR="00000000" w:rsidRPr="00000000">
        <w:rPr>
          <w:rFonts w:ascii="Times New Roman" w:cs="Times New Roman" w:eastAsia="Times New Roman" w:hAnsi="Times New Roman"/>
          <w:i/>
          <w:sz w:val="20"/>
          <w:szCs w:val="20"/>
          <w:shd w:fill="D9D2E9" w:val="clear" w:color="auto"/>
          <w:rtl w:val="0"/>
        </w:rPr>
        <w:t xml:space="preserve">The genes were evaluated in three different categories, Biological Process (A), Cellular Component (B), and Molecular Function (C), and demonstrated through lollipop charts (1) and network plots (2). The 20 most significant FDR terms were selected in each category. </w:t>
      </w:r>
    </w:p>
    <w:p w:rsidR="00000000" w:rsidDel="00000000" w:rsidP="00000000" w:rsidRDefault="00000000" w:rsidRPr="00000000" w14:paraId="00000072">
      <w:pPr>
        <w:widowControl/>
        <w:spacing w:line="480" w:lineRule="auto" w:after="0" w:before="0"/>
        <w:ind w:right="0" w:firstLine="0"/>
        <w:rPr>
          <w:rFonts w:ascii="Times New Roman" w:cs="Times New Roman" w:eastAsia="Times New Roman" w:hAnsi="Times New Roman"/>
          <w:sz w:val="24"/>
          <w:szCs w:val="24"/>
          <w:shd w:fill="b4a7d6" w:val="clear"/>
        </w:rPr>
      </w:pPr>
      <w:r w:rsidDel="00000000" w:rsidR="00000000" w:rsidRPr="00000000">
        <w:rPr>
          <w:rFonts w:ascii="Times New Roman" w:hAnsi="Times New Roman" w:eastAsia="Times New Roman"/>
          <w:rtl w:val="0"/>
        </w:rPr>
      </w:r>
    </w:p>
    <w:p w:rsidR="00000000" w:rsidDel="00000000" w:rsidP="00000000" w:rsidRDefault="00000000" w:rsidRPr="00000000" w14:paraId="00000073">
      <w:pPr>
        <w:spacing w:line="480" w:lineRule="auto" w:after="120"/>
        <w:ind w:right="0" w:firstLine="72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Gene ontology analysis (GOA) was conducted to identify the biological processes most enriched among the significant genes and to provide functional context for the observed expression patterns. Lollipop plots and network plots were used to evaluate both term significance and relationships among enriched terms. The analysis was divided into three categories: Biological Process (BP), Cellular Component (CC), and Molecular Function (MF).</w:t>
      </w:r>
    </w:p>
    <w:p w:rsidR="00000000" w:rsidDel="00000000" w:rsidP="00000000" w:rsidRDefault="00000000" w:rsidRPr="00000000" w14:paraId="00000074">
      <w:pPr>
        <w:spacing w:line="480" w:lineRule="auto" w:after="120"/>
        <w:ind w:right="0" w:firstLine="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The BP analysis was the most consistent across the enriched terms. Each term included at least 100 associated genes, with some including as many as 250 (Fig. XA.1). The strongest false discovery rate corresponded to approximately −log10(11), indicating strong statistical support, although the most enriched terms reached fold-enrichment values of only about 2.5. Across the top 20 terms, many were associated with negative regulation of cell signaling, cell communication, or responses to stimuli. This functional similarity is reflected in the network plot, where the terms are extensively connected through shared genes (Fig. XA.2).</w:t>
      </w:r>
    </w:p>
    <w:p w:rsidR="00000000" w:rsidDel="00000000" w:rsidP="00000000" w:rsidRDefault="00000000" w:rsidRPr="00000000" w14:paraId="00000075">
      <w:pPr>
        <w:spacing w:line="480" w:lineRule="auto" w:after="120"/>
        <w:ind w:right="0" w:firstLine="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The cellular component analysis was less consistent than the BP analysis, although many enriched terms still formed related groups. Fewer genes were assigned to this category, but the enriched terms reached fold-enrichment values as high as 4 and false discovery values near −log10(5.5) (Fig. XB.1). The most enriched term was melanosome, while other terms were associated with axonal structures and transcriptional regulators. Overall, the network plot suggests weaker connectivity than in the BP analysis, with two main groupings—one related to vesicles and another related to neuronal structures—plus a small number of outliers (Fig. XB.2).</w:t>
      </w:r>
    </w:p>
    <w:p w:rsidR="00000000" w:rsidDel="00000000" w:rsidP="00000000" w:rsidRDefault="00000000" w:rsidRPr="00000000" w14:paraId="00000076">
      <w:pPr>
        <w:spacing w:line="480" w:lineRule="auto" w:after="120"/>
        <w:ind w:right="0" w:firstLine="0"/>
        <w:rPr>
          <w:rFonts w:ascii="Times New Roman" w:cs="Times New Roman" w:eastAsia="Times New Roman" w:hAnsi="Times New Roman"/>
          <w:sz w:val="24"/>
          <w:szCs w:val="24"/>
          <w:shd w:fill="b4a7d6" w:val="clear"/>
        </w:rPr>
        <w:widowControl/>
        <w:shd w:val="clear" w:color="auto" w:fill="D9D2E9"/>
      </w:pPr>
      <w:r>
        <w:rPr>
          <w:rFonts w:ascii="Times New Roman" w:hAnsi="Times New Roman" w:eastAsia="Times New Roman"/>
          <w:shd w:val="clear" w:color="auto" w:fill="D9D2E9"/>
        </w:rPr>
        <w:t>The molecular function analysis was the least consistent of the three categories. One term, ribonuclease inhibitor activity, was the most enriched, with a fold-enrichment value above 30 (Fig. XC.1). It also had the lowest false discovery rate, near −log10(3), although only a small number of genes were assigned to it. The remaining MF terms had fold-enrichment values below 5 and were more interconnected in the network plot, while ribonuclease inhibitor activity remained isolated from the rest (Fig. XC.2). Overall, these terms were more heavily associated with different forms of molecular binding.</w:t>
      </w:r>
    </w:p>
    <w:p w:rsidR="00000000" w:rsidDel="00000000" w:rsidP="00000000" w:rsidRDefault="00000000" w:rsidRPr="00000000" w14:paraId="00000077">
      <w:pPr>
        <w:keepNext/>
        <w:keepLines/>
        <w:widowControl/>
        <w:spacing w:line="480" w:lineRule="auto" w:after="60" w:before="120"/>
        <w:ind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hAnsi="Times New Roman" w:eastAsia="Times New Roman"/>
        </w:rPr>
        <w:drawing>
          <wp:anchor allowOverlap="1" behindDoc="0" distB="0" distT="0" distL="0" distR="0" hidden="0" layoutInCell="1" locked="0" relativeHeight="0" simplePos="0">
            <wp:simplePos x="0" y="0"/>
            <wp:positionH relativeFrom="column">
              <wp:posOffset>19050</wp:posOffset>
            </wp:positionH>
            <wp:positionV relativeFrom="paragraph">
              <wp:posOffset>371475</wp:posOffset>
            </wp:positionV>
            <wp:extent cx="5943600" cy="4584700"/>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4584700"/>
                    </a:xfrm>
                    <a:prstGeom prst="rect"/>
                    <a:ln/>
                  </pic:spPr>
                </pic:pic>
              </a:graphicData>
            </a:graphic>
          </wp:anchor>
        </w:drawing>
      </w:r>
    </w:p>
    <w:p>
      <w:pPr>
        <w:widowControl/>
        <w:shd w:val="clear" w:color="auto" w:fill="F4CCCC"/>
        <w:spacing w:after="120" w:line="480" w:lineRule="auto"/>
      </w:pPr>
      <w:r>
        <w:t>Taken together, these results support carrying the side-specific injury signal forward as the central interpretive thread of the paper, with genotype retained as a secondary but still informative layer.</w:t>
      </w:r>
    </w:p>
    <w:p w:rsidR="00000000" w:rsidDel="00000000" w:rsidP="00000000" w:rsidRDefault="00000000" w:rsidRPr="00000000" w14:paraId="0000008A">
      <w:pPr>
        <w:pStyle w:val="Heading1"/>
        <w:keepNext/>
        <w:widowControl/>
        <w:spacing w:line="480" w:lineRule="auto" w:before="360" w:after="16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Discussion</w:t>
      </w:r>
    </w:p>
    <w:p w:rsidR="00000000" w:rsidDel="00000000" w:rsidP="00000000" w:rsidRDefault="00000000" w:rsidRPr="00000000" w14:paraId="0000008B">
      <w:pPr>
        <w:spacing w:after="120" w:before="240" w:line="480" w:lineRule="auto"/>
        <w:ind w:firstLine="720"/>
        <w:jc w:val="both"/>
        <w:rPr>
          <w:rFonts w:ascii="Times New Roman" w:cs="Times New Roman" w:eastAsia="Times New Roman" w:hAnsi="Times New Roman"/>
          <w:sz w:val="16"/>
          <w:szCs w:val="16"/>
          <w:shd w:fill="f4cccc" w:val="clear"/>
        </w:rPr>
        <w:widowControl/>
        <w:shd w:val="clear" w:color="auto" w:fill="F4CCCC"/>
      </w:pPr>
      <w:r>
        <w:t>The most stable finding in this dataset was that the side-specific injury contrasts carried the strongest structure. The early QC and alignment checkpoints supported keeping this 20-sample DRG subset for downstream modeling. The main interpretive shift came from the PCA-first review: side separated more clearly than genotype, while genotype behaved as a secondary axis with substantial overlap between paired WT and cKO samples. That same pattern remains visible across the differential expression, bend-point, and gene ontology follow-up analyses. The PCA and sample-distance views pointed to the same conclusion: ipsilateral versus contralateral structure was clearer than genotype structure, making the side-specific contrasts the most defensible main path for interpretation (Halawani et al., 2023).</w:t>
      </w:r>
    </w:p>
    <w:p w:rsidR="00000000" w:rsidDel="00000000" w:rsidP="00000000" w:rsidRDefault="00000000" w:rsidRPr="00000000" w14:paraId="0000008C">
      <w:pPr>
        <w:spacing w:after="120" w:before="240" w:line="480" w:lineRule="auto"/>
        <w:ind w:firstLine="720"/>
        <w:jc w:val="both"/>
        <w:rPr>
          <w:rFonts w:ascii="Times New Roman" w:cs="Times New Roman" w:eastAsia="Times New Roman" w:hAnsi="Times New Roman"/>
          <w:sz w:val="24"/>
          <w:szCs w:val="24"/>
          <w:shd w:fill="f4cccc" w:val="clear"/>
        </w:rPr>
        <w:widowControl/>
        <w:shd w:val="clear" w:color="auto" w:fill="F4CCCC"/>
      </w:pPr>
      <w:r>
        <w:rPr>
          <w:rFonts w:ascii="Times New Roman" w:hAnsi="Times New Roman" w:eastAsia="Times New Roman"/>
          <w:shd w:val="clear" w:color="auto" w:fill="F4CCCC"/>
        </w:rPr>
        <w:t>This PCA-first reading disciplined the interpretation of the large differential expression output; the analysis converged on a branch-priority logic in which ipsilateral versus contralateral in WT and ipsilateral versus contralateral in cKO served as the primary follow-up branches, while WT versus cKO in the contralateral condition was retained as the strongest supporting genotype comparison. The secondary branches show that genotype effects are not absent, but they do not displace the side-specific injury signal as the main story.</w:t>
      </w:r>
    </w:p>
    <w:p w:rsidR="00000000" w:rsidDel="00000000" w:rsidP="00000000" w:rsidRDefault="00000000" w:rsidRPr="00000000" w14:paraId="0000008D">
      <w:pPr>
        <w:spacing w:after="120" w:before="240" w:line="480" w:lineRule="auto"/>
        <w:ind w:firstLine="720"/>
        <w:jc w:val="both"/>
        <w:rPr>
          <w:rFonts w:ascii="Times New Roman" w:cs="Times New Roman" w:eastAsia="Times New Roman" w:hAnsi="Times New Roman"/>
          <w:sz w:val="16"/>
          <w:szCs w:val="16"/>
          <w:shd w:fill="f4cccc" w:val="clear"/>
        </w:rPr>
        <w:widowControl/>
        <w:shd w:val="clear" w:color="auto" w:fill="F4CCCC"/>
      </w:pPr>
      <w:r w:rsidDel="00000000" w:rsidR="00000000" w:rsidRPr="00000000">
        <w:rPr>
          <w:rFonts w:ascii="Times New Roman" w:cs="Times New Roman" w:eastAsia="Times New Roman" w:hAnsi="Times New Roman"/>
          <w:sz w:val="24"/>
          <w:szCs w:val="24"/>
          <w:shd w:fill="F4CCCC" w:val="clear" w:color="auto"/>
          <w:rtl w:val="0"/>
        </w:rPr>
        <w:t xml:space="preserve">The bend-point step marked the transition from broad DE output to a smaller and more interpretable follow-up set. The workflow used the ordered adjusted-</w:t>
      </w:r>
      <w:r w:rsidDel="00000000" w:rsidR="00000000" w:rsidRPr="00000000">
        <w:rPr>
          <w:rFonts w:ascii="Times New Roman" w:cs="Times New Roman" w:eastAsia="Times New Roman" w:hAnsi="Times New Roman"/>
          <w:sz w:val="24"/>
          <w:szCs w:val="24"/>
          <w:shd w:fill="F4CCCC" w:val="clear" w:color="auto"/>
          <w:rtl w:val="0"/>
        </w:rPr>
        <w:t xml:space="preserve">p</w:t>
      </w:r>
      <w:r w:rsidDel="00000000" w:rsidR="00000000" w:rsidRPr="00000000">
        <w:rPr>
          <w:rFonts w:ascii="Times New Roman" w:cs="Times New Roman" w:eastAsia="Times New Roman" w:hAnsi="Times New Roman"/>
          <w:sz w:val="24"/>
          <w:szCs w:val="24"/>
          <w:shd w:fill="F4CCCC" w:val="clear" w:color="auto"/>
          <w:rtl w:val="0"/>
        </w:rPr>
        <w:t xml:space="preserve">-value curve as a reproducible narrowing rule for the two main side-specific contrasts, which reduced </w:t>
      </w:r>
      <w:r w:rsidDel="00000000" w:rsidR="00000000" w:rsidRPr="00000000">
        <w:rPr>
          <w:rFonts w:ascii="Times New Roman" w:cs="Times New Roman" w:eastAsia="Times New Roman" w:hAnsi="Times New Roman"/>
          <w:sz w:val="24"/>
          <w:szCs w:val="24"/>
          <w:shd w:fill="F4CCCC" w:val="clear" w:color="auto"/>
          <w:rtl w:val="0"/>
        </w:rPr>
        <w:t xml:space="preserve">7,023</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7,541</w:t>
      </w:r>
      <w:r w:rsidDel="00000000" w:rsidR="00000000" w:rsidRPr="00000000">
        <w:rPr>
          <w:rFonts w:ascii="Times New Roman" w:cs="Times New Roman" w:eastAsia="Times New Roman" w:hAnsi="Times New Roman"/>
          <w:sz w:val="24"/>
          <w:szCs w:val="24"/>
          <w:shd w:fill="F4CCCC" w:val="clear" w:color="auto"/>
          <w:rtl w:val="0"/>
        </w:rPr>
        <w:t xml:space="preserve"> significant genes to </w:t>
      </w:r>
      <w:r w:rsidDel="00000000" w:rsidR="00000000" w:rsidRPr="00000000">
        <w:rPr>
          <w:rFonts w:ascii="Times New Roman" w:cs="Times New Roman" w:eastAsia="Times New Roman" w:hAnsi="Times New Roman"/>
          <w:sz w:val="24"/>
          <w:szCs w:val="24"/>
          <w:shd w:fill="F4CCCC" w:val="clear" w:color="auto"/>
          <w:rtl w:val="0"/>
        </w:rPr>
        <w:t xml:space="preserve">709</w:t>
      </w:r>
      <w:r w:rsidDel="00000000" w:rsidR="00000000" w:rsidRPr="00000000">
        <w:rPr>
          <w:rFonts w:ascii="Times New Roman" w:cs="Times New Roman" w:eastAsia="Times New Roman" w:hAnsi="Times New Roman"/>
          <w:sz w:val="24"/>
          <w:szCs w:val="24"/>
          <w:shd w:fill="F4CCCC" w:val="clear" w:color="auto"/>
          <w:rtl w:val="0"/>
        </w:rPr>
        <w:t xml:space="preserve"> and </w:t>
      </w:r>
      <w:r w:rsidDel="00000000" w:rsidR="00000000" w:rsidRPr="00000000">
        <w:rPr>
          <w:rFonts w:ascii="Times New Roman" w:cs="Times New Roman" w:eastAsia="Times New Roman" w:hAnsi="Times New Roman"/>
          <w:sz w:val="24"/>
          <w:szCs w:val="24"/>
          <w:shd w:fill="F4CCCC" w:val="clear" w:color="auto"/>
          <w:rtl w:val="0"/>
        </w:rPr>
        <w:t xml:space="preserve">870</w:t>
      </w:r>
      <w:r w:rsidDel="00000000" w:rsidR="00000000" w:rsidRPr="00000000">
        <w:rPr>
          <w:rFonts w:ascii="Times New Roman" w:cs="Times New Roman" w:eastAsia="Times New Roman" w:hAnsi="Times New Roman"/>
          <w:sz w:val="24"/>
          <w:szCs w:val="24"/>
          <w:shd w:fill="F4CCCC" w:val="clear" w:color="auto"/>
          <w:rtl w:val="0"/>
        </w:rPr>
        <w:t xml:space="preserve">, respectively. These smaller sets remained strongly supported statistically while becoming more practical for pathway-level follow-up. In that sense, the bend-point step made the strongest part of that result easier to interpret against</w:t>
      </w:r>
      <w:r w:rsidDel="00000000" w:rsidR="00000000" w:rsidRPr="00000000">
        <w:rPr>
          <w:rFonts w:ascii="Times New Roman" w:cs="Times New Roman" w:eastAsia="Times New Roman" w:hAnsi="Times New Roman"/>
          <w:i w:val="1"/>
          <w:iCs w:val="1"/>
          <w:sz w:val="24"/>
          <w:szCs w:val="24"/>
          <w:shd w:fill="F4CCCC" w:val="clear" w:color="auto"/>
          <w:rtl w:val="0"/>
        </w:rPr>
        <w:t xml:space="preserve"> known injury and regeneration mechanisms.</w:t>
      </w:r>
      <w:r w:rsidDel="00000000" w:rsidR="00000000" w:rsidRPr="00000000">
        <w:rPr>
          <w:rFonts w:ascii="Times New Roman" w:hAnsi="Times New Roman" w:eastAsia="Times New Roman"/>
          <w:rtl w:val="0"/>
          <w:shd w:val="clear" w:color="auto" w:fill="F4CCCC"/>
        </w:rPr>
      </w:r>
    </w:p>
    <w:p w:rsidR="00000000" w:rsidDel="00000000" w:rsidP="00000000" w:rsidRDefault="00000000" w:rsidRPr="00000000" w14:paraId="0000008E">
      <w:pPr>
        <w:spacing w:after="120" w:before="240" w:line="480" w:lineRule="auto"/>
        <w:ind w:firstLine="720"/>
        <w:jc w:val="both"/>
        <w:rPr>
          <w:rFonts w:ascii="Times New Roman" w:cs="Times New Roman" w:eastAsia="Times New Roman" w:hAnsi="Times New Roman"/>
          <w:sz w:val="16"/>
          <w:szCs w:val="16"/>
          <w:shd w:fill="d9d2e9" w:val="clear"/>
        </w:rPr>
        <w:widowControl/>
        <w:shd w:val="clear" w:color="auto" w:fill="D9D2E9"/>
      </w:pPr>
      <w:r>
        <w:t>Among the follow-up branches, ipsilateral versus contralateral in WT remained the clearest pathway-level result. It combined a strong side-driven separation, a large but reducible differential expression set, and the most coherent enrichment profile. GO Biological Process dominated the enrichment summary, and the WT GO follow-up indicated that the large number of enriched terms should not be read as many unrelated pathway stories. Once shared-gene structure was examined through the chart, tree, and network views, the strongest upregulated terms converged around signaling, migration, morphogenesis, stress response, and neurogenic remodeling. That convergence made the WT branch the strongest centerpiece for the Discussion (Gene Ontology Consortium, 2021; Kolberg et al., 2020).</w:t>
      </w:r>
    </w:p>
    <w:p w:rsidR="00000000" w:rsidDel="00000000" w:rsidP="00000000" w:rsidRDefault="00000000" w:rsidRPr="00000000" w14:paraId="0000008F">
      <w:pPr>
        <w:spacing w:after="120" w:before="240" w:line="480" w:lineRule="auto"/>
        <w:ind w:firstLine="720"/>
        <w:jc w:val="both"/>
        <w:rPr>
          <w:rFonts w:ascii="Times New Roman" w:cs="Times New Roman" w:eastAsia="Times New Roman" w:hAnsi="Times New Roman"/>
          <w:sz w:val="24"/>
          <w:szCs w:val="24"/>
          <w:shd w:fill="d9d2e9" w:val="clear"/>
        </w:rPr>
        <w:widowControl/>
        <w:shd w:val="clear" w:color="auto" w:fill="D9D2E9"/>
      </w:pPr>
      <w:r>
        <w:rPr>
          <w:rFonts w:ascii="Times New Roman" w:hAnsi="Times New Roman" w:eastAsia="Times New Roman"/>
          <w:shd w:val="clear" w:color="auto" w:fill="D9D2E9"/>
        </w:rPr>
        <w:t>The ipsilateral versus contralateral cKO branch still strengthens the overall argument because it reproduces the same side-specific logic and retains a substantial bend-point set, but it is slightly less clean than the main pathway branch. Likewise, WT versus cKO in the contralateral condition remains useful supporting material because it preserves a genotype-specific signal under contralateral conditions, but it works better as context than as a competing central narrative.</w:t>
      </w:r>
    </w:p>
    <w:p w:rsidR="00000000" w:rsidDel="00000000" w:rsidP="00000000" w:rsidRDefault="00000000" w:rsidRPr="00000000" w14:paraId="00000090">
      <w:pPr>
        <w:spacing w:after="120" w:before="240" w:line="480" w:lineRule="auto"/>
        <w:ind w:firstLine="720"/>
        <w:jc w:val="both"/>
        <w:rPr>
          <w:rFonts w:ascii="Times New Roman" w:cs="Times New Roman" w:eastAsia="Times New Roman" w:hAnsi="Times New Roman"/>
          <w:b w:val="1"/>
          <w:bCs w:val="1"/>
          <w:sz w:val="26"/>
          <w:szCs w:val="26"/>
          <w:shd w:fill="d9d2e9" w:val="clear"/>
        </w:rPr>
        <w:widowControl/>
        <w:shd w:val="clear" w:color="auto" w:fill="D9D2E9"/>
      </w:pPr>
      <w:r>
        <w:t>These results still need to be read with some caution. First, GO redundancy can make the functional signal look broader than it really is when overlapping labels are counted as if they were independent findings. Second, the pathway summaries are only persuasive here because they were interpreted after the PCA-first and bend-point-guided narrowing steps. Third, branch prioritization in this project reflects consistency, interpretability, and alignment with the visible sample structure; this does not mean the other modeled contrasts are biologically unimportant. Within those limits, the strongest discussion claim remains clear: this workflow converged on a robust side-specific injury-response program, and the WT branch provided the clearest pathway-level view of that response.</w:t>
      </w:r>
    </w:p>
    <w:p w:rsidR="00000000" w:rsidDel="00000000" w:rsidP="00000000" w:rsidRDefault="00000000" w:rsidRPr="00000000" w14:paraId="00000091">
      <w:pPr>
        <w:pStyle w:val="Heading1"/>
        <w:keepNext/>
        <w:widowControl/>
        <w:spacing w:line="480" w:lineRule="auto" w:before="360" w:after="160"/>
        <w:ind w:left="0" w:right="0" w:firstLine="0"/>
        <w:jc w:val="left"/>
        <w:rPr>
          <w:rFonts w:ascii="Times New Roman" w:cs="Times New Roman" w:eastAsia="Times New Roman" w:hAnsi="Times New Roman"/>
          <w:b w:val="1"/>
          <w:bCs w:val="1"/>
          <w:sz w:val="26"/>
          <w:szCs w:val="26"/>
        </w:rPr>
        <w:pageBreakBefore/>
      </w:pPr>
      <w:r w:rsidDel="00000000" w:rsidR="00000000" w:rsidRPr="00000000">
        <w:rPr>
          <w:rFonts w:ascii="Times New Roman" w:cs="Times New Roman" w:eastAsia="Times New Roman" w:hAnsi="Times New Roman"/>
          <w:b/>
          <w:bCs w:val="1"/>
          <w:sz w:val="28"/>
          <w:szCs w:val="26"/>
          <w:rtl w:val="0"/>
        </w:rPr>
        <w:t xml:space="preserve">References</w:t>
        <w:br w:type="textWrapping"/>
      </w:r>
    </w:p>
    <w:p>
      <w:pPr>
        <w:keepNext/>
        <w:widowControl/>
        <w:spacing w:after="120" w:line="480" w:lineRule="auto" w:before="0"/>
        <w:ind w:left="720" w:hanging="720"/>
      </w:pPr>
      <w:r>
        <w:t>Andrews, S. (2010). FastQC: A quality control tool for high throughput sequence data. https://www.bioinformatics.babraham.ac.uk/projects/fastqc/</w:t>
      </w:r>
    </w:p>
    <w:p>
      <w:pPr>
        <w:widowControl/>
        <w:spacing w:after="120" w:line="480" w:lineRule="auto" w:before="0"/>
        <w:ind w:left="720" w:hanging="720"/>
      </w:pPr>
      <w:r>
        <w:t>Chen, S., Zhou, Y., Chen, Y., &amp; Gu, J. (2018). fastp: An ultra-fast all-in-one FASTQ preprocessor. Bioinformatics, 34(17), i884–i890. https://doi.org/10.1093/bioinformatics/bty560</w:t>
      </w:r>
    </w:p>
    <w:p>
      <w:pPr>
        <w:widowControl/>
        <w:spacing w:after="120" w:line="480" w:lineRule="auto" w:before="0"/>
        <w:ind w:left="720" w:hanging="720"/>
      </w:pPr>
      <w:r>
        <w:t>Dobin, A., Davis, C. A., Schlesinger, F., Drenkow, J., Zaleski, C., Jha, S., Batut, P., Chaisson, M., &amp; Gingeras, T. R. (2013). STAR: Ultrafast universal RNA-seq aligner. Bioinformatics, 29(1), 15–21. https://doi.org/10.1093/bioinformatics/bts635</w:t>
      </w:r>
    </w:p>
    <w:p>
      <w:pPr>
        <w:widowControl/>
        <w:spacing w:after="120" w:before="0" w:line="480" w:lineRule="auto"/>
        <w:ind w:left="720" w:hanging="720"/>
      </w:pPr>
      <w:r>
        <w:t>Ensembl. (2025). Mus musculus GRCm39 release 115. https://useast.ensembl.org/Mus_musculus/Info/Index</w:t>
      </w:r>
    </w:p>
    <w:p>
      <w:pPr>
        <w:widowControl/>
        <w:spacing w:after="120" w:before="0" w:line="480" w:lineRule="auto"/>
        <w:ind w:left="720" w:hanging="720"/>
      </w:pPr>
      <w:r>
        <w:t>Ewels, P., Magnusson, M., Lundin, S., &amp; Käller, M. (2016). MultiQC: Summarize analysis results for multiple tools and samples in a single report. Bioinformatics, 32(19), 3047–3048. https://doi.org/10.1093/bioinformatics/btw354</w:t>
      </w:r>
    </w:p>
    <w:p>
      <w:pPr>
        <w:widowControl/>
        <w:spacing w:after="120" w:before="0" w:line="480" w:lineRule="auto"/>
        <w:ind w:left="720" w:hanging="720"/>
      </w:pPr>
      <w:r>
        <w:t>Gene Ontology Consortium. (2021). The Gene Ontology resource: Enriching a GOLD mine. Nucleic Acids Research, 49(D1), D325–D334. https://doi.org/10.1093/nar/gkaa1113</w:t>
      </w:r>
    </w:p>
    <w:p>
      <w:pPr>
        <w:widowControl/>
        <w:spacing w:after="120" w:before="0" w:line="480" w:lineRule="auto"/>
        <w:ind w:left="720" w:hanging="720"/>
      </w:pPr>
      <w:r>
        <w:t>Gillespie, M., Jassal, B., Stephan, R., Milacic, M., Rothfels, K., Senff-Ribeiro, A., Griss, J., Sevilla, C., Matthews, L., Gong, C., Deng, C., Varusai, T., Ragueneau, E., Haider, Y., May, B., Weiser, J., Brunson, T., Sanati, N., Beckman, L., ... Hermjakob, H. (2022). The Reactome pathway knowledgebase 2022. Nucleic Acids Research, 50(D1), D687–D692. https://doi.org/10.1093/nar/gkab1028</w:t>
      </w:r>
    </w:p>
    <w:p>
      <w:pPr>
        <w:widowControl/>
        <w:spacing w:after="120" w:before="0" w:line="480" w:lineRule="auto"/>
        <w:ind w:left="720" w:hanging="720"/>
      </w:pPr>
      <w:r>
        <w:t>Halawani, D., Wang, Y., Li, J., Halperin, D., Ni, H., Estill, M., Ramakrishnan, A., Shen, L., Sefiani, A., Geoffroy, C. G., Friedel, R. H., &amp; Zou, H. (2023). AhR restricts axon regeneration by balancing neuronal stress and growth response after injury. bioRxiv. https://doi.org/10.1101/2023.11.04.565649</w:t>
      </w:r>
    </w:p>
    <w:p>
      <w:pPr>
        <w:widowControl/>
        <w:spacing w:after="120" w:before="0" w:line="480" w:lineRule="auto"/>
        <w:ind w:left="720" w:hanging="720"/>
      </w:pPr>
      <w:r>
        <w:t>Kanehisa, M., Furumichi, M., Sato, Y., Kawashima, M., &amp; Ishiguro-Watanabe, M. (2025). KEGG for taxonomy-based analysis of pathways and genomes. Nucleic Acids Research, 53(D1), D545–D552. https://doi.org/10.1093/nar/gkae987</w:t>
      </w:r>
    </w:p>
    <w:p>
      <w:pPr>
        <w:widowControl/>
        <w:spacing w:after="120" w:before="0" w:line="480" w:lineRule="auto"/>
        <w:ind w:left="720" w:hanging="720"/>
      </w:pPr>
      <w:r>
        <w:t>Kolberg, L., Raudvere, U., Kuzmin, I., Vilo, J., &amp; Peterson, H. (2020). g:Profiler—Interoperable web service for functional enrichment analysis and gene identifier mapping (2021 update). Nucleic Acids Research, 48(W1), W191–W198. https://doi.org/10.1093/nar/gkaa427</w:t>
      </w:r>
    </w:p>
    <w:p>
      <w:pPr>
        <w:widowControl/>
        <w:spacing w:after="120" w:before="0" w:line="480" w:lineRule="auto"/>
        <w:ind w:left="720" w:hanging="720"/>
      </w:pPr>
      <w:r>
        <w:t>Love, M. I., Huber, W., &amp; Anders, S. (2014). Moderated estimation of fold change and dispersion for RNA-seq data with DESeq2. Genome Biology, 15(12), 550. https://doi.org/10.1186/s13059-014-0550-8</w:t>
      </w:r>
    </w:p>
    <w:p>
      <w:pPr>
        <w:widowControl/>
        <w:spacing w:after="120" w:before="0" w:line="480" w:lineRule="auto"/>
        <w:ind w:left="720" w:hanging="720"/>
      </w:pPr>
      <w:r>
        <w:t>National Center for Biotechnology Information. (2026a). Sequence Read Archive study SRP618841. https://www.ncbi.nlm.nih.gov/Traces/study/?acc=SRP618841</w:t>
      </w:r>
    </w:p>
    <w:p>
      <w:pPr>
        <w:widowControl/>
        <w:spacing w:after="120" w:before="0" w:line="480" w:lineRule="auto"/>
        <w:ind w:left="720" w:hanging="720"/>
      </w:pPr>
      <w:r>
        <w:t>National Center for Biotechnology Information. (2026b). BioProject PRJNA1322439. https://www.ncbi.nlm.nih.gov/bioproject/PRJNA1322439</w:t>
      </w:r>
    </w:p>
    <w:p>
      <w:pPr>
        <w:widowControl/>
        <w:spacing w:after="120" w:before="0" w:line="480" w:lineRule="auto"/>
        <w:ind w:left="720" w:hanging="720"/>
      </w:pPr>
      <w:r>
        <w:t>National Center for Biotechnology Information. (2026c). GEO series GSE243308. https://www.ncbi.nlm.nih.gov/geo/query/acc.cgi?acc=GSE243308</w:t>
      </w:r>
    </w:p>
    <w:p>
      <w:pPr>
        <w:widowControl/>
        <w:spacing w:after="120" w:before="0" w:line="480" w:lineRule="auto"/>
        <w:ind w:left="720" w:hanging="720"/>
      </w:pPr>
      <w:r>
        <w:t>National Center for Biotechnology Information. (2026d). SRA Toolkit. https://github.com/ncbi/sra-tools</w:t>
      </w:r>
    </w:p>
    <w:p>
      <w:pPr>
        <w:widowControl/>
        <w:spacing w:after="120" w:line="480" w:lineRule="auto" w:before="0"/>
        <w:ind w:left="720" w:hanging="720"/>
      </w:pPr>
      <w:r>
        <w:t>Wirth, R., &amp; Hipp, J. (2000). CRISP-DM: Towards a standard process model for data mining. In Proceedings of the 4th International Conference on the Practical Applications of Knowledge Discovery and Data Mining (pp. 29–39).</w:t>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hi Boggavarapu" w:id="26" w:date="2026-04-14T03:40:07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29" w:date="2026-04-14T03:40:07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35" w:date="2026-04-14T03:40:07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be editing these myself once I give the paper another look</w:t>
      </w:r>
    </w:p>
  </w:comment>
  <w:comment w:author="Nikhi Boggavarapu" w:id="0" w:date="2026-04-14T03:3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 w:date="2026-04-14T03:39:2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 w:date="2026-04-14T03:39: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4" w:date="2026-04-14T03:39:2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5" w:date="2026-04-14T03:39: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6" w:date="2026-04-14T03:39:2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7" w:date="2026-04-14T03:39:2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8" w:date="2026-04-14T03:39: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2" w:date="2026-04-14T03:39:2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3" w:date="2026-04-14T03:39: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6" w:date="2026-04-14T03:39: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8" w:date="2026-04-14T03:39:20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19" w:date="2026-04-14T03:39:20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1" w:date="2026-04-14T03:39:20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5" w:date="2026-04-14T03:39: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7" w:date="2026-04-14T03:39:2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28" w:date="2026-04-14T03:39:2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3" w:date="2026-04-14T03:39:2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Nikhi Boggavarapu" w:id="34" w:date="2026-04-14T03:39:2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as "X" until all desired figures have been inserted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to play it safe, before we submit the paper</w:t>
      </w:r>
    </w:p>
  </w:comment>
  <w:comment w:author="Piter Garcia" w:id="2" w:date="2026-04-15T22:30:0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this overstates a bit what trimming fixed. Our QC outputs strongly support that adapter-content failures were resolved, but not that overrepresented-sequence and duplication issues were fully cleared. I’d make this more precise.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Trimming resolved adapter-content failures; overrepresented sequences and duplication levels were reduced but not fully eliminated, so we report the adapter fix specifically.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0" w:date="2026-04-15T22:16:5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section should more clearly center the FF side-specific branch as the main validated GO story. Our strongest supported result is the FF branch, especially overlapping BP themes like signaling/regulation, migration or morphogenesis, and injury-response/development. Right now BP, CC, and MF read a bit too equally weighted.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focus the GO analysis on the FF side-specific branch (ipsi_vs_contra_in_ff), which shows the strongest and most consistent enrichment—particularly in BP terms related to signaling/regulation, migration/morphogenesis, and injury-response/development.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Piter Garcia" w:id="22" w:date="2026-04-15T22:27:48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23" w:date="2026-04-15T22:30: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24" w:date="2026-04-15T22:43: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0" w:date="2026-04-15T22:27:48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1" w:date="2026-04-15T22:30: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2" w:date="2026-04-15T22:43:0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36" w:date="2026-04-15T22:27:48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 These are very good, but they move a bit quickly from what the figure will show to the interpretation. Let's first describe the observed pattern (after the images are placed), and then add a short interpretation. If you’d like, I can help complete any of the bracketed sentences.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the top BP terms show overlapping gene membership across several enriched terms. Interpretation: this pattern suggests a connected program of signaling and injury response; additional validation is needed before stronger mechanistic claims are made.</w:t>
      </w:r>
    </w:p>
  </w:comment>
  <w:comment w:author="Nikhi Boggavarapu" w:id="37" w:date="2026-04-15T22:30:0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plan, but also Osier did say to mention some of the specific things mentioned in the top list. I will take care of it, no worries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additonal validation will be looking into the literature behind those terms, im not sure what other  validation you are suggesting?</w:t>
      </w:r>
    </w:p>
  </w:comment>
  <w:comment w:author="Piter Garcia" w:id="38" w:date="2026-04-15T22:43:0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I didn’t mean additional wet-lab validation in that comment — I meant additional support before making a stronger mechanistic claim directly from the enrichment figure alone. So in this context, that would be things like: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literature behind the top terms,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which specific shared genes are driving the overlap,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whether the same pathway pattern holds across the other branch too,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keeping the interpretation anchored to the DE results rather than treating GO alone as proof.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with you — mentioning specific top terms is good and matches Osier’s feedback. I was only suggesting that after we describe the observed pattern, we phrase the interpretation a little cautiously.</w:t>
      </w:r>
    </w:p>
  </w:comment>
  <w:comment w:author="Piter Garcia" w:id="9" w:date="2026-04-15T22:1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0" w:date="2026-04-15T22:15:22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Piter Garcia" w:id="14" w:date="2026-04-15T22:13:1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I think this is a little too strong for the genotype story. Our weekly report supports side as the dominant pattern and genotype as a weaker secondary pattern, with some near-overlapping ff/cre pairs. I’d soften this so we don’t overstate genotype separation.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(46.2%) primarily reflects variance associated with side (ipsilateral vs contralateral), which is the dominant pattern in the dataset. PC2 (20.6%) captures secondary variance that partly correlates with Ahr genotype; genotype separation is present but weaker and shows some overlapping FF/CRE pairs.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Unsupervised clustering groups samples mainly by side (ipsilateral vs contralateral). Genotype shows partial partitioning in some pairs but does not produce a clear, uniform separation.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 w:author="Nikhi Boggavarapu" w:id="15" w:date="2026-04-15T22:15:2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@slk1379@rit.edu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slk1379@rit.edu_</w:t>
      </w:r>
    </w:p>
  </w:comment>
  <w:comment w:author="Nikhi Boggavarapu" w:id="11" w:date="2026-04-15T22:22:2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it might be worth elaborating on this paragraph more</w:t>
      </w:r>
    </w:p>
  </w:comment>
  <w:comment w:author="Piter Garcia" w:id="17" w:date="2026-04-15T22:15:2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@nb6672@g.rit.edu, we should name the exact contrast here. The 709 genes are from ipsi_vs_contra_in_ff. Without the contrast name, the reader can confuse this with the alternate side-specific branch (ipsi_vs_contra_in_cre, 870 genes).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ipsi_vs_contra_in_ff contrast, the bend point occurred at a p-value of 1.37e-17, yielding approximately 709 genes.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nb6672@g.rit.edu_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120"/>
    </w:pPr>
    <w:rPr>
      <w:rFonts w:ascii="Times New Roman" w:hAnsi="Times New Roman" w:eastAsia="Times New Roman"/>
      <w:b w:val="0"/>
      <w:i w:val="0"/>
      <w:color w:val="000000"/>
      <w:sz w:val="24"/>
    </w:rPr>
  </w:style>
  <w:style w:type="paragraph" w:styleId="Heading1">
    <w:name w:val="heading 1"/>
    <w:basedOn w:val="Normal"/>
    <w:next w:val="Normal"/>
    <w:pPr>
      <w:keepNext w:val="1"/>
      <w:keepLines w:val="1"/>
      <w:pageBreakBefore w:val="0"/>
      <w:spacing w:after="120" w:before="400" w:lineRule="auto"/>
    </w:pPr>
    <w:rPr>
      <w:rFonts w:ascii="Times New Roman" w:hAnsi="Times New Roman" w:eastAsia="Times New Roman"/>
      <w:b/>
      <w:i w:val="0"/>
      <w:color w:val="000000"/>
      <w:sz w:val="28"/>
      <w:szCs w:val="40"/>
    </w:rPr>
  </w:style>
  <w:style w:type="paragraph" w:styleId="Heading2">
    <w:name w:val="heading 2"/>
    <w:basedOn w:val="Normal"/>
    <w:next w:val="Normal"/>
    <w:pPr>
      <w:keepNext w:val="1"/>
      <w:keepLines w:val="1"/>
      <w:pageBreakBefore w:val="0"/>
      <w:spacing w:after="120" w:before="360" w:lineRule="auto"/>
    </w:pPr>
    <w:rPr>
      <w:rFonts w:ascii="Times New Roman" w:hAnsi="Times New Roman" w:eastAsia="Times New Roman"/>
      <w:b/>
      <w:bCs w:val="0"/>
      <w:i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hAnsi="Times New Roman" w:eastAsia="Times New Roman"/>
      <w:b/>
      <w:i w:val="0"/>
      <w:color w:val="000000"/>
      <w:sz w:val="36"/>
      <w:szCs w:val="52"/>
    </w:rPr>
  </w:style>
  <w:style w:type="paragraph" w:styleId="Subtitle">
    <w:name w:val="Subtitle"/>
    <w:basedOn w:val="Normal"/>
    <w:next w:val="Normal"/>
    <w:pPr>
      <w:keepNext w:val="1"/>
      <w:keepLines w:val="1"/>
      <w:pageBreakBefore w:val="0"/>
      <w:spacing w:after="320" w:before="0" w:lineRule="auto"/>
    </w:pPr>
    <w:rPr>
      <w:rFonts w:ascii="Times New Roman" w:cs="Arial" w:eastAsia="Times New Roman" w:hAnsi="Times New Roman"/>
      <w:b w:val="0"/>
      <w:i/>
      <w:iCs w:val="0"/>
      <w:color w:val="404040"/>
      <w:sz w:val="22"/>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cbi.nlm.nih.gov/geo/query/acc.cgi?acc=GSE243308"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cbi.nlm.nih.gov/sra/?term=SRP618841" TargetMode="External"/><Relationship Id="rId8" Type="http://schemas.openxmlformats.org/officeDocument/2006/relationships/hyperlink" Target="https://www.ncbi.nlm.nih.gov/bioproject/PRJNA1322439" TargetMode="External"/><Relationship Id="rId11" Type="http://schemas.openxmlformats.org/officeDocument/2006/relationships/hyperlink" Target="https://www.bioinformatics.babraham.ac.uk/projects/fastqc/" TargetMode="External"/><Relationship Id="rId10" Type="http://schemas.openxmlformats.org/officeDocument/2006/relationships/image" Target="media/image9.png"/><Relationship Id="rId13" Type="http://schemas.openxmlformats.org/officeDocument/2006/relationships/hyperlink" Target="https://doi.org/10.1093/bioinformatics/bty560" TargetMode="External"/><Relationship Id="rId12" Type="http://schemas.openxmlformats.org/officeDocument/2006/relationships/hyperlink" Target="https://doi.org/10.1093/bioinformatics/btw354" TargetMode="External"/><Relationship Id="rId15" Type="http://schemas.openxmlformats.org/officeDocument/2006/relationships/hyperlink" Target="https://doi.org/10.1186/s13059-014-0550-8" TargetMode="External"/><Relationship Id="rId14" Type="http://schemas.openxmlformats.org/officeDocument/2006/relationships/hyperlink" Target="https://doi.org/10.1093/bioinformatics/bts635" TargetMode="External"/><Relationship Id="rId17" Type="http://schemas.openxmlformats.org/officeDocument/2006/relationships/image" Target="media/image6.png"/><Relationship Id="rId16" Type="http://schemas.openxmlformats.org/officeDocument/2006/relationships/hyperlink" Target="https://chatgpt.com/g/g-p-69678962e42081919f2e7c48930e4072-biol550/c/69cc9951-8ddc-832e-9d16-cc275503c052#:~:text=layers%20(g%3A-,Profiler,-)."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