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Paper to follow: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Quantum Entanglement Path Selection and Qubit Allocation via Adversarial Group Neural Bandits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Comparative Evaluation Paper: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Informed Contextual Multi-Armed Bandits (iCMABs)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-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Overall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-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stochastic methodology and informative contextual multi-armed bandits (iCMAB) to EXP3-based quantum entanglement routing to enhance adaptability under intelligent, adaptive adversarial conditions. Unlike EXP3+NeuralUCB, we integrate EXAMM-evolved neural forecasting to build the first predictive, context-aware adversarial routing framework capable of countering strategic attackers in quantum networks.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Questions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&lt;Create more&gt;</w:t>
      </w:r>
    </w:p>
    <w:p w:rsidR="00000000" w:rsidDel="00000000" w:rsidP="00000000" w:rsidRDefault="00000000" w:rsidRPr="00000000" w14:paraId="0000000B">
      <w:pPr>
        <w:ind w:right="-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 Steps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Refine research questions and research plan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right="-72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How does temporal attack correlation affect EXP3 routing performance?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right="-72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Can EXAMM-evolved forecasting improve quantum network routing over reactive approaches?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right="-72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How does the hybrid approach compare against best-of-both-worlds bandit algorithms?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right="-72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What gains result from integrating neural forecasting into adversarial group selection?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right="-72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How do forecast accuracy variations affect hybrid system stability and regret bounds?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right="-72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Can stochastic reward updating better model quantum uncertainty than deterministic schemes?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right="-72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What convergence improvements occur under temporally correlated adversarial behavior?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right="-72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How effectively does the framework adapt to dynamic entanglement fidelity variations?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right="-72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How does Byzantine adversary resilience compare to EXP3's theoretical guarantees?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right="-720" w:hanging="36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How well does quantum routing intelligence transfer to other adversarial domains?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literature review and comparative analysis of existing process(overleaf). Specifically compare the existing literature against the proposed process.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/>
        <w:ind w:left="144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My notes provide key concepts and scaffolding as I develop the structure of the paper.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right="-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Tuesday (Aug 26, 25):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Overleaf structure and seeded notes, laying a visual scaffold to reduce overload and guide focused development.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right="-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Wednesday (Aug 27, 25):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Finalize abstract and introduction, align sections and visuals with notes, and draft 10 RQs to lock narrative direction.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right="-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Thursday (Aug 28, 25):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Refine the literature review methodology and comparative narrative to unify EXPNeuralUCB and iCMAB under a coherent arc.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right="-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Friday (Aug 29, 25):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the foundational methods section by synthesizing stochastic, adversarial, and contextual MABs into a hybrid case.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Wednesday–Thursday (Aug 27–28, 25):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Comparative Analysis + Hybrid Integration Finalized</w:t>
      </w:r>
    </w:p>
    <w:p w:rsidR="00000000" w:rsidDel="00000000" w:rsidP="00000000" w:rsidRDefault="00000000" w:rsidRPr="00000000" w14:paraId="0000001E">
      <w:pPr>
        <w:widowControl w:val="0"/>
        <w:numPr>
          <w:ilvl w:val="2"/>
          <w:numId w:val="3"/>
        </w:numPr>
        <w:spacing w:after="0" w:afterAutospacing="0" w:before="0" w:beforeAutospacing="0" w:line="240" w:lineRule="auto"/>
        <w:ind w:left="216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Finalized and refined the Advanced and Hybrid Approaches section:</w:t>
      </w:r>
    </w:p>
    <w:p w:rsidR="00000000" w:rsidDel="00000000" w:rsidP="00000000" w:rsidRDefault="00000000" w:rsidRPr="00000000" w14:paraId="0000001F">
      <w:pPr>
        <w:widowControl w:val="0"/>
        <w:numPr>
          <w:ilvl w:val="3"/>
          <w:numId w:val="3"/>
        </w:numPr>
        <w:spacing w:after="0" w:afterAutospacing="0" w:before="0" w:beforeAutospacing="0" w:line="240" w:lineRule="auto"/>
        <w:ind w:left="288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 detailed descriptions and diagrams of existing and proposed architecture</w:t>
      </w:r>
    </w:p>
    <w:p w:rsidR="00000000" w:rsidDel="00000000" w:rsidP="00000000" w:rsidRDefault="00000000" w:rsidRPr="00000000" w14:paraId="00000020">
      <w:pPr>
        <w:widowControl w:val="0"/>
        <w:numPr>
          <w:ilvl w:val="3"/>
          <w:numId w:val="3"/>
        </w:numPr>
        <w:spacing w:after="0" w:afterAutospacing="0" w:before="0" w:beforeAutospacing="0" w:line="240" w:lineRule="auto"/>
        <w:ind w:left="288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Analysis on forecasting and adversarial constraints, and integration opportunities</w:t>
      </w:r>
    </w:p>
    <w:p w:rsidR="00000000" w:rsidDel="00000000" w:rsidP="00000000" w:rsidRDefault="00000000" w:rsidRPr="00000000" w14:paraId="00000021">
      <w:pPr>
        <w:widowControl w:val="0"/>
        <w:numPr>
          <w:ilvl w:val="3"/>
          <w:numId w:val="3"/>
        </w:numPr>
        <w:spacing w:after="0" w:afterAutospacing="0" w:before="0" w:beforeAutospacing="0" w:line="240" w:lineRule="auto"/>
        <w:ind w:left="288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Highlight cross-domain applications</w:t>
      </w:r>
    </w:p>
    <w:p w:rsidR="00000000" w:rsidDel="00000000" w:rsidP="00000000" w:rsidRDefault="00000000" w:rsidRPr="00000000" w14:paraId="00000022">
      <w:pPr>
        <w:widowControl w:val="0"/>
        <w:numPr>
          <w:ilvl w:val="2"/>
          <w:numId w:val="3"/>
        </w:numPr>
        <w:spacing w:after="0" w:afterAutospacing="0" w:before="0" w:beforeAutospacing="0" w:line="240" w:lineRule="auto"/>
        <w:ind w:left="2160" w:right="-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clean formulation of the Hybrid-UCB equation</w:t>
      </w:r>
    </w:p>
    <w:p w:rsidR="00000000" w:rsidDel="00000000" w:rsidP="00000000" w:rsidRDefault="00000000" w:rsidRPr="00000000" w14:paraId="00000023">
      <w:pPr>
        <w:widowControl w:val="0"/>
        <w:numPr>
          <w:ilvl w:val="2"/>
          <w:numId w:val="3"/>
        </w:numPr>
        <w:spacing w:after="0" w:afterAutospacing="0" w:before="0" w:beforeAutospacing="0" w:line="240" w:lineRule="auto"/>
        <w:ind w:left="216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Completed the Comparative Analysis section draft, including:</w:t>
      </w:r>
    </w:p>
    <w:p w:rsidR="00000000" w:rsidDel="00000000" w:rsidP="00000000" w:rsidRDefault="00000000" w:rsidRPr="00000000" w14:paraId="00000024">
      <w:pPr>
        <w:widowControl w:val="0"/>
        <w:numPr>
          <w:ilvl w:val="3"/>
          <w:numId w:val="3"/>
        </w:numPr>
        <w:spacing w:after="0" w:afterAutospacing="0" w:before="0" w:beforeAutospacing="0" w:line="240" w:lineRule="auto"/>
        <w:ind w:left="288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Capability Matrix table &amp; interpretation (adversarial vs. predictive vs. contextual)</w:t>
      </w:r>
    </w:p>
    <w:p w:rsidR="00000000" w:rsidDel="00000000" w:rsidP="00000000" w:rsidRDefault="00000000" w:rsidRPr="00000000" w14:paraId="00000025">
      <w:pPr>
        <w:widowControl w:val="0"/>
        <w:numPr>
          <w:ilvl w:val="3"/>
          <w:numId w:val="3"/>
        </w:numPr>
        <w:spacing w:after="0" w:afterAutospacing="0" w:before="0" w:beforeAutospacing="0" w:line="240" w:lineRule="auto"/>
        <w:ind w:left="288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Cross-Domain Performance Table with domain-specific narrative</w:t>
      </w:r>
    </w:p>
    <w:p w:rsidR="00000000" w:rsidDel="00000000" w:rsidP="00000000" w:rsidRDefault="00000000" w:rsidRPr="00000000" w14:paraId="00000026">
      <w:pPr>
        <w:widowControl w:val="0"/>
        <w:numPr>
          <w:ilvl w:val="3"/>
          <w:numId w:val="3"/>
        </w:numPr>
        <w:spacing w:after="0" w:afterAutospacing="0" w:before="0" w:beforeAutospacing="0" w:line="240" w:lineRule="auto"/>
        <w:ind w:left="288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Complexity and Scalability Table + analysis</w:t>
      </w:r>
    </w:p>
    <w:p w:rsidR="00000000" w:rsidDel="00000000" w:rsidP="00000000" w:rsidRDefault="00000000" w:rsidRPr="00000000" w14:paraId="00000027">
      <w:pPr>
        <w:widowControl w:val="0"/>
        <w:numPr>
          <w:ilvl w:val="3"/>
          <w:numId w:val="3"/>
        </w:numPr>
        <w:spacing w:after="0" w:afterAutospacing="0" w:before="0" w:beforeAutospacing="0" w:line="240" w:lineRule="auto"/>
        <w:ind w:left="288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Gaps visual map with 5 key limitations clearly defined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Friday (Sep 5, 2025)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Updated the paper and research questions to match objectives.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Monday (Sep 8, 2025)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the development and test framework; Ran initial experiments.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Tuesday (Sep 9, 2025)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Refactored the EXPNeuralUCB code to integrate fixes; Improved baseline comparison.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Wednesday (Sep 10, 2025)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Organized the code in a notebook for improved readability; Prepared for demo use.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Thursday (Sep 11, 2025)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Modularized EXPNeuralUCB to simplify modifications; Improved transparency in results.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Friday, Sept 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Migrated code into the new experimental framework; Ran initial integration tests to verify setup.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Monday, Sept 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30m meeting with advisor to discuss environment design; 30m organizing ideas and updating code structure.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Wednesday, Sept 17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Completed migration into the new framework; Started development of the variable environment (0 → n adversarial attacks).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Thursday, Sept 18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Tested the variable environment; Troubleshot instability issues (performance shifts vs. earlier stable results). Began adjustments to stabilize outcomes, solution in progress, not finished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right="-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XYZ</w:t>
      </w:r>
    </w:p>
    <w:p w:rsidR="00000000" w:rsidDel="00000000" w:rsidP="00000000" w:rsidRDefault="00000000" w:rsidRPr="00000000" w14:paraId="00000033">
      <w:pPr>
        <w:ind w:right="-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Notes: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questions regarding iCMABs, you can contact PhD student Devroop Kar &lt;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dk7405@rit.edu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reached out via email and Slack to create a channel of communication in the event I have questions.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Strategic Research Framing (Brainstorm)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1"/>
        </w:numPr>
        <w:spacing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Phase 1: EXPNeuralUCB + iCMAB (Baseline Integration)</w:t>
      </w:r>
    </w:p>
    <w:p w:rsidR="00000000" w:rsidDel="00000000" w:rsidP="00000000" w:rsidRDefault="00000000" w:rsidRPr="00000000" w14:paraId="00000038">
      <w:pPr>
        <w:widowControl w:val="0"/>
        <w:numPr>
          <w:ilvl w:val="2"/>
          <w:numId w:val="1"/>
        </w:numPr>
        <w:spacing w:line="240" w:lineRule="auto"/>
        <w:ind w:left="216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Focus Area: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Predictive hybrid feasibility under known adversarial settings</w:t>
      </w:r>
    </w:p>
    <w:p w:rsidR="00000000" w:rsidDel="00000000" w:rsidP="00000000" w:rsidRDefault="00000000" w:rsidRPr="00000000" w14:paraId="00000039">
      <w:pPr>
        <w:widowControl w:val="0"/>
        <w:numPr>
          <w:ilvl w:val="2"/>
          <w:numId w:val="1"/>
        </w:numPr>
        <w:spacing w:line="240" w:lineRule="auto"/>
        <w:ind w:left="216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Show performance gains from integrating EXAMM-evolved forecasts</w:t>
      </w:r>
    </w:p>
    <w:p w:rsidR="00000000" w:rsidDel="00000000" w:rsidP="00000000" w:rsidRDefault="00000000" w:rsidRPr="00000000" w14:paraId="0000003A">
      <w:pPr>
        <w:widowControl w:val="0"/>
        <w:numPr>
          <w:ilvl w:val="2"/>
          <w:numId w:val="1"/>
        </w:numPr>
        <w:spacing w:line="240" w:lineRule="auto"/>
        <w:ind w:left="216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Research Outcome: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Establish foundation for predictive-adversarial bandits; demonstrate baseline viability.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1"/>
        </w:numPr>
        <w:spacing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Phase 2: Intelligent / Adaptive Adversary</w:t>
      </w:r>
    </w:p>
    <w:p w:rsidR="00000000" w:rsidDel="00000000" w:rsidP="00000000" w:rsidRDefault="00000000" w:rsidRPr="00000000" w14:paraId="0000003C">
      <w:pPr>
        <w:widowControl w:val="0"/>
        <w:numPr>
          <w:ilvl w:val="2"/>
          <w:numId w:val="1"/>
        </w:numPr>
        <w:spacing w:line="240" w:lineRule="auto"/>
        <w:ind w:left="216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Focus Area: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Stress-test hybrid under dynamic attacker behavior</w:t>
      </w:r>
    </w:p>
    <w:p w:rsidR="00000000" w:rsidDel="00000000" w:rsidP="00000000" w:rsidRDefault="00000000" w:rsidRPr="00000000" w14:paraId="0000003D">
      <w:pPr>
        <w:widowControl w:val="0"/>
        <w:numPr>
          <w:ilvl w:val="2"/>
          <w:numId w:val="1"/>
        </w:numPr>
        <w:spacing w:line="240" w:lineRule="auto"/>
        <w:ind w:left="216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Evaluate adaptability beyond static attack models</w:t>
      </w:r>
    </w:p>
    <w:p w:rsidR="00000000" w:rsidDel="00000000" w:rsidP="00000000" w:rsidRDefault="00000000" w:rsidRPr="00000000" w14:paraId="0000003E">
      <w:pPr>
        <w:widowControl w:val="0"/>
        <w:numPr>
          <w:ilvl w:val="2"/>
          <w:numId w:val="1"/>
        </w:numPr>
        <w:spacing w:line="240" w:lineRule="auto"/>
        <w:ind w:left="216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Research Outcome: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Measure robustness under evolving threats; generate new benchmarks for strategic attackers.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"/>
        </w:numPr>
        <w:spacing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Phase 3: Add Predictive Contender(s)</w:t>
      </w:r>
    </w:p>
    <w:p w:rsidR="00000000" w:rsidDel="00000000" w:rsidP="00000000" w:rsidRDefault="00000000" w:rsidRPr="00000000" w14:paraId="00000040">
      <w:pPr>
        <w:widowControl w:val="0"/>
        <w:numPr>
          <w:ilvl w:val="2"/>
          <w:numId w:val="1"/>
        </w:numPr>
        <w:spacing w:line="240" w:lineRule="auto"/>
        <w:ind w:left="216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Focus Area: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 iCMAB against other forecasting tools (e.g., RNNs, meta-learners)</w:t>
      </w:r>
    </w:p>
    <w:p w:rsidR="00000000" w:rsidDel="00000000" w:rsidP="00000000" w:rsidRDefault="00000000" w:rsidRPr="00000000" w14:paraId="00000041">
      <w:pPr>
        <w:widowControl w:val="0"/>
        <w:numPr>
          <w:ilvl w:val="2"/>
          <w:numId w:val="1"/>
        </w:numPr>
        <w:spacing w:line="240" w:lineRule="auto"/>
        <w:ind w:left="216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Identify stronger or more efficient predictive layers</w:t>
      </w:r>
    </w:p>
    <w:p w:rsidR="00000000" w:rsidDel="00000000" w:rsidP="00000000" w:rsidRDefault="00000000" w:rsidRPr="00000000" w14:paraId="00000042">
      <w:pPr>
        <w:widowControl w:val="0"/>
        <w:numPr>
          <w:ilvl w:val="2"/>
          <w:numId w:val="1"/>
        </w:numPr>
        <w:spacing w:line="240" w:lineRule="auto"/>
        <w:ind w:left="216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Research Outcome: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Determine if iCMAB is optimal or replaceable; build a comparative performance landscape.</w:t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1"/>
        </w:numPr>
        <w:spacing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Phase 4: Expand Literature Toolset</w:t>
      </w:r>
    </w:p>
    <w:p w:rsidR="00000000" w:rsidDel="00000000" w:rsidP="00000000" w:rsidRDefault="00000000" w:rsidRPr="00000000" w14:paraId="00000044">
      <w:pPr>
        <w:widowControl w:val="0"/>
        <w:numPr>
          <w:ilvl w:val="2"/>
          <w:numId w:val="1"/>
        </w:numPr>
        <w:spacing w:line="240" w:lineRule="auto"/>
        <w:ind w:left="216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Focus Area: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Broaden survey of predictive bandit models</w:t>
      </w:r>
    </w:p>
    <w:p w:rsidR="00000000" w:rsidDel="00000000" w:rsidP="00000000" w:rsidRDefault="00000000" w:rsidRPr="00000000" w14:paraId="00000045">
      <w:pPr>
        <w:widowControl w:val="0"/>
        <w:numPr>
          <w:ilvl w:val="2"/>
          <w:numId w:val="1"/>
        </w:numPr>
        <w:spacing w:line="240" w:lineRule="auto"/>
        <w:ind w:left="216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 a toolkit for modular forecasting integration</w:t>
      </w:r>
    </w:p>
    <w:p w:rsidR="00000000" w:rsidDel="00000000" w:rsidP="00000000" w:rsidRDefault="00000000" w:rsidRPr="00000000" w14:paraId="00000046">
      <w:pPr>
        <w:widowControl w:val="0"/>
        <w:numPr>
          <w:ilvl w:val="2"/>
          <w:numId w:val="1"/>
        </w:numPr>
        <w:spacing w:line="240" w:lineRule="auto"/>
        <w:ind w:left="216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Research Outcome: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Curate and classify predictive modules for future research and plug-and-play experimentation.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1"/>
        </w:numPr>
        <w:spacing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Phase 5: Generalization Framework</w:t>
      </w:r>
    </w:p>
    <w:p w:rsidR="00000000" w:rsidDel="00000000" w:rsidP="00000000" w:rsidRDefault="00000000" w:rsidRPr="00000000" w14:paraId="00000048">
      <w:pPr>
        <w:widowControl w:val="0"/>
        <w:numPr>
          <w:ilvl w:val="2"/>
          <w:numId w:val="1"/>
        </w:numPr>
        <w:spacing w:line="240" w:lineRule="auto"/>
        <w:ind w:left="216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Focus Area: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Build pluggable hybrid architecture</w:t>
      </w:r>
    </w:p>
    <w:p w:rsidR="00000000" w:rsidDel="00000000" w:rsidP="00000000" w:rsidRDefault="00000000" w:rsidRPr="00000000" w14:paraId="00000049">
      <w:pPr>
        <w:widowControl w:val="0"/>
        <w:numPr>
          <w:ilvl w:val="2"/>
          <w:numId w:val="1"/>
        </w:numPr>
        <w:spacing w:line="240" w:lineRule="auto"/>
        <w:ind w:left="216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Abstract the forecasting layer → generalizable design</w:t>
      </w:r>
    </w:p>
    <w:p w:rsidR="00000000" w:rsidDel="00000000" w:rsidP="00000000" w:rsidRDefault="00000000" w:rsidRPr="00000000" w14:paraId="0000004A">
      <w:pPr>
        <w:widowControl w:val="0"/>
        <w:numPr>
          <w:ilvl w:val="2"/>
          <w:numId w:val="1"/>
        </w:numPr>
        <w:spacing w:line="240" w:lineRule="auto"/>
        <w:ind w:left="216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Research Outcome: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Deliver a reusable design pattern for predictive-adversarial MABs applicable across domains.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right="-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Strategic Architecture Framing (Brainstorm)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1"/>
        </w:numPr>
        <w:spacing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Unified Problem Reframing: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Restructure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comparative evaluation into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universal decision-making problem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—not just about quantum routing, but about adaptive intelligence across adversarial, stochastic, and contextual systems.</w:t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1"/>
        </w:numPr>
        <w:spacing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Design Principle Emerged: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idea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"compositional intelligence"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—forecasting (iCMAB), robustness (EXPNeuralUCB), and structure adaptation (EXAMM)—was solidified as 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core architectural triad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universal routing models.</w:t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1"/>
        </w:numPr>
        <w:spacing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sz w:val="24"/>
          <w:szCs w:val="24"/>
          <w:rtl w:val="0"/>
        </w:rPr>
        <w:t xml:space="preserve">Neural Waze for Everything → Operationalized: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It’s no longer metaphorical. Through the tables, diagrams, and hybrid UCB formulation, we laid out how Waze-like anticipatory adaptation becomes a functional system in quantum, healthcare, finance, and more.</w:t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1"/>
        </w:numPr>
        <w:spacing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sz w:val="24"/>
          <w:szCs w:val="24"/>
          <w:rtl w:val="0"/>
        </w:rPr>
        <w:t xml:space="preserve">Gap Map → Framework Generator: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visual synthesis of five key research gaps now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drives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implementation roadmap and framing—each gap maps to a specific feature of the hybrid.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1"/>
        </w:numPr>
        <w:spacing w:line="240" w:lineRule="auto"/>
        <w:ind w:left="1440" w:right="-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Phase Readiness Locked: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Closing the loop between narrative (Comparative Analysis) and method (Advanced + Hybrid Approaches)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dive into the implementation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plan.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right="-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dk7405@rit.edu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pdf/2411.00316" TargetMode="External"/><Relationship Id="rId7" Type="http://schemas.openxmlformats.org/officeDocument/2006/relationships/hyperlink" Target="https://dl.acm.org/doi/pdf/10.1145/3638530.3664145" TargetMode="External"/><Relationship Id="rId8" Type="http://schemas.openxmlformats.org/officeDocument/2006/relationships/hyperlink" Target="https://docs.google.com/document/d/1Pn_CDJAAqcoKkWR-pvq5o2lHlyeM-aImrMGClf9DpIc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