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ptos" w:hAnsi="Aptos"/>
          <w:b/>
          <w:color w:val="0F6B78"/>
          <w:sz w:val="16"/>
        </w:rPr>
        <w:t>EXECUTIVE STRATEGY</w:t>
      </w:r>
    </w:p>
    <w:p>
      <w:pPr>
        <w:pStyle w:val="Heading1"/>
        <w:spacing w:before="0" w:after="40" w:line="240" w:lineRule="auto"/>
        <w:keepNext/>
      </w:pPr>
      <w:r>
        <w:rPr>
          <w:rFonts w:ascii="Aptos Display" w:hAnsi="Aptos Display"/>
          <w:b/>
          <w:color w:val="17365D"/>
          <w:sz w:val="40"/>
        </w:rPr>
        <w:t>SaNDAI 8-Week Seminar Growth Plan</w:t>
      </w:r>
    </w:p>
    <w:p>
      <w:pPr>
        <w:spacing w:before="0" w:after="160" w:line="240" w:lineRule="auto"/>
      </w:pPr>
      <w:r>
        <w:rPr>
          <w:rFonts w:ascii="Aptos" w:hAnsi="Aptos"/>
          <w:color w:val="4E5B6B"/>
          <w:sz w:val="21"/>
        </w:rPr>
        <w:t>An auditable operating system for at least 20 actual student attendees every week</w:t>
      </w:r>
    </w:p>
    <w:tbl>
      <w:tblPr>
        <w:tblW w:type="auto" w:w="0"/>
        <w:jc w:val="center"/>
        <w:tblLayout w:type="fixed"/>
        <w:tblLook w:firstColumn="1" w:firstRow="1" w:lastColumn="0" w:lastRow="0" w:noHBand="0" w:noVBand="1" w:val="04A0"/>
      </w:tblPr>
      <w:tblGrid>
        <w:gridCol w:w="10296"/>
      </w:tblGrid>
      <w:tr>
        <w:tc>
          <w:tcPr>
            <w:tcW w:type="dxa" w:w="10454"/>
            <w:shd w:fill="E8A320"/>
            <w:tcMar>
              <w:top w:w="25" w:type="dxa"/>
              <w:start w:w="0" w:type="dxa"/>
              <w:bottom w:w="25" w:type="dxa"/>
              <w:end w:w="0" w:type="dxa"/>
            </w:tcMar>
          </w:tcPr>
          <w:p>
            <w:r/>
          </w:p>
        </w:tc>
      </w:tr>
    </w:tbl>
    <w:p>
      <w:pPr>
        <w:spacing w:after="0"/>
      </w:pPr>
    </w:p>
    <w:tbl>
      <w:tblPr>
        <w:tblW w:type="auto" w:w="0"/>
        <w:jc w:val="center"/>
        <w:tblLayout w:type="fixed"/>
        <w:tblLook w:firstColumn="1" w:firstRow="1" w:lastColumn="0" w:lastRow="0" w:noHBand="0" w:noVBand="1" w:val="04A0"/>
      </w:tblPr>
      <w:tblGrid>
        <w:gridCol w:w="173"/>
        <w:gridCol w:w="10123"/>
      </w:tblGrid>
      <w:tr>
        <w:tc>
          <w:tcPr>
            <w:tcW w:type="dxa" w:w="5227"/>
            <w:shd w:fill="E8A320"/>
            <w:tcMar>
              <w:top w:w="60" w:type="dxa"/>
              <w:start w:w="0" w:type="dxa"/>
              <w:bottom w:w="60" w:type="dxa"/>
              <w:end w:w="0" w:type="dxa"/>
            </w:tcMar>
          </w:tcPr>
          <w:p>
            <w:r/>
          </w:p>
        </w:tc>
        <w:tc>
          <w:tcPr>
            <w:tcW w:type="dxa" w:w="5227"/>
            <w:shd w:fill="FFF6DF"/>
            <w:tcMar>
              <w:top w:w="85" w:type="dxa"/>
              <w:start w:w="110" w:type="dxa"/>
              <w:bottom w:w="85" w:type="dxa"/>
              <w:end w:w="110" w:type="dxa"/>
            </w:tcMar>
          </w:tcPr>
          <w:p>
            <w:pPr>
              <w:spacing w:before="0" w:after="40" w:line="240" w:lineRule="auto"/>
            </w:pPr>
            <w:r/>
            <w:r>
              <w:rPr>
                <w:rFonts w:ascii="Aptos" w:hAnsi="Aptos"/>
                <w:b/>
                <w:color w:val="17365D"/>
                <w:sz w:val="18"/>
              </w:rPr>
              <w:t>RECOMMEND</w:t>
            </w:r>
          </w:p>
          <w:p>
            <w:pPr>
              <w:spacing w:before="0" w:after="0" w:line="250" w:lineRule="auto"/>
            </w:pPr>
            <w:r>
              <w:rPr>
                <w:rFonts w:ascii="Aptos" w:hAnsi="Aptos"/>
                <w:color w:val="1F2937"/>
                <w:sz w:val="19"/>
              </w:rPr>
              <w:t>Run the challenge as a weekly attendance funnel with institutional multipliers, dated decision gates, and a command center that turns current performance into the next action. The campaign is not a one-time promotion; it is an eight-week operating cycle owned by Piter Garcia.</w:t>
            </w:r>
          </w:p>
        </w:tc>
      </w:tr>
    </w:tbl>
    <w:p>
      <w:hyperlink r:id="rId19">
        <w:r>
          <w:rPr>
            <w:color w:val="0563C1"/>
            <w:u w:val="single"/>
          </w:rPr>
          <w:t>Open the interactive prototype</w:t>
        </w:r>
      </w:hyperlink>
      <w:r>
        <w:t xml:space="preserve">  |  No sign-in required. Review steps and supporting evidence appear on page 7.</w:t>
      </w:r>
    </w:p>
    <w:p>
      <w:pPr>
        <w:pStyle w:val="Heading2"/>
        <w:spacing w:before="60" w:after="60" w:line="240" w:lineRule="auto"/>
        <w:keepNext/>
      </w:pPr>
      <w:r>
        <w:rPr>
          <w:rFonts w:ascii="Aptos Display" w:hAnsi="Aptos Display"/>
          <w:b/>
          <w:color w:val="17365D"/>
          <w:sz w:val="26"/>
        </w:rPr>
        <w:t>The decision in one minute</w:t>
      </w:r>
    </w:p>
    <w:tbl>
      <w:tblPr>
        <w:tblW w:type="auto" w:w="0"/>
        <w:jc w:val="center"/>
        <w:tblLayout w:type="fixed"/>
        <w:tblLook w:firstColumn="0" w:firstRow="1" w:lastColumn="0" w:lastRow="0" w:noHBand="0" w:noVBand="1" w:val="04A0"/>
      </w:tblPr>
      <w:tblGrid>
        <w:gridCol w:w="2232"/>
        <w:gridCol w:w="8064"/>
      </w:tblGrid>
      <w:tr>
        <w:trPr>
          <w:tblHeader w:val="true"/>
          <w:cantSplit/>
        </w:trPr>
        <w:tc>
          <w:tcPr>
            <w:tcW w:type="dxa" w:w="5227"/>
            <w:shd w:fill="17365D"/>
            <w:tcMar>
              <w:top w:w="60" w:type="dxa"/>
              <w:start w:w="90" w:type="dxa"/>
              <w:bottom w:w="60" w:type="dxa"/>
              <w:end w:w="90" w:type="dxa"/>
            </w:tcMar>
            <w:vAlign w:val="center"/>
          </w:tcPr>
          <w:p>
            <w:pPr>
              <w:spacing w:before="0" w:after="0" w:line="240" w:lineRule="auto"/>
            </w:pPr>
            <w:r>
              <w:rPr>
                <w:rFonts w:ascii="Aptos" w:hAnsi="Aptos"/>
                <w:b/>
                <w:color w:val="FFFFFF"/>
                <w:sz w:val="16"/>
              </w:rPr>
              <w:t>Question</w:t>
            </w:r>
          </w:p>
        </w:tc>
        <w:tc>
          <w:tcPr>
            <w:tcW w:type="dxa" w:w="5227"/>
            <w:shd w:fill="17365D"/>
            <w:tcMar>
              <w:top w:w="60" w:type="dxa"/>
              <w:start w:w="90" w:type="dxa"/>
              <w:bottom w:w="60" w:type="dxa"/>
              <w:end w:w="90" w:type="dxa"/>
            </w:tcMar>
            <w:vAlign w:val="center"/>
          </w:tcPr>
          <w:p>
            <w:pPr>
              <w:spacing w:before="0" w:after="0" w:line="240" w:lineRule="auto"/>
            </w:pPr>
            <w:r>
              <w:rPr>
                <w:rFonts w:ascii="Aptos" w:hAnsi="Aptos"/>
                <w:b/>
                <w:color w:val="FFFFFF"/>
                <w:sz w:val="16"/>
              </w:rPr>
              <w:t>Operating answer</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Objective</w:t>
            </w:r>
          </w:p>
        </w:tc>
        <w:tc>
          <w:tcPr>
            <w:tcW w:type="dxa" w:w="8064"/>
            <w:shd w:fill="FFFFFF"/>
            <w:tcMar>
              <w:top w:w="60" w:type="dxa"/>
              <w:start w:w="90" w:type="dxa"/>
              <w:bottom w:w="60" w:type="dxa"/>
              <w:end w:w="90" w:type="dxa"/>
            </w:tcMar>
            <w:vAlign w:val="center"/>
          </w:tcPr>
          <w:p>
            <w:pPr>
              <w:spacing w:before="0" w:after="0" w:line="240" w:lineRule="auto"/>
            </w:pPr>
            <w:r>
              <w:rPr>
                <w:rFonts w:ascii="Aptos" w:hAnsi="Aptos"/>
                <w:color w:val="1F2937"/>
                <w:sz w:val="16"/>
              </w:rPr>
              <w:t>Starting in October 2026: at least 20 actual attendees in each of 8 consecutive weeks; at least 160 total attendances.</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Owner</w:t>
            </w:r>
          </w:p>
        </w:tc>
        <w:tc>
          <w:tcPr>
            <w:tcW w:type="dxa" w:w="8064"/>
            <w:shd w:fill="F3F7F8"/>
            <w:tcMar>
              <w:top w:w="60" w:type="dxa"/>
              <w:start w:w="90" w:type="dxa"/>
              <w:bottom w:w="60" w:type="dxa"/>
              <w:end w:w="90" w:type="dxa"/>
            </w:tcMar>
            <w:vAlign w:val="center"/>
          </w:tcPr>
          <w:p>
            <w:pPr>
              <w:spacing w:before="0" w:after="0" w:line="240" w:lineRule="auto"/>
            </w:pPr>
            <w:r>
              <w:rPr>
                <w:rFonts w:ascii="Aptos" w:hAnsi="Aptos"/>
                <w:color w:val="1F2937"/>
                <w:sz w:val="16"/>
              </w:rPr>
              <w:t>Piter Garcia - accountable for plan, execution, measurement, intervention, and weekly reporting.</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Acquisition model</w:t>
            </w:r>
          </w:p>
        </w:tc>
        <w:tc>
          <w:tcPr>
            <w:tcW w:type="dxa" w:w="8064"/>
            <w:shd w:fill="FFFFFF"/>
            <w:tcMar>
              <w:top w:w="60" w:type="dxa"/>
              <w:start w:w="90" w:type="dxa"/>
              <w:bottom w:w="60" w:type="dxa"/>
              <w:end w:w="90" w:type="dxa"/>
            </w:tcMar>
            <w:vAlign w:val="center"/>
          </w:tcPr>
          <w:p>
            <w:pPr>
              <w:spacing w:before="0" w:after="0" w:line="240" w:lineRule="auto"/>
            </w:pPr>
            <w:r>
              <w:rPr>
                <w:rFonts w:ascii="Aptos" w:hAnsi="Aptos"/>
                <w:color w:val="1F2937"/>
                <w:sz w:val="16"/>
              </w:rPr>
              <w:t>Anchor relationships first; then faculty, departments, career services, clubs, partners, referrals, and approved digital channels.</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Registration requirement</w:t>
            </w:r>
          </w:p>
        </w:tc>
        <w:tc>
          <w:tcPr>
            <w:tcW w:type="dxa" w:w="8064"/>
            <w:shd w:fill="F3F7F8"/>
            <w:tcMar>
              <w:top w:w="60" w:type="dxa"/>
              <w:start w:w="90" w:type="dxa"/>
              <w:bottom w:w="60" w:type="dxa"/>
              <w:end w:w="90" w:type="dxa"/>
            </w:tcMar>
            <w:vAlign w:val="center"/>
          </w:tcPr>
          <w:p>
            <w:pPr>
              <w:spacing w:before="0" w:after="0" w:line="240" w:lineRule="auto"/>
            </w:pPr>
            <w:r>
              <w:rPr>
                <w:rFonts w:ascii="Aptos" w:hAnsi="Aptos"/>
                <w:color w:val="1F2937"/>
                <w:sz w:val="16"/>
              </w:rPr>
              <w:t>Dynamic: ceiling(20 / conservative show rate), then a configurable safety buffer.</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Control system</w:t>
            </w:r>
          </w:p>
        </w:tc>
        <w:tc>
          <w:tcPr>
            <w:tcW w:type="dxa" w:w="8064"/>
            <w:shd w:fill="FFFFFF"/>
            <w:tcMar>
              <w:top w:w="60" w:type="dxa"/>
              <w:start w:w="90" w:type="dxa"/>
              <w:bottom w:w="60" w:type="dxa"/>
              <w:end w:w="90" w:type="dxa"/>
            </w:tcMar>
            <w:vAlign w:val="center"/>
          </w:tcPr>
          <w:p>
            <w:pPr>
              <w:spacing w:before="0" w:after="0" w:line="240" w:lineRule="auto"/>
            </w:pPr>
            <w:r>
              <w:rPr>
                <w:rFonts w:ascii="Aptos" w:hAnsi="Aptos"/>
                <w:color w:val="1F2937"/>
                <w:sz w:val="16"/>
              </w:rPr>
              <w:t>T-7, T-5, T-3, T-1, seminar day, and T+1 gates with explicit thresholds and actions.</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Next decision</w:t>
            </w:r>
          </w:p>
        </w:tc>
        <w:tc>
          <w:tcPr>
            <w:tcW w:type="dxa" w:w="8064"/>
            <w:shd w:fill="F3F7F8"/>
            <w:tcMar>
              <w:top w:w="60" w:type="dxa"/>
              <w:start w:w="90" w:type="dxa"/>
              <w:bottom w:w="60" w:type="dxa"/>
              <w:end w:w="90" w:type="dxa"/>
            </w:tcMar>
            <w:vAlign w:val="center"/>
          </w:tcPr>
          <w:p>
            <w:pPr>
              <w:spacing w:before="0" w:after="0" w:line="240" w:lineRule="auto"/>
            </w:pPr>
            <w:r>
              <w:rPr>
                <w:rFonts w:ascii="Aptos" w:hAnsi="Aptos"/>
                <w:color w:val="1F2937"/>
                <w:sz w:val="16"/>
              </w:rPr>
              <w:t>Before launch: approve seminar claims, schedule, registration flow, outreach boundaries, and downstream offers.</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Immediate next action</w:t>
            </w:r>
          </w:p>
        </w:tc>
        <w:tc>
          <w:tcPr>
            <w:tcW w:type="dxa" w:w="8064"/>
            <w:shd w:fill="FFFFFF"/>
            <w:tcMar>
              <w:top w:w="60" w:type="dxa"/>
              <w:start w:w="90" w:type="dxa"/>
              <w:bottom w:w="60" w:type="dxa"/>
              <w:end w:w="90" w:type="dxa"/>
            </w:tcMar>
            <w:vAlign w:val="center"/>
          </w:tcPr>
          <w:p>
            <w:pPr>
              <w:spacing w:before="0" w:after="0" w:line="240" w:lineRule="auto"/>
            </w:pPr>
            <w:r>
              <w:rPr>
                <w:rFonts w:ascii="Aptos" w:hAnsi="Aptos"/>
                <w:color w:val="1F2937"/>
                <w:sz w:val="16"/>
              </w:rPr>
              <w:t>Piter - within 24 hours of authorization: confirm operating facts and populate the Week 0 partner pipeline.</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Next update</w:t>
            </w:r>
          </w:p>
        </w:tc>
        <w:tc>
          <w:tcPr>
            <w:tcW w:type="dxa" w:w="8064"/>
            <w:shd w:fill="F3F7F8"/>
            <w:tcMar>
              <w:top w:w="60" w:type="dxa"/>
              <w:start w:w="90" w:type="dxa"/>
              <w:bottom w:w="60" w:type="dxa"/>
              <w:end w:w="90" w:type="dxa"/>
            </w:tcMar>
            <w:vAlign w:val="center"/>
          </w:tcPr>
          <w:p>
            <w:pPr>
              <w:spacing w:before="0" w:after="0" w:line="240" w:lineRule="auto"/>
            </w:pPr>
            <w:r>
              <w:rPr>
                <w:rFonts w:ascii="Aptos" w:hAnsi="Aptos"/>
                <w:color w:val="1F2937"/>
                <w:sz w:val="16"/>
              </w:rPr>
              <w:t>A five-line executive report at every T+1 review; an escalation update whenever status becomes Yellow or Red.</w:t>
            </w:r>
          </w:p>
        </w:tc>
      </w:tr>
    </w:tbl>
    <w:p>
      <w:pPr>
        <w:pStyle w:val="Heading2"/>
        <w:spacing w:before="60" w:after="60" w:line="240" w:lineRule="auto"/>
        <w:keepNext/>
      </w:pPr>
      <w:r>
        <w:rPr>
          <w:rFonts w:ascii="Aptos" w:hAnsi="Aptos"/>
          <w:b/>
          <w:color w:val="0F6B78"/>
          <w:sz w:val="15"/>
        </w:rPr>
        <w:t xml:space="preserve">MEASURE  </w:t>
      </w:r>
      <w:r>
        <w:rPr>
          <w:rFonts w:ascii="Aptos Display" w:hAnsi="Aptos Display"/>
          <w:b/>
          <w:color w:val="17365D"/>
          <w:sz w:val="26"/>
        </w:rPr>
        <w:t>Success is weekly, not merely cumulative</w:t>
      </w:r>
    </w:p>
    <w:p>
      <w:pPr>
        <w:spacing w:before="0" w:after="80" w:line="250" w:lineRule="auto"/>
      </w:pPr>
      <w:r>
        <w:rPr>
          <w:rFonts w:ascii="Aptos" w:hAnsi="Aptos"/>
          <w:b w:val="0"/>
          <w:i w:val="0"/>
          <w:color w:val="1F2937"/>
          <w:sz w:val="18"/>
        </w:rPr>
        <w:t>The 160-attendance total is necessary but not sufficient. A week with 30 attendees does not erase a different week with 15. The command center therefore checks both conditions: every weekly floor and the cumulative total.</w:t>
      </w:r>
    </w:p>
    <w:tbl>
      <w:tblPr>
        <w:tblW w:type="auto" w:w="0"/>
        <w:jc w:val="center"/>
        <w:tblLayout w:type="fixed"/>
        <w:tblLook w:firstColumn="0" w:firstRow="1" w:lastColumn="0" w:lastRow="0" w:noHBand="0" w:noVBand="1" w:val="04A0"/>
      </w:tblPr>
      <w:tblGrid>
        <w:gridCol w:w="2448"/>
        <w:gridCol w:w="979"/>
        <w:gridCol w:w="979"/>
        <w:gridCol w:w="979"/>
        <w:gridCol w:w="979"/>
        <w:gridCol w:w="979"/>
        <w:gridCol w:w="979"/>
        <w:gridCol w:w="979"/>
        <w:gridCol w:w="979"/>
      </w:tblGrid>
      <w:tr>
        <w:trPr>
          <w:tblHeader w:val="true"/>
          <w:cantSplit/>
        </w:trPr>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Week</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1</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2</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3</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4</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5</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6</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7</w:t>
            </w:r>
          </w:p>
        </w:tc>
        <w:tc>
          <w:tcPr>
            <w:tcW w:type="dxa" w:w="1162"/>
            <w:shd w:fill="0F6B78"/>
            <w:tcMar>
              <w:top w:w="60" w:type="dxa"/>
              <w:start w:w="90" w:type="dxa"/>
              <w:bottom w:w="60" w:type="dxa"/>
              <w:end w:w="90" w:type="dxa"/>
            </w:tcMar>
            <w:vAlign w:val="center"/>
          </w:tcPr>
          <w:p>
            <w:pPr>
              <w:spacing w:before="0" w:after="0" w:line="240" w:lineRule="auto"/>
            </w:pPr>
            <w:r>
              <w:rPr>
                <w:rFonts w:ascii="Aptos" w:hAnsi="Aptos"/>
                <w:b/>
                <w:color w:val="FFFFFF"/>
                <w:sz w:val="15"/>
              </w:rPr>
              <w:t>8</w:t>
            </w:r>
          </w:p>
        </w:tc>
      </w:tr>
      <w:tr>
        <w:trPr>
          <w:cantSplit/>
        </w:trPr>
        <w:tc>
          <w:tcPr>
            <w:tcW w:type="dxa" w:w="2448"/>
            <w:shd w:fill="FFFFFF"/>
            <w:tcMar>
              <w:top w:w="60" w:type="dxa"/>
              <w:start w:w="90" w:type="dxa"/>
              <w:bottom w:w="60" w:type="dxa"/>
              <w:end w:w="90" w:type="dxa"/>
            </w:tcMar>
            <w:vAlign w:val="center"/>
          </w:tcPr>
          <w:p>
            <w:pPr>
              <w:spacing w:before="0" w:after="0" w:line="240" w:lineRule="auto"/>
            </w:pPr>
            <w:r>
              <w:rPr>
                <w:rFonts w:ascii="Aptos" w:hAnsi="Aptos"/>
                <w:color w:val="1F2937"/>
                <w:sz w:val="15"/>
              </w:rPr>
              <w:t>Minimum actual attendance</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FFFFF"/>
            <w:tcMar>
              <w:top w:w="60" w:type="dxa"/>
              <w:start w:w="90" w:type="dxa"/>
              <w:bottom w:w="60" w:type="dxa"/>
              <w:end w:w="90" w:type="dxa"/>
            </w:tcMar>
            <w:vAlign w:val="center"/>
          </w:tcPr>
          <w:p>
            <w:pPr>
              <w:spacing w:before="0" w:after="0" w:line="240" w:lineRule="auto"/>
            </w:pPr>
            <w:r>
              <w:rPr>
                <w:rFonts w:ascii="Aptos" w:hAnsi="Aptos"/>
                <w:color w:val="1F2937"/>
                <w:sz w:val="15"/>
              </w:rPr>
              <w:t>20</w:t>
            </w:r>
          </w:p>
        </w:tc>
      </w:tr>
      <w:tr>
        <w:trPr>
          <w:cantSplit/>
        </w:trPr>
        <w:tc>
          <w:tcPr>
            <w:tcW w:type="dxa" w:w="2448"/>
            <w:shd w:fill="F3F7F8"/>
            <w:tcMar>
              <w:top w:w="60" w:type="dxa"/>
              <w:start w:w="90" w:type="dxa"/>
              <w:bottom w:w="60" w:type="dxa"/>
              <w:end w:w="90" w:type="dxa"/>
            </w:tcMar>
            <w:vAlign w:val="center"/>
          </w:tcPr>
          <w:p>
            <w:pPr>
              <w:spacing w:before="0" w:after="0" w:line="240" w:lineRule="auto"/>
            </w:pPr>
            <w:r>
              <w:rPr>
                <w:rFonts w:ascii="Aptos" w:hAnsi="Aptos"/>
                <w:color w:val="1F2937"/>
                <w:sz w:val="15"/>
              </w:rPr>
              <w:t>Minimum cumulative</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20</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40</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60</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80</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100</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120</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140</w:t>
            </w:r>
          </w:p>
        </w:tc>
        <w:tc>
          <w:tcPr>
            <w:tcW w:type="dxa" w:w="979"/>
            <w:shd w:fill="F3F7F8"/>
            <w:tcMar>
              <w:top w:w="60" w:type="dxa"/>
              <w:start w:w="90" w:type="dxa"/>
              <w:bottom w:w="60" w:type="dxa"/>
              <w:end w:w="90" w:type="dxa"/>
            </w:tcMar>
            <w:vAlign w:val="center"/>
          </w:tcPr>
          <w:p>
            <w:pPr>
              <w:spacing w:before="0" w:after="0" w:line="240" w:lineRule="auto"/>
            </w:pPr>
            <w:r>
              <w:rPr>
                <w:rFonts w:ascii="Aptos" w:hAnsi="Aptos"/>
                <w:color w:val="1F2937"/>
                <w:sz w:val="15"/>
              </w:rPr>
              <w:t>160</w:t>
            </w:r>
          </w:p>
        </w:tc>
      </w:tr>
    </w:tbl>
    <w:p>
      <w:pPr>
        <w:spacing w:before="0" w:after="0" w:line="250" w:lineRule="auto"/>
      </w:pPr>
      <w:r>
        <w:rPr>
          <w:rFonts w:ascii="Aptos" w:hAnsi="Aptos"/>
          <w:b/>
          <w:color w:val="0F6B78"/>
          <w:sz w:val="18"/>
        </w:rPr>
        <w:t xml:space="preserve">WHY: </w:t>
      </w:r>
      <w:r>
        <w:rPr>
          <w:rFonts w:ascii="Aptos" w:hAnsi="Aptos"/>
          <w:b w:val="0"/>
          <w:color w:val="1F2937"/>
          <w:sz w:val="18"/>
        </w:rPr>
        <w:t>This design makes ownership visible. A shortfall cannot hide inside an eight-week average, and a weak funnel triggers an action before seminar day.</w:t>
      </w:r>
    </w:p>
    <w:p>
      <w:pPr>
        <w:pStyle w:val="Heading2"/>
        <w:spacing w:before="60" w:after="60" w:line="240" w:lineRule="auto"/>
        <w:keepNext/>
      </w:pPr>
      <w:r>
        <w:rPr>
          <w:rFonts w:ascii="Aptos Display" w:hAnsi="Aptos Display"/>
          <w:b/>
          <w:color w:val="17365D"/>
          <w:sz w:val="26"/>
        </w:rPr>
        <w:t>Ownership lifecycle</w:t>
      </w:r>
    </w:p>
    <w:tbl>
      <w:tblPr>
        <w:tblW w:type="auto" w:w="0"/>
        <w:jc w:val="center"/>
        <w:tblLayout w:type="fixed"/>
        <w:tblLook w:firstColumn="0" w:firstRow="1" w:lastColumn="0" w:lastRow="0" w:noHBand="0" w:noVBand="1" w:val="04A0"/>
      </w:tblPr>
      <w:tblGrid>
        <w:gridCol w:w="1728"/>
        <w:gridCol w:w="1728"/>
        <w:gridCol w:w="1728"/>
        <w:gridCol w:w="1728"/>
        <w:gridCol w:w="1728"/>
        <w:gridCol w:w="1656"/>
      </w:tblGrid>
      <w:tr>
        <w:trPr>
          <w:tblHeader w:val="true"/>
          <w:cantSplit/>
        </w:trPr>
        <w:tc>
          <w:tcPr>
            <w:tcW w:type="dxa" w:w="1742"/>
            <w:shd w:fill="0F6B78"/>
            <w:tcMar>
              <w:top w:w="60" w:type="dxa"/>
              <w:start w:w="90" w:type="dxa"/>
              <w:bottom w:w="60" w:type="dxa"/>
              <w:end w:w="90" w:type="dxa"/>
            </w:tcMar>
            <w:vAlign w:val="center"/>
          </w:tcPr>
          <w:p>
            <w:pPr>
              <w:spacing w:before="0" w:after="0" w:line="240" w:lineRule="auto"/>
            </w:pPr>
            <w:r>
              <w:rPr>
                <w:rFonts w:ascii="Aptos" w:hAnsi="Aptos"/>
                <w:b/>
                <w:color w:val="FFFFFF"/>
                <w:sz w:val="14"/>
              </w:rPr>
              <w:t>Take responsibility</w:t>
            </w:r>
          </w:p>
        </w:tc>
        <w:tc>
          <w:tcPr>
            <w:tcW w:type="dxa" w:w="1742"/>
            <w:shd w:fill="0F6B78"/>
            <w:tcMar>
              <w:top w:w="60" w:type="dxa"/>
              <w:start w:w="90" w:type="dxa"/>
              <w:bottom w:w="60" w:type="dxa"/>
              <w:end w:w="90" w:type="dxa"/>
            </w:tcMar>
            <w:vAlign w:val="center"/>
          </w:tcPr>
          <w:p>
            <w:pPr>
              <w:spacing w:before="0" w:after="0" w:line="240" w:lineRule="auto"/>
            </w:pPr>
            <w:r>
              <w:rPr>
                <w:rFonts w:ascii="Aptos" w:hAnsi="Aptos"/>
                <w:b/>
                <w:color w:val="FFFFFF"/>
                <w:sz w:val="14"/>
              </w:rPr>
              <w:t>Develop plan</w:t>
            </w:r>
          </w:p>
        </w:tc>
        <w:tc>
          <w:tcPr>
            <w:tcW w:type="dxa" w:w="1742"/>
            <w:shd w:fill="0F6B78"/>
            <w:tcMar>
              <w:top w:w="60" w:type="dxa"/>
              <w:start w:w="90" w:type="dxa"/>
              <w:bottom w:w="60" w:type="dxa"/>
              <w:end w:w="90" w:type="dxa"/>
            </w:tcMar>
            <w:vAlign w:val="center"/>
          </w:tcPr>
          <w:p>
            <w:pPr>
              <w:spacing w:before="0" w:after="0" w:line="240" w:lineRule="auto"/>
            </w:pPr>
            <w:r>
              <w:rPr>
                <w:rFonts w:ascii="Aptos" w:hAnsi="Aptos"/>
                <w:b/>
                <w:color w:val="FFFFFF"/>
                <w:sz w:val="14"/>
              </w:rPr>
              <w:t>Execute</w:t>
            </w:r>
          </w:p>
        </w:tc>
        <w:tc>
          <w:tcPr>
            <w:tcW w:type="dxa" w:w="1742"/>
            <w:shd w:fill="0F6B78"/>
            <w:tcMar>
              <w:top w:w="60" w:type="dxa"/>
              <w:start w:w="90" w:type="dxa"/>
              <w:bottom w:w="60" w:type="dxa"/>
              <w:end w:w="90" w:type="dxa"/>
            </w:tcMar>
            <w:vAlign w:val="center"/>
          </w:tcPr>
          <w:p>
            <w:pPr>
              <w:spacing w:before="0" w:after="0" w:line="240" w:lineRule="auto"/>
            </w:pPr>
            <w:r>
              <w:rPr>
                <w:rFonts w:ascii="Aptos" w:hAnsi="Aptos"/>
                <w:b/>
                <w:color w:val="FFFFFF"/>
                <w:sz w:val="14"/>
              </w:rPr>
              <w:t>Measure</w:t>
            </w:r>
          </w:p>
        </w:tc>
        <w:tc>
          <w:tcPr>
            <w:tcW w:type="dxa" w:w="1742"/>
            <w:shd w:fill="0F6B78"/>
            <w:tcMar>
              <w:top w:w="60" w:type="dxa"/>
              <w:start w:w="90" w:type="dxa"/>
              <w:bottom w:w="60" w:type="dxa"/>
              <w:end w:w="90" w:type="dxa"/>
            </w:tcMar>
            <w:vAlign w:val="center"/>
          </w:tcPr>
          <w:p>
            <w:pPr>
              <w:spacing w:before="0" w:after="0" w:line="240" w:lineRule="auto"/>
            </w:pPr>
            <w:r>
              <w:rPr>
                <w:rFonts w:ascii="Aptos" w:hAnsi="Aptos"/>
                <w:b/>
                <w:color w:val="FFFFFF"/>
                <w:sz w:val="14"/>
              </w:rPr>
              <w:t>Adjust</w:t>
            </w:r>
          </w:p>
        </w:tc>
        <w:tc>
          <w:tcPr>
            <w:tcW w:type="dxa" w:w="1742"/>
            <w:shd w:fill="0F6B78"/>
            <w:tcMar>
              <w:top w:w="60" w:type="dxa"/>
              <w:start w:w="90" w:type="dxa"/>
              <w:bottom w:w="60" w:type="dxa"/>
              <w:end w:w="90" w:type="dxa"/>
            </w:tcMar>
            <w:vAlign w:val="center"/>
          </w:tcPr>
          <w:p>
            <w:pPr>
              <w:spacing w:before="0" w:after="0" w:line="240" w:lineRule="auto"/>
            </w:pPr>
            <w:r>
              <w:rPr>
                <w:rFonts w:ascii="Aptos" w:hAnsi="Aptos"/>
                <w:b/>
                <w:color w:val="FFFFFF"/>
                <w:sz w:val="14"/>
              </w:rPr>
              <w:t>Deliver</w:t>
            </w:r>
          </w:p>
        </w:tc>
      </w:tr>
      <w:tr>
        <w:trPr>
          <w:cantSplit/>
        </w:trPr>
        <w:tc>
          <w:tcPr>
            <w:tcW w:type="dxa" w:w="1728"/>
            <w:shd w:fill="FFFFFF"/>
            <w:tcMar>
              <w:top w:w="60" w:type="dxa"/>
              <w:start w:w="90" w:type="dxa"/>
              <w:bottom w:w="60" w:type="dxa"/>
              <w:end w:w="90" w:type="dxa"/>
            </w:tcMar>
            <w:vAlign w:val="center"/>
          </w:tcPr>
          <w:p>
            <w:pPr>
              <w:spacing w:before="0" w:after="0" w:line="240" w:lineRule="auto"/>
            </w:pPr>
            <w:r>
              <w:rPr>
                <w:rFonts w:ascii="Aptos" w:hAnsi="Aptos"/>
                <w:color w:val="1F2937"/>
                <w:sz w:val="14"/>
              </w:rPr>
              <w:t>Named owner and objective</w:t>
            </w:r>
          </w:p>
        </w:tc>
        <w:tc>
          <w:tcPr>
            <w:tcW w:type="dxa" w:w="1728"/>
            <w:shd w:fill="FFFFFF"/>
            <w:tcMar>
              <w:top w:w="60" w:type="dxa"/>
              <w:start w:w="90" w:type="dxa"/>
              <w:bottom w:w="60" w:type="dxa"/>
              <w:end w:w="90" w:type="dxa"/>
            </w:tcMar>
            <w:vAlign w:val="center"/>
          </w:tcPr>
          <w:p>
            <w:pPr>
              <w:spacing w:before="0" w:after="0" w:line="240" w:lineRule="auto"/>
            </w:pPr>
            <w:r>
              <w:rPr>
                <w:rFonts w:ascii="Aptos" w:hAnsi="Aptos"/>
                <w:color w:val="1F2937"/>
                <w:sz w:val="14"/>
              </w:rPr>
              <w:t>Partners, funnel, gates, backups</w:t>
            </w:r>
          </w:p>
        </w:tc>
        <w:tc>
          <w:tcPr>
            <w:tcW w:type="dxa" w:w="1728"/>
            <w:shd w:fill="FFFFFF"/>
            <w:tcMar>
              <w:top w:w="60" w:type="dxa"/>
              <w:start w:w="90" w:type="dxa"/>
              <w:bottom w:w="60" w:type="dxa"/>
              <w:end w:w="90" w:type="dxa"/>
            </w:tcMar>
            <w:vAlign w:val="center"/>
          </w:tcPr>
          <w:p>
            <w:pPr>
              <w:spacing w:before="0" w:after="0" w:line="240" w:lineRule="auto"/>
            </w:pPr>
            <w:r>
              <w:rPr>
                <w:rFonts w:ascii="Aptos" w:hAnsi="Aptos"/>
                <w:color w:val="1F2937"/>
                <w:sz w:val="14"/>
              </w:rPr>
              <w:t>Dated weekly cadence</w:t>
            </w:r>
          </w:p>
        </w:tc>
        <w:tc>
          <w:tcPr>
            <w:tcW w:type="dxa" w:w="1728"/>
            <w:shd w:fill="FFFFFF"/>
            <w:tcMar>
              <w:top w:w="60" w:type="dxa"/>
              <w:start w:w="90" w:type="dxa"/>
              <w:bottom w:w="60" w:type="dxa"/>
              <w:end w:w="90" w:type="dxa"/>
            </w:tcMar>
            <w:vAlign w:val="center"/>
          </w:tcPr>
          <w:p>
            <w:pPr>
              <w:spacing w:before="0" w:after="0" w:line="240" w:lineRule="auto"/>
            </w:pPr>
            <w:r>
              <w:rPr>
                <w:rFonts w:ascii="Aptos" w:hAnsi="Aptos"/>
                <w:color w:val="1F2937"/>
                <w:sz w:val="14"/>
              </w:rPr>
              <w:t>Actuals, forecast, channels</w:t>
            </w:r>
          </w:p>
        </w:tc>
        <w:tc>
          <w:tcPr>
            <w:tcW w:type="dxa" w:w="1728"/>
            <w:shd w:fill="FFFFFF"/>
            <w:tcMar>
              <w:top w:w="60" w:type="dxa"/>
              <w:start w:w="90" w:type="dxa"/>
              <w:bottom w:w="60" w:type="dxa"/>
              <w:end w:w="90" w:type="dxa"/>
            </w:tcMar>
            <w:vAlign w:val="center"/>
          </w:tcPr>
          <w:p>
            <w:pPr>
              <w:spacing w:before="0" w:after="0" w:line="240" w:lineRule="auto"/>
            </w:pPr>
            <w:r>
              <w:rPr>
                <w:rFonts w:ascii="Aptos" w:hAnsi="Aptos"/>
                <w:color w:val="1F2937"/>
                <w:sz w:val="14"/>
              </w:rPr>
              <w:t>Triggered intervention</w:t>
            </w:r>
          </w:p>
        </w:tc>
        <w:tc>
          <w:tcPr>
            <w:tcW w:type="dxa" w:w="1656"/>
            <w:shd w:fill="FFFFFF"/>
            <w:tcMar>
              <w:top w:w="60" w:type="dxa"/>
              <w:start w:w="90" w:type="dxa"/>
              <w:bottom w:w="60" w:type="dxa"/>
              <w:end w:w="90" w:type="dxa"/>
            </w:tcMar>
            <w:vAlign w:val="center"/>
          </w:tcPr>
          <w:p>
            <w:pPr>
              <w:spacing w:before="0" w:after="0" w:line="240" w:lineRule="auto"/>
            </w:pPr>
            <w:r>
              <w:rPr>
                <w:rFonts w:ascii="Aptos" w:hAnsi="Aptos"/>
                <w:color w:val="1F2937"/>
                <w:sz w:val="14"/>
              </w:rPr>
              <w:t>20/week and final report</w:t>
            </w:r>
          </w:p>
        </w:tc>
      </w:tr>
    </w:tbl>
    <w:p>
      <w:r>
        <w:br w:type="page"/>
      </w:r>
    </w:p>
    <w:p>
      <w:pPr>
        <w:spacing w:before="0" w:after="20" w:line="240" w:lineRule="auto"/>
      </w:pPr>
      <w:r>
        <w:rPr>
          <w:rFonts w:ascii="Aptos" w:hAnsi="Aptos"/>
          <w:b/>
          <w:color w:val="0F6B78"/>
          <w:sz w:val="16"/>
        </w:rPr>
        <w:t>REACH</w:t>
      </w:r>
    </w:p>
    <w:p>
      <w:pPr>
        <w:pStyle w:val="Heading1"/>
        <w:spacing w:before="0" w:after="40" w:line="240" w:lineRule="auto"/>
        <w:keepNext/>
      </w:pPr>
      <w:r>
        <w:rPr>
          <w:rFonts w:ascii="Aptos Display" w:hAnsi="Aptos Display"/>
          <w:b/>
          <w:color w:val="17365D"/>
          <w:sz w:val="40"/>
        </w:rPr>
        <w:t>Acquire through multipliers, not endless one-to-one outreach</w:t>
      </w:r>
    </w:p>
    <w:p>
      <w:pPr>
        <w:spacing w:before="0" w:after="160" w:line="240" w:lineRule="auto"/>
      </w:pPr>
      <w:r>
        <w:rPr>
          <w:rFonts w:ascii="Aptos" w:hAnsi="Aptos"/>
          <w:color w:val="4E5B6B"/>
          <w:sz w:val="21"/>
        </w:rPr>
        <w:t>A layered network that can repeat for eight weeks</w:t>
      </w:r>
    </w:p>
    <w:tbl>
      <w:tblPr>
        <w:tblW w:type="auto" w:w="0"/>
        <w:jc w:val="center"/>
        <w:tblLayout w:type="fixed"/>
        <w:tblLook w:firstColumn="1" w:firstRow="1" w:lastColumn="0" w:lastRow="0" w:noHBand="0" w:noVBand="1" w:val="04A0"/>
      </w:tblPr>
      <w:tblGrid>
        <w:gridCol w:w="10296"/>
      </w:tblGrid>
      <w:tr>
        <w:tc>
          <w:tcPr>
            <w:tcW w:type="dxa" w:w="10454"/>
            <w:shd w:fill="E8A320"/>
            <w:tcMar>
              <w:top w:w="25" w:type="dxa"/>
              <w:start w:w="0" w:type="dxa"/>
              <w:bottom w:w="25" w:type="dxa"/>
              <w:end w:w="0" w:type="dxa"/>
            </w:tcMar>
          </w:tcPr>
          <w:p>
            <w:r/>
          </w:p>
        </w:tc>
      </w:tr>
    </w:tbl>
    <w:p>
      <w:pPr>
        <w:spacing w:after="0"/>
      </w:pPr>
    </w:p>
    <w:p>
      <w:pPr>
        <w:pStyle w:val="Heading2"/>
        <w:spacing w:before="60" w:after="60" w:line="240" w:lineRule="auto"/>
        <w:keepNext/>
      </w:pPr>
      <w:r>
        <w:rPr>
          <w:rFonts w:ascii="Aptos Display" w:hAnsi="Aptos Display"/>
          <w:b/>
          <w:color w:val="17365D"/>
          <w:sz w:val="26"/>
        </w:rPr>
        <w:t>Four-layer expansion strategy</w:t>
      </w:r>
    </w:p>
    <w:tbl>
      <w:tblPr>
        <w:tblW w:type="auto" w:w="0"/>
        <w:jc w:val="center"/>
        <w:tblLayout w:type="fixed"/>
        <w:tblLook w:firstColumn="0" w:firstRow="1" w:lastColumn="0" w:lastRow="0" w:noHBand="0" w:noVBand="1" w:val="04A0"/>
      </w:tblPr>
      <w:tblGrid>
        <w:gridCol w:w="1944"/>
        <w:gridCol w:w="2376"/>
        <w:gridCol w:w="5976"/>
      </w:tblGrid>
      <w:tr>
        <w:trPr>
          <w:tblHeader w:val="true"/>
          <w:cantSplit/>
        </w:trPr>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Layer</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Purpose</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Examples and operating move</w:t>
            </w:r>
          </w:p>
        </w:tc>
      </w:tr>
      <w:tr>
        <w:trPr>
          <w:cantSplit/>
        </w:trPr>
        <w:tc>
          <w:tcPr>
            <w:tcW w:type="dxa" w:w="1944"/>
            <w:shd w:fill="FFFFFF"/>
            <w:tcMar>
              <w:top w:w="60" w:type="dxa"/>
              <w:start w:w="90" w:type="dxa"/>
              <w:bottom w:w="60" w:type="dxa"/>
              <w:end w:w="90" w:type="dxa"/>
            </w:tcMar>
            <w:vAlign w:val="center"/>
          </w:tcPr>
          <w:p>
            <w:pPr>
              <w:spacing w:before="0" w:after="0" w:line="240" w:lineRule="auto"/>
            </w:pPr>
            <w:r>
              <w:rPr>
                <w:rFonts w:ascii="Aptos" w:hAnsi="Aptos"/>
                <w:color w:val="1F2937"/>
                <w:sz w:val="16"/>
              </w:rPr>
              <w:t>1. Anchor network</w:t>
            </w:r>
          </w:p>
        </w:tc>
        <w:tc>
          <w:tcPr>
            <w:tcW w:type="dxa" w:w="2376"/>
            <w:shd w:fill="FFFFFF"/>
            <w:tcMar>
              <w:top w:w="60" w:type="dxa"/>
              <w:start w:w="90" w:type="dxa"/>
              <w:bottom w:w="60" w:type="dxa"/>
              <w:end w:w="90" w:type="dxa"/>
            </w:tcMar>
            <w:vAlign w:val="center"/>
          </w:tcPr>
          <w:p>
            <w:pPr>
              <w:spacing w:before="0" w:after="0" w:line="240" w:lineRule="auto"/>
            </w:pPr>
            <w:r>
              <w:rPr>
                <w:rFonts w:ascii="Aptos" w:hAnsi="Aptos"/>
                <w:color w:val="1F2937"/>
                <w:sz w:val="16"/>
              </w:rPr>
              <w:t>Start quickly and learn</w:t>
            </w:r>
          </w:p>
        </w:tc>
        <w:tc>
          <w:tcPr>
            <w:tcW w:type="dxa" w:w="5976"/>
            <w:shd w:fill="FFFFFF"/>
            <w:tcMar>
              <w:top w:w="60" w:type="dxa"/>
              <w:start w:w="90" w:type="dxa"/>
              <w:bottom w:w="60" w:type="dxa"/>
              <w:end w:w="90" w:type="dxa"/>
            </w:tcMar>
            <w:vAlign w:val="center"/>
          </w:tcPr>
          <w:p>
            <w:pPr>
              <w:spacing w:before="0" w:after="0" w:line="240" w:lineRule="auto"/>
            </w:pPr>
            <w:r>
              <w:rPr>
                <w:rFonts w:ascii="Aptos" w:hAnsi="Aptos"/>
                <w:color w:val="1F2937"/>
                <w:sz w:val="16"/>
              </w:rPr>
              <w:t>Use approved public/relationship channels through Farmingdale State College (FSC), RIT, and the University of Rochester; do not use private rosters.</w:t>
            </w:r>
          </w:p>
        </w:tc>
      </w:tr>
      <w:tr>
        <w:trPr>
          <w:cantSplit/>
        </w:trPr>
        <w:tc>
          <w:tcPr>
            <w:tcW w:type="dxa" w:w="1944"/>
            <w:shd w:fill="F3F7F8"/>
            <w:tcMar>
              <w:top w:w="60" w:type="dxa"/>
              <w:start w:w="90" w:type="dxa"/>
              <w:bottom w:w="60" w:type="dxa"/>
              <w:end w:w="90" w:type="dxa"/>
            </w:tcMar>
            <w:vAlign w:val="center"/>
          </w:tcPr>
          <w:p>
            <w:pPr>
              <w:spacing w:before="0" w:after="0" w:line="240" w:lineRule="auto"/>
            </w:pPr>
            <w:r>
              <w:rPr>
                <w:rFonts w:ascii="Aptos" w:hAnsi="Aptos"/>
                <w:color w:val="1F2937"/>
                <w:sz w:val="16"/>
              </w:rPr>
              <w:t>2. Institutional multipliers</w:t>
            </w:r>
          </w:p>
        </w:tc>
        <w:tc>
          <w:tcPr>
            <w:tcW w:type="dxa" w:w="2376"/>
            <w:shd w:fill="F3F7F8"/>
            <w:tcMar>
              <w:top w:w="60" w:type="dxa"/>
              <w:start w:w="90" w:type="dxa"/>
              <w:bottom w:w="60" w:type="dxa"/>
              <w:end w:w="90" w:type="dxa"/>
            </w:tcMar>
            <w:vAlign w:val="center"/>
          </w:tcPr>
          <w:p>
            <w:pPr>
              <w:spacing w:before="0" w:after="0" w:line="240" w:lineRule="auto"/>
            </w:pPr>
            <w:r>
              <w:rPr>
                <w:rFonts w:ascii="Aptos" w:hAnsi="Aptos"/>
                <w:color w:val="1F2937"/>
                <w:sz w:val="16"/>
              </w:rPr>
              <w:t>Reach groups at once</w:t>
            </w:r>
          </w:p>
        </w:tc>
        <w:tc>
          <w:tcPr>
            <w:tcW w:type="dxa" w:w="5976"/>
            <w:shd w:fill="F3F7F8"/>
            <w:tcMar>
              <w:top w:w="60" w:type="dxa"/>
              <w:start w:w="90" w:type="dxa"/>
              <w:bottom w:w="60" w:type="dxa"/>
              <w:end w:w="90" w:type="dxa"/>
            </w:tcMar>
            <w:vAlign w:val="center"/>
          </w:tcPr>
          <w:p>
            <w:pPr>
              <w:spacing w:before="0" w:after="0" w:line="240" w:lineRule="auto"/>
            </w:pPr>
            <w:r>
              <w:rPr>
                <w:rFonts w:ascii="Aptos" w:hAnsi="Aptos"/>
                <w:color w:val="1F2937"/>
                <w:sz w:val="16"/>
              </w:rPr>
              <w:t>Faculty, departments, career services, student organizations, academic programs, and approved UofR partner or teaching-placement contacts distribute an approved message.</w:t>
            </w:r>
          </w:p>
        </w:tc>
      </w:tr>
      <w:tr>
        <w:trPr>
          <w:cantSplit/>
        </w:trPr>
        <w:tc>
          <w:tcPr>
            <w:tcW w:type="dxa" w:w="1944"/>
            <w:shd w:fill="FFFFFF"/>
            <w:tcMar>
              <w:top w:w="60" w:type="dxa"/>
              <w:start w:w="90" w:type="dxa"/>
              <w:bottom w:w="60" w:type="dxa"/>
              <w:end w:w="90" w:type="dxa"/>
            </w:tcMar>
            <w:vAlign w:val="center"/>
          </w:tcPr>
          <w:p>
            <w:pPr>
              <w:spacing w:before="0" w:after="0" w:line="240" w:lineRule="auto"/>
            </w:pPr>
            <w:r>
              <w:rPr>
                <w:rFonts w:ascii="Aptos" w:hAnsi="Aptos"/>
                <w:color w:val="1F2937"/>
                <w:sz w:val="16"/>
              </w:rPr>
              <w:t>3. Repeat partners</w:t>
            </w:r>
          </w:p>
        </w:tc>
        <w:tc>
          <w:tcPr>
            <w:tcW w:type="dxa" w:w="2376"/>
            <w:shd w:fill="FFFFFF"/>
            <w:tcMar>
              <w:top w:w="60" w:type="dxa"/>
              <w:start w:w="90" w:type="dxa"/>
              <w:bottom w:w="60" w:type="dxa"/>
              <w:end w:w="90" w:type="dxa"/>
            </w:tcMar>
            <w:vAlign w:val="center"/>
          </w:tcPr>
          <w:p>
            <w:pPr>
              <w:spacing w:before="0" w:after="0" w:line="240" w:lineRule="auto"/>
            </w:pPr>
            <w:r>
              <w:rPr>
                <w:rFonts w:ascii="Aptos" w:hAnsi="Aptos"/>
                <w:color w:val="1F2937"/>
                <w:sz w:val="16"/>
              </w:rPr>
              <w:t>Create a reusable referral engine</w:t>
            </w:r>
          </w:p>
        </w:tc>
        <w:tc>
          <w:tcPr>
            <w:tcW w:type="dxa" w:w="5976"/>
            <w:shd w:fill="FFFFFF"/>
            <w:tcMar>
              <w:top w:w="60" w:type="dxa"/>
              <w:start w:w="90" w:type="dxa"/>
              <w:bottom w:w="60" w:type="dxa"/>
              <w:end w:w="90" w:type="dxa"/>
            </w:tcMar>
            <w:vAlign w:val="center"/>
          </w:tcPr>
          <w:p>
            <w:pPr>
              <w:spacing w:before="0" w:after="0" w:line="240" w:lineRule="auto"/>
            </w:pPr>
            <w:r>
              <w:rPr>
                <w:rFonts w:ascii="Aptos" w:hAnsi="Aptos"/>
                <w:color w:val="1F2937"/>
                <w:sz w:val="16"/>
              </w:rPr>
              <w:t>Give partners a tracked link or source code, a reminder kit, and a short outcome update so they can refer again.</w:t>
            </w:r>
          </w:p>
        </w:tc>
      </w:tr>
      <w:tr>
        <w:trPr>
          <w:cantSplit/>
        </w:trPr>
        <w:tc>
          <w:tcPr>
            <w:tcW w:type="dxa" w:w="1944"/>
            <w:shd w:fill="F3F7F8"/>
            <w:tcMar>
              <w:top w:w="60" w:type="dxa"/>
              <w:start w:w="90" w:type="dxa"/>
              <w:bottom w:w="60" w:type="dxa"/>
              <w:end w:w="90" w:type="dxa"/>
            </w:tcMar>
            <w:vAlign w:val="center"/>
          </w:tcPr>
          <w:p>
            <w:pPr>
              <w:spacing w:before="0" w:after="0" w:line="240" w:lineRule="auto"/>
            </w:pPr>
            <w:r>
              <w:rPr>
                <w:rFonts w:ascii="Aptos" w:hAnsi="Aptos"/>
                <w:color w:val="1F2937"/>
                <w:sz w:val="16"/>
              </w:rPr>
              <w:t>4. Broader reach</w:t>
            </w:r>
          </w:p>
        </w:tc>
        <w:tc>
          <w:tcPr>
            <w:tcW w:type="dxa" w:w="2376"/>
            <w:shd w:fill="F3F7F8"/>
            <w:tcMar>
              <w:top w:w="60" w:type="dxa"/>
              <w:start w:w="90" w:type="dxa"/>
              <w:bottom w:w="60" w:type="dxa"/>
              <w:end w:w="90" w:type="dxa"/>
            </w:tcMar>
            <w:vAlign w:val="center"/>
          </w:tcPr>
          <w:p>
            <w:pPr>
              <w:spacing w:before="0" w:after="0" w:line="240" w:lineRule="auto"/>
            </w:pPr>
            <w:r>
              <w:rPr>
                <w:rFonts w:ascii="Aptos" w:hAnsi="Aptos"/>
                <w:color w:val="1F2937"/>
                <w:sz w:val="16"/>
              </w:rPr>
              <w:t>Reduce dependence on campus ties</w:t>
            </w:r>
          </w:p>
        </w:tc>
        <w:tc>
          <w:tcPr>
            <w:tcW w:type="dxa" w:w="5976"/>
            <w:shd w:fill="F3F7F8"/>
            <w:tcMar>
              <w:top w:w="60" w:type="dxa"/>
              <w:start w:w="90" w:type="dxa"/>
              <w:bottom w:w="60" w:type="dxa"/>
              <w:end w:w="90" w:type="dxa"/>
            </w:tcMar>
            <w:vAlign w:val="center"/>
          </w:tcPr>
          <w:p>
            <w:pPr>
              <w:spacing w:before="0" w:after="0" w:line="240" w:lineRule="auto"/>
            </w:pPr>
            <w:r>
              <w:rPr>
                <w:rFonts w:ascii="Aptos" w:hAnsi="Aptos"/>
                <w:color w:val="1F2937"/>
                <w:sz w:val="16"/>
              </w:rPr>
              <w:t>Professional/community organizations, alumni and peer referrals, public events, and approved digital channels.</w:t>
            </w:r>
          </w:p>
        </w:tc>
      </w:tr>
    </w:tbl>
    <w:tbl>
      <w:tblPr>
        <w:tblW w:type="auto" w:w="0"/>
        <w:jc w:val="center"/>
        <w:tblLayout w:type="fixed"/>
        <w:tblLook w:firstColumn="1" w:firstRow="1" w:lastColumn="0" w:lastRow="0" w:noHBand="0" w:noVBand="1" w:val="04A0"/>
      </w:tblPr>
      <w:tblGrid>
        <w:gridCol w:w="173"/>
        <w:gridCol w:w="10123"/>
      </w:tblGrid>
      <w:tr>
        <w:tc>
          <w:tcPr>
            <w:tcW w:type="dxa" w:w="5227"/>
            <w:shd w:fill="0F6B78"/>
            <w:tcMar>
              <w:top w:w="60" w:type="dxa"/>
              <w:start w:w="0" w:type="dxa"/>
              <w:bottom w:w="60" w:type="dxa"/>
              <w:end w:w="0" w:type="dxa"/>
            </w:tcMar>
          </w:tcPr>
          <w:p>
            <w:r/>
          </w:p>
        </w:tc>
        <w:tc>
          <w:tcPr>
            <w:tcW w:type="dxa" w:w="5227"/>
            <w:shd w:fill="F3F7F8"/>
            <w:tcMar>
              <w:top w:w="85" w:type="dxa"/>
              <w:start w:w="110" w:type="dxa"/>
              <w:bottom w:w="85" w:type="dxa"/>
              <w:end w:w="110" w:type="dxa"/>
            </w:tcMar>
          </w:tcPr>
          <w:p>
            <w:pPr>
              <w:spacing w:before="0" w:after="40" w:line="240" w:lineRule="auto"/>
            </w:pPr>
            <w:r/>
            <w:r>
              <w:rPr>
                <w:rFonts w:ascii="Aptos" w:hAnsi="Aptos"/>
                <w:b/>
                <w:color w:val="17365D"/>
                <w:sz w:val="18"/>
              </w:rPr>
              <w:t>Concentration control</w:t>
            </w:r>
          </w:p>
          <w:p>
            <w:pPr>
              <w:spacing w:before="0" w:after="0" w:line="250" w:lineRule="auto"/>
            </w:pPr>
            <w:r>
              <w:rPr>
                <w:rFonts w:ascii="Aptos" w:hAnsi="Aptos"/>
                <w:color w:val="1F2937"/>
                <w:sz w:val="18"/>
              </w:rPr>
              <w:t>By Week 3, the goal is for institutional multipliers, partners, and referrals to supply at least half of registrations. After Week 2, no single channel should supply more than 40% of weekly registrations. These are management thresholds to test and revise, not claims about existing performance.</w:t>
            </w:r>
          </w:p>
        </w:tc>
      </w:tr>
    </w:tbl>
    <w:p>
      <w:pPr>
        <w:spacing w:before="0" w:after="80" w:line="250" w:lineRule="auto"/>
      </w:pPr>
      <w:r>
        <w:rPr>
          <w:rFonts w:ascii="Aptos" w:hAnsi="Aptos"/>
          <w:b w:val="0"/>
          <w:i/>
          <w:color w:val="4E5B6B"/>
          <w:sz w:val="17"/>
        </w:rPr>
        <w:t>The UofR relationship is especially valuable because it includes existing partner and teaching-placement relationships that can be explored through approved contacts. Each outreach route still requires the appropriate institutional or supervising contact to approve distribution.</w:t>
      </w:r>
    </w:p>
    <w:p>
      <w:pPr>
        <w:pStyle w:val="Heading2"/>
        <w:spacing w:before="60" w:after="60" w:line="240" w:lineRule="auto"/>
        <w:keepNext/>
      </w:pPr>
      <w:r>
        <w:rPr>
          <w:rFonts w:ascii="Aptos" w:hAnsi="Aptos"/>
          <w:b/>
          <w:color w:val="0F6B78"/>
          <w:sz w:val="15"/>
        </w:rPr>
        <w:t xml:space="preserve">TRACK  </w:t>
      </w:r>
      <w:r>
        <w:rPr>
          <w:rFonts w:ascii="Aptos Display" w:hAnsi="Aptos Display"/>
          <w:b/>
          <w:color w:val="17365D"/>
          <w:sz w:val="26"/>
        </w:rPr>
        <w:t>Transparent attendance funnel</w:t>
      </w:r>
    </w:p>
    <w:tbl>
      <w:tblPr>
        <w:tblW w:type="auto" w:w="0"/>
        <w:jc w:val="center"/>
        <w:tblLayout w:type="fixed"/>
        <w:tblLook w:firstColumn="0" w:firstRow="1" w:lastColumn="0" w:lastRow="0" w:noHBand="0" w:noVBand="1" w:val="04A0"/>
      </w:tblPr>
      <w:tblGrid>
        <w:gridCol w:w="1699"/>
        <w:gridCol w:w="3816"/>
        <w:gridCol w:w="4781"/>
      </w:tblGrid>
      <w:tr>
        <w:trPr>
          <w:tblHeader w:val="true"/>
          <w:cantSplit/>
        </w:trPr>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Stage</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Decision value</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Minimum record</w:t>
            </w:r>
          </w:p>
        </w:tc>
      </w:tr>
      <w:tr>
        <w:trPr>
          <w:cantSplit/>
        </w:trPr>
        <w:tc>
          <w:tcPr>
            <w:tcW w:type="dxa" w:w="1699"/>
            <w:shd w:fill="FFFFFF"/>
            <w:tcMar>
              <w:top w:w="60" w:type="dxa"/>
              <w:start w:w="90" w:type="dxa"/>
              <w:bottom w:w="60" w:type="dxa"/>
              <w:end w:w="90" w:type="dxa"/>
            </w:tcMar>
            <w:vAlign w:val="center"/>
          </w:tcPr>
          <w:p>
            <w:pPr>
              <w:spacing w:before="0" w:after="0" w:line="240" w:lineRule="auto"/>
            </w:pPr>
            <w:r>
              <w:rPr>
                <w:rFonts w:ascii="Aptos" w:hAnsi="Aptos"/>
                <w:color w:val="1F2937"/>
                <w:sz w:val="16"/>
              </w:rPr>
              <w:t>Reached / invited</w:t>
            </w:r>
          </w:p>
        </w:tc>
        <w:tc>
          <w:tcPr>
            <w:tcW w:type="dxa" w:w="3816"/>
            <w:shd w:fill="FFFFFF"/>
            <w:tcMar>
              <w:top w:w="60" w:type="dxa"/>
              <w:start w:w="90" w:type="dxa"/>
              <w:bottom w:w="60" w:type="dxa"/>
              <w:end w:w="90" w:type="dxa"/>
            </w:tcMar>
            <w:vAlign w:val="center"/>
          </w:tcPr>
          <w:p>
            <w:pPr>
              <w:spacing w:before="0" w:after="0" w:line="240" w:lineRule="auto"/>
            </w:pPr>
            <w:r>
              <w:rPr>
                <w:rFonts w:ascii="Aptos" w:hAnsi="Aptos"/>
                <w:color w:val="1F2937"/>
                <w:sz w:val="16"/>
              </w:rPr>
              <w:t>Shows outreach volume and partner activity</w:t>
            </w:r>
          </w:p>
        </w:tc>
        <w:tc>
          <w:tcPr>
            <w:tcW w:type="dxa" w:w="4781"/>
            <w:shd w:fill="FFFFFF"/>
            <w:tcMar>
              <w:top w:w="60" w:type="dxa"/>
              <w:start w:w="90" w:type="dxa"/>
              <w:bottom w:w="60" w:type="dxa"/>
              <w:end w:w="90" w:type="dxa"/>
            </w:tcMar>
            <w:vAlign w:val="center"/>
          </w:tcPr>
          <w:p>
            <w:pPr>
              <w:spacing w:before="0" w:after="0" w:line="240" w:lineRule="auto"/>
            </w:pPr>
            <w:r>
              <w:rPr>
                <w:rFonts w:ascii="Aptos" w:hAnsi="Aptos"/>
                <w:color w:val="1F2937"/>
                <w:sz w:val="16"/>
              </w:rPr>
              <w:t>Date, source/channel, campaign code; no unnecessary personal data.</w:t>
            </w:r>
          </w:p>
        </w:tc>
      </w:tr>
      <w:tr>
        <w:trPr>
          <w:cantSplit/>
        </w:trPr>
        <w:tc>
          <w:tcPr>
            <w:tcW w:type="dxa" w:w="1699"/>
            <w:shd w:fill="F3F7F8"/>
            <w:tcMar>
              <w:top w:w="60" w:type="dxa"/>
              <w:start w:w="90" w:type="dxa"/>
              <w:bottom w:w="60" w:type="dxa"/>
              <w:end w:w="90" w:type="dxa"/>
            </w:tcMar>
            <w:vAlign w:val="center"/>
          </w:tcPr>
          <w:p>
            <w:pPr>
              <w:spacing w:before="0" w:after="0" w:line="240" w:lineRule="auto"/>
            </w:pPr>
            <w:r>
              <w:rPr>
                <w:rFonts w:ascii="Aptos" w:hAnsi="Aptos"/>
                <w:color w:val="1F2937"/>
                <w:sz w:val="16"/>
              </w:rPr>
              <w:t>Interested</w:t>
            </w:r>
          </w:p>
        </w:tc>
        <w:tc>
          <w:tcPr>
            <w:tcW w:type="dxa" w:w="3816"/>
            <w:shd w:fill="F3F7F8"/>
            <w:tcMar>
              <w:top w:w="60" w:type="dxa"/>
              <w:start w:w="90" w:type="dxa"/>
              <w:bottom w:w="60" w:type="dxa"/>
              <w:end w:w="90" w:type="dxa"/>
            </w:tcMar>
            <w:vAlign w:val="center"/>
          </w:tcPr>
          <w:p>
            <w:pPr>
              <w:spacing w:before="0" w:after="0" w:line="240" w:lineRule="auto"/>
            </w:pPr>
            <w:r>
              <w:rPr>
                <w:rFonts w:ascii="Aptos" w:hAnsi="Aptos"/>
                <w:color w:val="1F2937"/>
                <w:sz w:val="16"/>
              </w:rPr>
              <w:t>Identifies message-audience fit</w:t>
            </w:r>
          </w:p>
        </w:tc>
        <w:tc>
          <w:tcPr>
            <w:tcW w:type="dxa" w:w="4781"/>
            <w:shd w:fill="F3F7F8"/>
            <w:tcMar>
              <w:top w:w="60" w:type="dxa"/>
              <w:start w:w="90" w:type="dxa"/>
              <w:bottom w:w="60" w:type="dxa"/>
              <w:end w:w="90" w:type="dxa"/>
            </w:tcMar>
            <w:vAlign w:val="center"/>
          </w:tcPr>
          <w:p>
            <w:pPr>
              <w:spacing w:before="0" w:after="0" w:line="240" w:lineRule="auto"/>
            </w:pPr>
            <w:r>
              <w:rPr>
                <w:rFonts w:ascii="Aptos" w:hAnsi="Aptos"/>
                <w:color w:val="1F2937"/>
                <w:sz w:val="16"/>
              </w:rPr>
              <w:t>Opt-in or tracked interest signal.</w:t>
            </w:r>
          </w:p>
        </w:tc>
      </w:tr>
      <w:tr>
        <w:trPr>
          <w:cantSplit/>
        </w:trPr>
        <w:tc>
          <w:tcPr>
            <w:tcW w:type="dxa" w:w="1699"/>
            <w:shd w:fill="FFFFFF"/>
            <w:tcMar>
              <w:top w:w="60" w:type="dxa"/>
              <w:start w:w="90" w:type="dxa"/>
              <w:bottom w:w="60" w:type="dxa"/>
              <w:end w:w="90" w:type="dxa"/>
            </w:tcMar>
            <w:vAlign w:val="center"/>
          </w:tcPr>
          <w:p>
            <w:pPr>
              <w:spacing w:before="0" w:after="0" w:line="240" w:lineRule="auto"/>
            </w:pPr>
            <w:r>
              <w:rPr>
                <w:rFonts w:ascii="Aptos" w:hAnsi="Aptos"/>
                <w:color w:val="1F2937"/>
                <w:sz w:val="16"/>
              </w:rPr>
              <w:t>Registered</w:t>
            </w:r>
          </w:p>
        </w:tc>
        <w:tc>
          <w:tcPr>
            <w:tcW w:type="dxa" w:w="3816"/>
            <w:shd w:fill="FFFFFF"/>
            <w:tcMar>
              <w:top w:w="60" w:type="dxa"/>
              <w:start w:w="90" w:type="dxa"/>
              <w:bottom w:w="60" w:type="dxa"/>
              <w:end w:w="90" w:type="dxa"/>
            </w:tcMar>
            <w:vAlign w:val="center"/>
          </w:tcPr>
          <w:p>
            <w:pPr>
              <w:spacing w:before="0" w:after="0" w:line="240" w:lineRule="auto"/>
            </w:pPr>
            <w:r>
              <w:rPr>
                <w:rFonts w:ascii="Aptos" w:hAnsi="Aptos"/>
                <w:color w:val="1F2937"/>
                <w:sz w:val="16"/>
              </w:rPr>
              <w:t>Creates the first attendance forecast</w:t>
            </w:r>
          </w:p>
        </w:tc>
        <w:tc>
          <w:tcPr>
            <w:tcW w:type="dxa" w:w="4781"/>
            <w:shd w:fill="FFFFFF"/>
            <w:tcMar>
              <w:top w:w="60" w:type="dxa"/>
              <w:start w:w="90" w:type="dxa"/>
              <w:bottom w:w="60" w:type="dxa"/>
              <w:end w:w="90" w:type="dxa"/>
            </w:tcMar>
            <w:vAlign w:val="center"/>
          </w:tcPr>
          <w:p>
            <w:pPr>
              <w:spacing w:before="0" w:after="0" w:line="240" w:lineRule="auto"/>
            </w:pPr>
            <w:r>
              <w:rPr>
                <w:rFonts w:ascii="Aptos" w:hAnsi="Aptos"/>
                <w:color w:val="1F2937"/>
                <w:sz w:val="16"/>
              </w:rPr>
              <w:t>Registration count by source and seminar.</w:t>
            </w:r>
          </w:p>
        </w:tc>
      </w:tr>
      <w:tr>
        <w:trPr>
          <w:cantSplit/>
        </w:trPr>
        <w:tc>
          <w:tcPr>
            <w:tcW w:type="dxa" w:w="1699"/>
            <w:shd w:fill="F3F7F8"/>
            <w:tcMar>
              <w:top w:w="60" w:type="dxa"/>
              <w:start w:w="90" w:type="dxa"/>
              <w:bottom w:w="60" w:type="dxa"/>
              <w:end w:w="90" w:type="dxa"/>
            </w:tcMar>
            <w:vAlign w:val="center"/>
          </w:tcPr>
          <w:p>
            <w:pPr>
              <w:spacing w:before="0" w:after="0" w:line="240" w:lineRule="auto"/>
            </w:pPr>
            <w:r>
              <w:rPr>
                <w:rFonts w:ascii="Aptos" w:hAnsi="Aptos"/>
                <w:color w:val="1F2937"/>
                <w:sz w:val="16"/>
              </w:rPr>
              <w:t>Confirmed</w:t>
            </w:r>
          </w:p>
        </w:tc>
        <w:tc>
          <w:tcPr>
            <w:tcW w:type="dxa" w:w="3816"/>
            <w:shd w:fill="F3F7F8"/>
            <w:tcMar>
              <w:top w:w="60" w:type="dxa"/>
              <w:start w:w="90" w:type="dxa"/>
              <w:bottom w:w="60" w:type="dxa"/>
              <w:end w:w="90" w:type="dxa"/>
            </w:tcMar>
            <w:vAlign w:val="center"/>
          </w:tcPr>
          <w:p>
            <w:pPr>
              <w:spacing w:before="0" w:after="0" w:line="240" w:lineRule="auto"/>
            </w:pPr>
            <w:r>
              <w:rPr>
                <w:rFonts w:ascii="Aptos" w:hAnsi="Aptos"/>
                <w:color w:val="1F2937"/>
                <w:sz w:val="16"/>
              </w:rPr>
              <w:t>Protects show rate close to the event</w:t>
            </w:r>
          </w:p>
        </w:tc>
        <w:tc>
          <w:tcPr>
            <w:tcW w:type="dxa" w:w="4781"/>
            <w:shd w:fill="F3F7F8"/>
            <w:tcMar>
              <w:top w:w="60" w:type="dxa"/>
              <w:start w:w="90" w:type="dxa"/>
              <w:bottom w:w="60" w:type="dxa"/>
              <w:end w:w="90" w:type="dxa"/>
            </w:tcMar>
            <w:vAlign w:val="center"/>
          </w:tcPr>
          <w:p>
            <w:pPr>
              <w:spacing w:before="0" w:after="0" w:line="240" w:lineRule="auto"/>
            </w:pPr>
            <w:r>
              <w:rPr>
                <w:rFonts w:ascii="Aptos" w:hAnsi="Aptos"/>
                <w:color w:val="1F2937"/>
                <w:sz w:val="16"/>
              </w:rPr>
              <w:t>Confirmation response or reminder status.</w:t>
            </w:r>
          </w:p>
        </w:tc>
      </w:tr>
      <w:tr>
        <w:trPr>
          <w:cantSplit/>
        </w:trPr>
        <w:tc>
          <w:tcPr>
            <w:tcW w:type="dxa" w:w="1699"/>
            <w:shd w:fill="FFFFFF"/>
            <w:tcMar>
              <w:top w:w="60" w:type="dxa"/>
              <w:start w:w="90" w:type="dxa"/>
              <w:bottom w:w="60" w:type="dxa"/>
              <w:end w:w="90" w:type="dxa"/>
            </w:tcMar>
            <w:vAlign w:val="center"/>
          </w:tcPr>
          <w:p>
            <w:pPr>
              <w:spacing w:before="0" w:after="0" w:line="240" w:lineRule="auto"/>
            </w:pPr>
            <w:r>
              <w:rPr>
                <w:rFonts w:ascii="Aptos" w:hAnsi="Aptos"/>
                <w:color w:val="1F2937"/>
                <w:sz w:val="16"/>
              </w:rPr>
              <w:t>Attended</w:t>
            </w:r>
          </w:p>
        </w:tc>
        <w:tc>
          <w:tcPr>
            <w:tcW w:type="dxa" w:w="3816"/>
            <w:shd w:fill="FFFFFF"/>
            <w:tcMar>
              <w:top w:w="60" w:type="dxa"/>
              <w:start w:w="90" w:type="dxa"/>
              <w:bottom w:w="60" w:type="dxa"/>
              <w:end w:w="90" w:type="dxa"/>
            </w:tcMar>
            <w:vAlign w:val="center"/>
          </w:tcPr>
          <w:p>
            <w:pPr>
              <w:spacing w:before="0" w:after="0" w:line="240" w:lineRule="auto"/>
            </w:pPr>
            <w:r>
              <w:rPr>
                <w:rFonts w:ascii="Aptos" w:hAnsi="Aptos"/>
                <w:color w:val="1F2937"/>
                <w:sz w:val="16"/>
              </w:rPr>
              <w:t>Primary KPI and weekly pass/fail result</w:t>
            </w:r>
          </w:p>
        </w:tc>
        <w:tc>
          <w:tcPr>
            <w:tcW w:type="dxa" w:w="4781"/>
            <w:shd w:fill="FFFFFF"/>
            <w:tcMar>
              <w:top w:w="60" w:type="dxa"/>
              <w:start w:w="90" w:type="dxa"/>
              <w:bottom w:w="60" w:type="dxa"/>
              <w:end w:w="90" w:type="dxa"/>
            </w:tcMar>
            <w:vAlign w:val="center"/>
          </w:tcPr>
          <w:p>
            <w:pPr>
              <w:spacing w:before="0" w:after="0" w:line="240" w:lineRule="auto"/>
            </w:pPr>
            <w:r>
              <w:rPr>
                <w:rFonts w:ascii="Aptos" w:hAnsi="Aptos"/>
                <w:color w:val="1F2937"/>
                <w:sz w:val="16"/>
              </w:rPr>
              <w:t>Aggregate attendance and approved check-in evidence.</w:t>
            </w:r>
          </w:p>
        </w:tc>
      </w:tr>
      <w:tr>
        <w:trPr>
          <w:cantSplit/>
        </w:trPr>
        <w:tc>
          <w:tcPr>
            <w:tcW w:type="dxa" w:w="1699"/>
            <w:shd w:fill="F3F7F8"/>
            <w:tcMar>
              <w:top w:w="60" w:type="dxa"/>
              <w:start w:w="90" w:type="dxa"/>
              <w:bottom w:w="60" w:type="dxa"/>
              <w:end w:w="90" w:type="dxa"/>
            </w:tcMar>
            <w:vAlign w:val="center"/>
          </w:tcPr>
          <w:p>
            <w:pPr>
              <w:spacing w:before="0" w:after="0" w:line="240" w:lineRule="auto"/>
            </w:pPr>
            <w:r>
              <w:rPr>
                <w:rFonts w:ascii="Aptos" w:hAnsi="Aptos"/>
                <w:color w:val="1F2937"/>
                <w:sz w:val="16"/>
              </w:rPr>
              <w:t>Converted</w:t>
            </w:r>
          </w:p>
        </w:tc>
        <w:tc>
          <w:tcPr>
            <w:tcW w:type="dxa" w:w="3816"/>
            <w:shd w:fill="F3F7F8"/>
            <w:tcMar>
              <w:top w:w="60" w:type="dxa"/>
              <w:start w:w="90" w:type="dxa"/>
              <w:bottom w:w="60" w:type="dxa"/>
              <w:end w:w="90" w:type="dxa"/>
            </w:tcMar>
            <w:vAlign w:val="center"/>
          </w:tcPr>
          <w:p>
            <w:pPr>
              <w:spacing w:before="0" w:after="0" w:line="240" w:lineRule="auto"/>
            </w:pPr>
            <w:r>
              <w:rPr>
                <w:rFonts w:ascii="Aptos" w:hAnsi="Aptos"/>
                <w:color w:val="1F2937"/>
                <w:sz w:val="16"/>
              </w:rPr>
              <w:t>Connects free attendance to approved value</w:t>
            </w:r>
          </w:p>
        </w:tc>
        <w:tc>
          <w:tcPr>
            <w:tcW w:type="dxa" w:w="4781"/>
            <w:shd w:fill="F3F7F8"/>
            <w:tcMar>
              <w:top w:w="60" w:type="dxa"/>
              <w:start w:w="90" w:type="dxa"/>
              <w:bottom w:w="60" w:type="dxa"/>
              <w:end w:w="90" w:type="dxa"/>
            </w:tcMar>
            <w:vAlign w:val="center"/>
          </w:tcPr>
          <w:p>
            <w:pPr>
              <w:spacing w:before="0" w:after="0" w:line="240" w:lineRule="auto"/>
            </w:pPr>
            <w:r>
              <w:rPr>
                <w:rFonts w:ascii="Aptos" w:hAnsi="Aptos"/>
                <w:color w:val="1F2937"/>
                <w:sz w:val="16"/>
              </w:rPr>
              <w:t>Opt-in follow-up and SaNDAI-approved outcome attribution.</w:t>
            </w:r>
          </w:p>
        </w:tc>
      </w:tr>
    </w:tbl>
    <w:p>
      <w:pPr>
        <w:pStyle w:val="Heading2"/>
        <w:spacing w:before="60" w:after="60" w:line="240" w:lineRule="auto"/>
        <w:keepNext/>
      </w:pPr>
      <w:r>
        <w:rPr>
          <w:rFonts w:ascii="Aptos Display" w:hAnsi="Aptos Display"/>
          <w:b/>
          <w:color w:val="17365D"/>
          <w:sz w:val="26"/>
        </w:rPr>
        <w:t>Dynamic registration target</w:t>
      </w:r>
    </w:p>
    <w:p>
      <w:pPr>
        <w:spacing w:before="0" w:after="80" w:line="250" w:lineRule="auto"/>
      </w:pPr>
      <w:r>
        <w:rPr>
          <w:rFonts w:ascii="Aptos" w:hAnsi="Aptos"/>
          <w:b/>
          <w:color w:val="17365D"/>
          <w:sz w:val="18"/>
        </w:rPr>
        <w:t xml:space="preserve">Registration floor = ceiling(20 / conservative show rate). </w:t>
      </w:r>
      <w:r>
        <w:rPr>
          <w:rFonts w:ascii="Aptos" w:hAnsi="Aptos"/>
          <w:b w:val="0"/>
          <w:color w:val="1F2937"/>
          <w:sz w:val="18"/>
        </w:rPr>
        <w:t>Before live evidence, the planning rate is 60%. After results exist, the notebook uses the 80%-confidence lower estimate from completed registrations and attendance, subtracts 5 percentage points, and applies a 40% floor. The safety target is ceiling(registration floor x 1.10). These assumptions remain editable and visible.</w:t>
      </w:r>
    </w:p>
    <w:tbl>
      <w:tblPr>
        <w:tblW w:type="auto" w:w="0"/>
        <w:jc w:val="center"/>
        <w:tblLayout w:type="fixed"/>
        <w:tblLook w:firstColumn="0" w:firstRow="1" w:lastColumn="0" w:lastRow="0" w:noHBand="0" w:noVBand="1" w:val="04A0"/>
      </w:tblPr>
      <w:tblGrid>
        <w:gridCol w:w="2736"/>
        <w:gridCol w:w="2376"/>
        <w:gridCol w:w="5184"/>
      </w:tblGrid>
      <w:tr>
        <w:trPr>
          <w:tblHeader w:val="true"/>
          <w:cantSplit/>
        </w:trPr>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6"/>
              </w:rPr>
              <w:t>Conservative show rate</w:t>
            </w:r>
          </w:p>
        </w:tc>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6"/>
              </w:rPr>
              <w:t>Registration floor</w:t>
            </w:r>
          </w:p>
        </w:tc>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6"/>
              </w:rPr>
              <w:t>Meaning</w:t>
            </w:r>
          </w:p>
        </w:tc>
      </w:tr>
      <w:tr>
        <w:trPr>
          <w:cantSplit/>
        </w:trPr>
        <w:tc>
          <w:tcPr>
            <w:tcW w:type="dxa" w:w="2736"/>
            <w:shd w:fill="FFFFFF"/>
            <w:tcMar>
              <w:top w:w="60" w:type="dxa"/>
              <w:start w:w="90" w:type="dxa"/>
              <w:bottom w:w="60" w:type="dxa"/>
              <w:end w:w="90" w:type="dxa"/>
            </w:tcMar>
            <w:vAlign w:val="center"/>
          </w:tcPr>
          <w:p>
            <w:pPr>
              <w:spacing w:before="0" w:after="0" w:line="240" w:lineRule="auto"/>
            </w:pPr>
            <w:r>
              <w:rPr>
                <w:rFonts w:ascii="Aptos" w:hAnsi="Aptos"/>
                <w:color w:val="1F2937"/>
                <w:sz w:val="16"/>
              </w:rPr>
              <w:t>75%</w:t>
            </w:r>
          </w:p>
        </w:tc>
        <w:tc>
          <w:tcPr>
            <w:tcW w:type="dxa" w:w="2376"/>
            <w:shd w:fill="FFFFFF"/>
            <w:tcMar>
              <w:top w:w="60" w:type="dxa"/>
              <w:start w:w="90" w:type="dxa"/>
              <w:bottom w:w="60" w:type="dxa"/>
              <w:end w:w="90" w:type="dxa"/>
            </w:tcMar>
            <w:vAlign w:val="center"/>
          </w:tcPr>
          <w:p>
            <w:pPr>
              <w:spacing w:before="0" w:after="0" w:line="240" w:lineRule="auto"/>
            </w:pPr>
            <w:r>
              <w:rPr>
                <w:rFonts w:ascii="Aptos" w:hAnsi="Aptos"/>
                <w:color w:val="1F2937"/>
                <w:sz w:val="16"/>
              </w:rPr>
              <w:t>27</w:t>
            </w:r>
          </w:p>
        </w:tc>
        <w:tc>
          <w:tcPr>
            <w:tcW w:type="dxa" w:w="5184"/>
            <w:shd w:fill="FFFFFF"/>
            <w:tcMar>
              <w:top w:w="60" w:type="dxa"/>
              <w:start w:w="90" w:type="dxa"/>
              <w:bottom w:w="60" w:type="dxa"/>
              <w:end w:w="90" w:type="dxa"/>
            </w:tcMar>
            <w:vAlign w:val="center"/>
          </w:tcPr>
          <w:p>
            <w:pPr>
              <w:spacing w:before="0" w:after="0" w:line="240" w:lineRule="auto"/>
            </w:pPr>
            <w:r>
              <w:rPr>
                <w:rFonts w:ascii="Aptos" w:hAnsi="Aptos"/>
                <w:color w:val="1F2937"/>
                <w:sz w:val="16"/>
              </w:rPr>
              <w:t>Strong show rate; still protect confirmations.</w:t>
            </w:r>
          </w:p>
        </w:tc>
      </w:tr>
      <w:tr>
        <w:trPr>
          <w:cantSplit/>
        </w:trPr>
        <w:tc>
          <w:tcPr>
            <w:tcW w:type="dxa" w:w="2736"/>
            <w:shd w:fill="F3F7F8"/>
            <w:tcMar>
              <w:top w:w="60" w:type="dxa"/>
              <w:start w:w="90" w:type="dxa"/>
              <w:bottom w:w="60" w:type="dxa"/>
              <w:end w:w="90" w:type="dxa"/>
            </w:tcMar>
            <w:vAlign w:val="center"/>
          </w:tcPr>
          <w:p>
            <w:pPr>
              <w:spacing w:before="0" w:after="0" w:line="240" w:lineRule="auto"/>
            </w:pPr>
            <w:r>
              <w:rPr>
                <w:rFonts w:ascii="Aptos" w:hAnsi="Aptos"/>
                <w:color w:val="1F2937"/>
                <w:sz w:val="16"/>
              </w:rPr>
              <w:t>60%</w:t>
            </w:r>
          </w:p>
        </w:tc>
        <w:tc>
          <w:tcPr>
            <w:tcW w:type="dxa" w:w="2376"/>
            <w:shd w:fill="F3F7F8"/>
            <w:tcMar>
              <w:top w:w="60" w:type="dxa"/>
              <w:start w:w="90" w:type="dxa"/>
              <w:bottom w:w="60" w:type="dxa"/>
              <w:end w:w="90" w:type="dxa"/>
            </w:tcMar>
            <w:vAlign w:val="center"/>
          </w:tcPr>
          <w:p>
            <w:pPr>
              <w:spacing w:before="0" w:after="0" w:line="240" w:lineRule="auto"/>
            </w:pPr>
            <w:r>
              <w:rPr>
                <w:rFonts w:ascii="Aptos" w:hAnsi="Aptos"/>
                <w:color w:val="1F2937"/>
                <w:sz w:val="16"/>
              </w:rPr>
              <w:t>34</w:t>
            </w:r>
          </w:p>
        </w:tc>
        <w:tc>
          <w:tcPr>
            <w:tcW w:type="dxa" w:w="5184"/>
            <w:shd w:fill="F3F7F8"/>
            <w:tcMar>
              <w:top w:w="60" w:type="dxa"/>
              <w:start w:w="90" w:type="dxa"/>
              <w:bottom w:w="60" w:type="dxa"/>
              <w:end w:w="90" w:type="dxa"/>
            </w:tcMar>
            <w:vAlign w:val="center"/>
          </w:tcPr>
          <w:p>
            <w:pPr>
              <w:spacing w:before="0" w:after="0" w:line="240" w:lineRule="auto"/>
            </w:pPr>
            <w:r>
              <w:rPr>
                <w:rFonts w:ascii="Aptos" w:hAnsi="Aptos"/>
                <w:color w:val="1F2937"/>
                <w:sz w:val="16"/>
              </w:rPr>
              <w:t>Practical planning baseline before campaign-specific evidence.</w:t>
            </w:r>
          </w:p>
        </w:tc>
      </w:tr>
      <w:tr>
        <w:trPr>
          <w:cantSplit/>
        </w:trPr>
        <w:tc>
          <w:tcPr>
            <w:tcW w:type="dxa" w:w="2736"/>
            <w:shd w:fill="FFFFFF"/>
            <w:tcMar>
              <w:top w:w="60" w:type="dxa"/>
              <w:start w:w="90" w:type="dxa"/>
              <w:bottom w:w="60" w:type="dxa"/>
              <w:end w:w="90" w:type="dxa"/>
            </w:tcMar>
            <w:vAlign w:val="center"/>
          </w:tcPr>
          <w:p>
            <w:pPr>
              <w:spacing w:before="0" w:after="0" w:line="240" w:lineRule="auto"/>
            </w:pPr>
            <w:r>
              <w:rPr>
                <w:rFonts w:ascii="Aptos" w:hAnsi="Aptos"/>
                <w:color w:val="1F2937"/>
                <w:sz w:val="16"/>
              </w:rPr>
              <w:t>50%</w:t>
            </w:r>
          </w:p>
        </w:tc>
        <w:tc>
          <w:tcPr>
            <w:tcW w:type="dxa" w:w="2376"/>
            <w:shd w:fill="FFFFFF"/>
            <w:tcMar>
              <w:top w:w="60" w:type="dxa"/>
              <w:start w:w="90" w:type="dxa"/>
              <w:bottom w:w="60" w:type="dxa"/>
              <w:end w:w="90" w:type="dxa"/>
            </w:tcMar>
            <w:vAlign w:val="center"/>
          </w:tcPr>
          <w:p>
            <w:pPr>
              <w:spacing w:before="0" w:after="0" w:line="240" w:lineRule="auto"/>
            </w:pPr>
            <w:r>
              <w:rPr>
                <w:rFonts w:ascii="Aptos" w:hAnsi="Aptos"/>
                <w:color w:val="1F2937"/>
                <w:sz w:val="16"/>
              </w:rPr>
              <w:t>40</w:t>
            </w:r>
          </w:p>
        </w:tc>
        <w:tc>
          <w:tcPr>
            <w:tcW w:type="dxa" w:w="5184"/>
            <w:shd w:fill="FFFFFF"/>
            <w:tcMar>
              <w:top w:w="60" w:type="dxa"/>
              <w:start w:w="90" w:type="dxa"/>
              <w:bottom w:w="60" w:type="dxa"/>
              <w:end w:w="90" w:type="dxa"/>
            </w:tcMar>
            <w:vAlign w:val="center"/>
          </w:tcPr>
          <w:p>
            <w:pPr>
              <w:spacing w:before="0" w:after="0" w:line="240" w:lineRule="auto"/>
            </w:pPr>
            <w:r>
              <w:rPr>
                <w:rFonts w:ascii="Aptos" w:hAnsi="Aptos"/>
                <w:color w:val="1F2937"/>
                <w:sz w:val="16"/>
              </w:rPr>
              <w:t>Weak show rate; increase confirmations and investigate friction.</w:t>
            </w:r>
          </w:p>
        </w:tc>
      </w:tr>
    </w:tbl>
    <w:p>
      <w:r>
        <w:br w:type="page"/>
      </w:r>
    </w:p>
    <w:p>
      <w:pPr>
        <w:spacing w:before="0" w:after="20" w:line="240" w:lineRule="auto"/>
      </w:pPr>
      <w:r>
        <w:rPr>
          <w:rFonts w:ascii="Aptos" w:hAnsi="Aptos"/>
          <w:b/>
          <w:color w:val="0F6B78"/>
          <w:sz w:val="16"/>
        </w:rPr>
        <w:t>OPERATE</w:t>
      </w:r>
    </w:p>
    <w:p>
      <w:pPr>
        <w:pStyle w:val="Heading1"/>
        <w:spacing w:before="0" w:after="40" w:line="240" w:lineRule="auto"/>
        <w:keepNext/>
      </w:pPr>
      <w:r>
        <w:rPr>
          <w:rFonts w:ascii="Aptos Display" w:hAnsi="Aptos Display"/>
          <w:b/>
          <w:color w:val="17365D"/>
          <w:sz w:val="40"/>
        </w:rPr>
        <w:t>Weekly decision gates turn data into action</w:t>
      </w:r>
    </w:p>
    <w:p>
      <w:pPr>
        <w:spacing w:before="0" w:after="160" w:line="240" w:lineRule="auto"/>
      </w:pPr>
      <w:r>
        <w:rPr>
          <w:rFonts w:ascii="Aptos" w:hAnsi="Aptos"/>
          <w:color w:val="4E5B6B"/>
          <w:sz w:val="21"/>
        </w:rPr>
        <w:t>Initial thresholds are explicit, auditable, and recalibrated when real evidence arrives</w:t>
      </w:r>
    </w:p>
    <w:tbl>
      <w:tblPr>
        <w:tblW w:type="auto" w:w="0"/>
        <w:jc w:val="center"/>
        <w:tblLayout w:type="fixed"/>
        <w:tblLook w:firstColumn="1" w:firstRow="1" w:lastColumn="0" w:lastRow="0" w:noHBand="0" w:noVBand="1" w:val="04A0"/>
      </w:tblPr>
      <w:tblGrid>
        <w:gridCol w:w="10296"/>
      </w:tblGrid>
      <w:tr>
        <w:tc>
          <w:tcPr>
            <w:tcW w:type="dxa" w:w="10454"/>
            <w:shd w:fill="E8A320"/>
            <w:tcMar>
              <w:top w:w="25" w:type="dxa"/>
              <w:start w:w="0" w:type="dxa"/>
              <w:bottom w:w="25" w:type="dxa"/>
              <w:end w:w="0" w:type="dxa"/>
            </w:tcMar>
          </w:tcPr>
          <w:p>
            <w:r/>
          </w:p>
        </w:tc>
      </w:tr>
    </w:tbl>
    <w:p>
      <w:pPr>
        <w:spacing w:after="0"/>
      </w:pPr>
    </w:p>
    <w:tbl>
      <w:tblPr>
        <w:tblW w:type="auto" w:w="0"/>
        <w:jc w:val="center"/>
        <w:tblLayout w:type="fixed"/>
        <w:tblLook w:firstColumn="0" w:firstRow="1" w:lastColumn="0" w:lastRow="0" w:noHBand="0" w:noVBand="1" w:val="04A0"/>
      </w:tblPr>
      <w:tblGrid>
        <w:gridCol w:w="936"/>
        <w:gridCol w:w="3024"/>
        <w:gridCol w:w="3024"/>
        <w:gridCol w:w="3312"/>
      </w:tblGrid>
      <w:tr>
        <w:trPr>
          <w:tblHeader w:val="true"/>
          <w:cantSplit/>
        </w:trPr>
        <w:tc>
          <w:tcPr>
            <w:tcW w:type="dxa" w:w="2613"/>
            <w:shd w:fill="17365D"/>
            <w:tcMar>
              <w:top w:w="60" w:type="dxa"/>
              <w:start w:w="90" w:type="dxa"/>
              <w:bottom w:w="60" w:type="dxa"/>
              <w:end w:w="90" w:type="dxa"/>
            </w:tcMar>
            <w:vAlign w:val="center"/>
          </w:tcPr>
          <w:p>
            <w:pPr>
              <w:spacing w:before="0" w:after="0" w:line="240" w:lineRule="auto"/>
            </w:pPr>
            <w:r>
              <w:rPr>
                <w:rFonts w:ascii="Aptos" w:hAnsi="Aptos"/>
                <w:b/>
                <w:color w:val="FFFFFF"/>
                <w:sz w:val="15"/>
              </w:rPr>
              <w:t>Gate</w:t>
            </w:r>
          </w:p>
        </w:tc>
        <w:tc>
          <w:tcPr>
            <w:tcW w:type="dxa" w:w="2613"/>
            <w:shd w:fill="17365D"/>
            <w:tcMar>
              <w:top w:w="60" w:type="dxa"/>
              <w:start w:w="90" w:type="dxa"/>
              <w:bottom w:w="60" w:type="dxa"/>
              <w:end w:w="90" w:type="dxa"/>
            </w:tcMar>
            <w:vAlign w:val="center"/>
          </w:tcPr>
          <w:p>
            <w:pPr>
              <w:spacing w:before="0" w:after="0" w:line="240" w:lineRule="auto"/>
            </w:pPr>
            <w:r>
              <w:rPr>
                <w:rFonts w:ascii="Aptos" w:hAnsi="Aptos"/>
                <w:b/>
                <w:color w:val="FFFFFF"/>
                <w:sz w:val="15"/>
              </w:rPr>
              <w:t>Metric / initial threshold</w:t>
            </w:r>
          </w:p>
        </w:tc>
        <w:tc>
          <w:tcPr>
            <w:tcW w:type="dxa" w:w="2613"/>
            <w:shd w:fill="17365D"/>
            <w:tcMar>
              <w:top w:w="60" w:type="dxa"/>
              <w:start w:w="90" w:type="dxa"/>
              <w:bottom w:w="60" w:type="dxa"/>
              <w:end w:w="90" w:type="dxa"/>
            </w:tcMar>
            <w:vAlign w:val="center"/>
          </w:tcPr>
          <w:p>
            <w:pPr>
              <w:spacing w:before="0" w:after="0" w:line="240" w:lineRule="auto"/>
            </w:pPr>
            <w:r>
              <w:rPr>
                <w:rFonts w:ascii="Aptos" w:hAnsi="Aptos"/>
                <w:b/>
                <w:color w:val="FFFFFF"/>
                <w:sz w:val="15"/>
              </w:rPr>
              <w:t>Owner / if healthy</w:t>
            </w:r>
          </w:p>
        </w:tc>
        <w:tc>
          <w:tcPr>
            <w:tcW w:type="dxa" w:w="2613"/>
            <w:shd w:fill="17365D"/>
            <w:tcMar>
              <w:top w:w="60" w:type="dxa"/>
              <w:start w:w="90" w:type="dxa"/>
              <w:bottom w:w="60" w:type="dxa"/>
              <w:end w:w="90" w:type="dxa"/>
            </w:tcMar>
            <w:vAlign w:val="center"/>
          </w:tcPr>
          <w:p>
            <w:pPr>
              <w:spacing w:before="0" w:after="0" w:line="240" w:lineRule="auto"/>
            </w:pPr>
            <w:r>
              <w:rPr>
                <w:rFonts w:ascii="Aptos" w:hAnsi="Aptos"/>
                <w:b/>
                <w:color w:val="FFFFFF"/>
                <w:sz w:val="15"/>
              </w:rPr>
              <w:t>If under target</w:t>
            </w:r>
          </w:p>
        </w:tc>
      </w:tr>
      <w:tr>
        <w:trPr>
          <w:cantSplit/>
        </w:trPr>
        <w:tc>
          <w:tcPr>
            <w:tcW w:type="dxa" w:w="936"/>
            <w:shd w:fill="FFFFFF"/>
            <w:tcMar>
              <w:top w:w="60" w:type="dxa"/>
              <w:start w:w="90" w:type="dxa"/>
              <w:bottom w:w="60" w:type="dxa"/>
              <w:end w:w="90" w:type="dxa"/>
            </w:tcMar>
            <w:vAlign w:val="center"/>
          </w:tcPr>
          <w:p>
            <w:pPr>
              <w:spacing w:before="0" w:after="0" w:line="240" w:lineRule="auto"/>
            </w:pPr>
            <w:r>
              <w:rPr>
                <w:rFonts w:ascii="Aptos" w:hAnsi="Aptos"/>
                <w:color w:val="1F2937"/>
                <w:sz w:val="15"/>
              </w:rPr>
              <w:t>T-7</w:t>
            </w:r>
          </w:p>
        </w:tc>
        <w:tc>
          <w:tcPr>
            <w:tcW w:type="dxa" w:w="3024"/>
            <w:shd w:fill="FFFFFF"/>
            <w:tcMar>
              <w:top w:w="60" w:type="dxa"/>
              <w:start w:w="90" w:type="dxa"/>
              <w:bottom w:w="60" w:type="dxa"/>
              <w:end w:w="90" w:type="dxa"/>
            </w:tcMar>
            <w:vAlign w:val="center"/>
          </w:tcPr>
          <w:p>
            <w:pPr>
              <w:spacing w:before="0" w:after="0" w:line="240" w:lineRule="auto"/>
            </w:pPr>
            <w:r>
              <w:rPr>
                <w:rFonts w:ascii="Aptos" w:hAnsi="Aptos"/>
                <w:color w:val="1F2937"/>
                <w:sz w:val="15"/>
              </w:rPr>
              <w:t>At least 3 active multiplier partners; expected contribution at least 20</w:t>
            </w:r>
          </w:p>
        </w:tc>
        <w:tc>
          <w:tcPr>
            <w:tcW w:type="dxa" w:w="3024"/>
            <w:shd w:fill="FFFFFF"/>
            <w:tcMar>
              <w:top w:w="60" w:type="dxa"/>
              <w:start w:w="90" w:type="dxa"/>
              <w:bottom w:w="60" w:type="dxa"/>
              <w:end w:w="90" w:type="dxa"/>
            </w:tcMar>
            <w:vAlign w:val="center"/>
          </w:tcPr>
          <w:p>
            <w:pPr>
              <w:spacing w:before="0" w:after="0" w:line="240" w:lineRule="auto"/>
            </w:pPr>
            <w:r>
              <w:rPr>
                <w:rFonts w:ascii="Aptos" w:hAnsi="Aptos"/>
                <w:color w:val="1F2937"/>
                <w:sz w:val="15"/>
              </w:rPr>
              <w:t>Piter: release approved partner kit and tracked links</w:t>
            </w:r>
          </w:p>
        </w:tc>
        <w:tc>
          <w:tcPr>
            <w:tcW w:type="dxa" w:w="3312"/>
            <w:shd w:fill="FFFFFF"/>
            <w:tcMar>
              <w:top w:w="60" w:type="dxa"/>
              <w:start w:w="90" w:type="dxa"/>
              <w:bottom w:w="60" w:type="dxa"/>
              <w:end w:w="90" w:type="dxa"/>
            </w:tcMar>
            <w:vAlign w:val="center"/>
          </w:tcPr>
          <w:p>
            <w:pPr>
              <w:spacing w:before="0" w:after="0" w:line="240" w:lineRule="auto"/>
            </w:pPr>
            <w:r>
              <w:rPr>
                <w:rFonts w:ascii="Aptos" w:hAnsi="Aptos"/>
                <w:color w:val="1F2937"/>
                <w:sz w:val="15"/>
              </w:rPr>
              <w:t>Activate backup prospects; add faculty/career-services lane</w:t>
            </w:r>
          </w:p>
        </w:tc>
      </w:tr>
      <w:tr>
        <w:trPr>
          <w:cantSplit/>
        </w:trPr>
        <w:tc>
          <w:tcPr>
            <w:tcW w:type="dxa" w:w="936"/>
            <w:shd w:fill="F3F7F8"/>
            <w:tcMar>
              <w:top w:w="60" w:type="dxa"/>
              <w:start w:w="90" w:type="dxa"/>
              <w:bottom w:w="60" w:type="dxa"/>
              <w:end w:w="90" w:type="dxa"/>
            </w:tcMar>
            <w:vAlign w:val="center"/>
          </w:tcPr>
          <w:p>
            <w:pPr>
              <w:spacing w:before="0" w:after="0" w:line="240" w:lineRule="auto"/>
            </w:pPr>
            <w:r>
              <w:rPr>
                <w:rFonts w:ascii="Aptos" w:hAnsi="Aptos"/>
                <w:color w:val="1F2937"/>
                <w:sz w:val="15"/>
              </w:rPr>
              <w:t>T-5</w:t>
            </w:r>
          </w:p>
        </w:tc>
        <w:tc>
          <w:tcPr>
            <w:tcW w:type="dxa" w:w="3024"/>
            <w:shd w:fill="F3F7F8"/>
            <w:tcMar>
              <w:top w:w="60" w:type="dxa"/>
              <w:start w:w="90" w:type="dxa"/>
              <w:bottom w:w="60" w:type="dxa"/>
              <w:end w:w="90" w:type="dxa"/>
            </w:tcMar>
            <w:vAlign w:val="center"/>
          </w:tcPr>
          <w:p>
            <w:pPr>
              <w:spacing w:before="0" w:after="0" w:line="240" w:lineRule="auto"/>
            </w:pPr>
            <w:r>
              <w:rPr>
                <w:rFonts w:ascii="Aptos" w:hAnsi="Aptos"/>
                <w:color w:val="1F2937"/>
                <w:sz w:val="15"/>
              </w:rPr>
              <w:t>Registrations at least 70% of the 10% safety target</w:t>
            </w:r>
          </w:p>
        </w:tc>
        <w:tc>
          <w:tcPr>
            <w:tcW w:type="dxa" w:w="3024"/>
            <w:shd w:fill="F3F7F8"/>
            <w:tcMar>
              <w:top w:w="60" w:type="dxa"/>
              <w:start w:w="90" w:type="dxa"/>
              <w:bottom w:w="60" w:type="dxa"/>
              <w:end w:w="90" w:type="dxa"/>
            </w:tcMar>
            <w:vAlign w:val="center"/>
          </w:tcPr>
          <w:p>
            <w:pPr>
              <w:spacing w:before="0" w:after="0" w:line="240" w:lineRule="auto"/>
            </w:pPr>
            <w:r>
              <w:rPr>
                <w:rFonts w:ascii="Aptos" w:hAnsi="Aptos"/>
                <w:color w:val="1F2937"/>
                <w:sz w:val="15"/>
              </w:rPr>
              <w:t>Piter: continue best channels; prepare confirmations</w:t>
            </w:r>
          </w:p>
        </w:tc>
        <w:tc>
          <w:tcPr>
            <w:tcW w:type="dxa" w:w="3312"/>
            <w:shd w:fill="F3F7F8"/>
            <w:tcMar>
              <w:top w:w="60" w:type="dxa"/>
              <w:start w:w="90" w:type="dxa"/>
              <w:bottom w:w="60" w:type="dxa"/>
              <w:end w:w="90" w:type="dxa"/>
            </w:tcMar>
            <w:vAlign w:val="center"/>
          </w:tcPr>
          <w:p>
            <w:pPr>
              <w:spacing w:before="0" w:after="0" w:line="240" w:lineRule="auto"/>
            </w:pPr>
            <w:r>
              <w:rPr>
                <w:rFonts w:ascii="Aptos" w:hAnsi="Aptos"/>
                <w:color w:val="1F2937"/>
                <w:sz w:val="15"/>
              </w:rPr>
              <w:t>Open secondary partner lane; revise weak audience-message match</w:t>
            </w:r>
          </w:p>
        </w:tc>
      </w:tr>
      <w:tr>
        <w:trPr>
          <w:cantSplit/>
        </w:trPr>
        <w:tc>
          <w:tcPr>
            <w:tcW w:type="dxa" w:w="936"/>
            <w:shd w:fill="FFFFFF"/>
            <w:tcMar>
              <w:top w:w="60" w:type="dxa"/>
              <w:start w:w="90" w:type="dxa"/>
              <w:bottom w:w="60" w:type="dxa"/>
              <w:end w:w="90" w:type="dxa"/>
            </w:tcMar>
            <w:vAlign w:val="center"/>
          </w:tcPr>
          <w:p>
            <w:pPr>
              <w:spacing w:before="0" w:after="0" w:line="240" w:lineRule="auto"/>
            </w:pPr>
            <w:r>
              <w:rPr>
                <w:rFonts w:ascii="Aptos" w:hAnsi="Aptos"/>
                <w:color w:val="1F2937"/>
                <w:sz w:val="15"/>
              </w:rPr>
              <w:t>T-3</w:t>
            </w:r>
          </w:p>
        </w:tc>
        <w:tc>
          <w:tcPr>
            <w:tcW w:type="dxa" w:w="3024"/>
            <w:shd w:fill="FFFFFF"/>
            <w:tcMar>
              <w:top w:w="60" w:type="dxa"/>
              <w:start w:w="90" w:type="dxa"/>
              <w:bottom w:w="60" w:type="dxa"/>
              <w:end w:w="90" w:type="dxa"/>
            </w:tcMar>
            <w:vAlign w:val="center"/>
          </w:tcPr>
          <w:p>
            <w:pPr>
              <w:spacing w:before="0" w:after="0" w:line="240" w:lineRule="auto"/>
            </w:pPr>
            <w:r>
              <w:rPr>
                <w:rFonts w:ascii="Aptos" w:hAnsi="Aptos"/>
                <w:color w:val="1F2937"/>
                <w:sz w:val="15"/>
              </w:rPr>
              <w:t>Forecast at least 22; P(at least 20) at least 80%; controls complete</w:t>
            </w:r>
          </w:p>
        </w:tc>
        <w:tc>
          <w:tcPr>
            <w:tcW w:type="dxa" w:w="3024"/>
            <w:shd w:fill="FFFFFF"/>
            <w:tcMar>
              <w:top w:w="60" w:type="dxa"/>
              <w:start w:w="90" w:type="dxa"/>
              <w:bottom w:w="60" w:type="dxa"/>
              <w:end w:w="90" w:type="dxa"/>
            </w:tcMar>
            <w:vAlign w:val="center"/>
          </w:tcPr>
          <w:p>
            <w:pPr>
              <w:spacing w:before="0" w:after="0" w:line="240" w:lineRule="auto"/>
            </w:pPr>
            <w:r>
              <w:rPr>
                <w:rFonts w:ascii="Aptos" w:hAnsi="Aptos"/>
                <w:color w:val="1F2937"/>
                <w:sz w:val="15"/>
              </w:rPr>
              <w:t>Piter: protect show rate; avoid unnecessary volume</w:t>
            </w:r>
          </w:p>
        </w:tc>
        <w:tc>
          <w:tcPr>
            <w:tcW w:type="dxa" w:w="3312"/>
            <w:shd w:fill="FFFFFF"/>
            <w:tcMar>
              <w:top w:w="60" w:type="dxa"/>
              <w:start w:w="90" w:type="dxa"/>
              <w:bottom w:w="60" w:type="dxa"/>
              <w:end w:w="90" w:type="dxa"/>
            </w:tcMar>
            <w:vAlign w:val="center"/>
          </w:tcPr>
          <w:p>
            <w:pPr>
              <w:spacing w:before="0" w:after="0" w:line="240" w:lineRule="auto"/>
            </w:pPr>
            <w:r>
              <w:rPr>
                <w:rFonts w:ascii="Aptos" w:hAnsi="Aptos"/>
                <w:color w:val="1F2937"/>
                <w:sz w:val="15"/>
              </w:rPr>
              <w:t>Run targeted confirmation; activate high-yield backup channel</w:t>
            </w:r>
          </w:p>
        </w:tc>
      </w:tr>
      <w:tr>
        <w:trPr>
          <w:cantSplit/>
        </w:trPr>
        <w:tc>
          <w:tcPr>
            <w:tcW w:type="dxa" w:w="936"/>
            <w:shd w:fill="F3F7F8"/>
            <w:tcMar>
              <w:top w:w="60" w:type="dxa"/>
              <w:start w:w="90" w:type="dxa"/>
              <w:bottom w:w="60" w:type="dxa"/>
              <w:end w:w="90" w:type="dxa"/>
            </w:tcMar>
            <w:vAlign w:val="center"/>
          </w:tcPr>
          <w:p>
            <w:pPr>
              <w:spacing w:before="0" w:after="0" w:line="240" w:lineRule="auto"/>
            </w:pPr>
            <w:r>
              <w:rPr>
                <w:rFonts w:ascii="Aptos" w:hAnsi="Aptos"/>
                <w:color w:val="1F2937"/>
                <w:sz w:val="15"/>
              </w:rPr>
              <w:t>T-1</w:t>
            </w:r>
          </w:p>
        </w:tc>
        <w:tc>
          <w:tcPr>
            <w:tcW w:type="dxa" w:w="3024"/>
            <w:shd w:fill="F3F7F8"/>
            <w:tcMar>
              <w:top w:w="60" w:type="dxa"/>
              <w:start w:w="90" w:type="dxa"/>
              <w:bottom w:w="60" w:type="dxa"/>
              <w:end w:w="90" w:type="dxa"/>
            </w:tcMar>
            <w:vAlign w:val="center"/>
          </w:tcPr>
          <w:p>
            <w:pPr>
              <w:spacing w:before="0" w:after="0" w:line="240" w:lineRule="auto"/>
            </w:pPr>
            <w:r>
              <w:rPr>
                <w:rFonts w:ascii="Aptos" w:hAnsi="Aptos"/>
                <w:color w:val="1F2937"/>
                <w:sz w:val="15"/>
              </w:rPr>
              <w:t>Forecast remains at least 20 after current confirmations</w:t>
            </w:r>
          </w:p>
        </w:tc>
        <w:tc>
          <w:tcPr>
            <w:tcW w:type="dxa" w:w="3024"/>
            <w:shd w:fill="F3F7F8"/>
            <w:tcMar>
              <w:top w:w="60" w:type="dxa"/>
              <w:start w:w="90" w:type="dxa"/>
              <w:bottom w:w="60" w:type="dxa"/>
              <w:end w:w="90" w:type="dxa"/>
            </w:tcMar>
            <w:vAlign w:val="center"/>
          </w:tcPr>
          <w:p>
            <w:pPr>
              <w:spacing w:before="0" w:after="0" w:line="240" w:lineRule="auto"/>
            </w:pPr>
            <w:r>
              <w:rPr>
                <w:rFonts w:ascii="Aptos" w:hAnsi="Aptos"/>
                <w:color w:val="1F2937"/>
                <w:sz w:val="15"/>
              </w:rPr>
              <w:t>Piter: send logistics reminder and access support</w:t>
            </w:r>
          </w:p>
        </w:tc>
        <w:tc>
          <w:tcPr>
            <w:tcW w:type="dxa" w:w="3312"/>
            <w:shd w:fill="F3F7F8"/>
            <w:tcMar>
              <w:top w:w="60" w:type="dxa"/>
              <w:start w:w="90" w:type="dxa"/>
              <w:bottom w:w="60" w:type="dxa"/>
              <w:end w:w="90" w:type="dxa"/>
            </w:tcMar>
            <w:vAlign w:val="center"/>
          </w:tcPr>
          <w:p>
            <w:pPr>
              <w:spacing w:before="0" w:after="0" w:line="240" w:lineRule="auto"/>
            </w:pPr>
            <w:r>
              <w:rPr>
                <w:rFonts w:ascii="Aptos" w:hAnsi="Aptos"/>
                <w:color w:val="1F2937"/>
                <w:sz w:val="15"/>
              </w:rPr>
              <w:t>Use approved final reminder/referral wave; escalate gap and fallback</w:t>
            </w:r>
          </w:p>
        </w:tc>
      </w:tr>
      <w:tr>
        <w:trPr>
          <w:cantSplit/>
        </w:trPr>
        <w:tc>
          <w:tcPr>
            <w:tcW w:type="dxa" w:w="936"/>
            <w:shd w:fill="FFFFFF"/>
            <w:tcMar>
              <w:top w:w="60" w:type="dxa"/>
              <w:start w:w="90" w:type="dxa"/>
              <w:bottom w:w="60" w:type="dxa"/>
              <w:end w:w="90" w:type="dxa"/>
            </w:tcMar>
            <w:vAlign w:val="center"/>
          </w:tcPr>
          <w:p>
            <w:pPr>
              <w:spacing w:before="0" w:after="0" w:line="240" w:lineRule="auto"/>
            </w:pPr>
            <w:r>
              <w:rPr>
                <w:rFonts w:ascii="Aptos" w:hAnsi="Aptos"/>
                <w:color w:val="1F2937"/>
                <w:sz w:val="15"/>
              </w:rPr>
              <w:t>T</w:t>
            </w:r>
          </w:p>
        </w:tc>
        <w:tc>
          <w:tcPr>
            <w:tcW w:type="dxa" w:w="3024"/>
            <w:shd w:fill="FFFFFF"/>
            <w:tcMar>
              <w:top w:w="60" w:type="dxa"/>
              <w:start w:w="90" w:type="dxa"/>
              <w:bottom w:w="60" w:type="dxa"/>
              <w:end w:w="90" w:type="dxa"/>
            </w:tcMar>
            <w:vAlign w:val="center"/>
          </w:tcPr>
          <w:p>
            <w:pPr>
              <w:spacing w:before="0" w:after="0" w:line="240" w:lineRule="auto"/>
            </w:pPr>
            <w:r>
              <w:rPr>
                <w:rFonts w:ascii="Aptos" w:hAnsi="Aptos"/>
                <w:color w:val="1F2937"/>
                <w:sz w:val="15"/>
              </w:rPr>
              <w:t>At least 20 actual attendees</w:t>
            </w:r>
          </w:p>
        </w:tc>
        <w:tc>
          <w:tcPr>
            <w:tcW w:type="dxa" w:w="3024"/>
            <w:shd w:fill="FFFFFF"/>
            <w:tcMar>
              <w:top w:w="60" w:type="dxa"/>
              <w:start w:w="90" w:type="dxa"/>
              <w:bottom w:w="60" w:type="dxa"/>
              <w:end w:w="90" w:type="dxa"/>
            </w:tcMar>
            <w:vAlign w:val="center"/>
          </w:tcPr>
          <w:p>
            <w:pPr>
              <w:spacing w:before="0" w:after="0" w:line="240" w:lineRule="auto"/>
            </w:pPr>
            <w:r>
              <w:rPr>
                <w:rFonts w:ascii="Aptos" w:hAnsi="Aptos"/>
                <w:color w:val="1F2937"/>
                <w:sz w:val="15"/>
              </w:rPr>
              <w:t>Piter: deliver; capture approved aggregate outcomes</w:t>
            </w:r>
          </w:p>
        </w:tc>
        <w:tc>
          <w:tcPr>
            <w:tcW w:type="dxa" w:w="3312"/>
            <w:shd w:fill="FFFFFF"/>
            <w:tcMar>
              <w:top w:w="60" w:type="dxa"/>
              <w:start w:w="90" w:type="dxa"/>
              <w:bottom w:w="60" w:type="dxa"/>
              <w:end w:w="90" w:type="dxa"/>
            </w:tcMar>
            <w:vAlign w:val="center"/>
          </w:tcPr>
          <w:p>
            <w:pPr>
              <w:spacing w:before="0" w:after="0" w:line="240" w:lineRule="auto"/>
            </w:pPr>
            <w:r>
              <w:rPr>
                <w:rFonts w:ascii="Aptos" w:hAnsi="Aptos"/>
                <w:color w:val="1F2937"/>
                <w:sz w:val="15"/>
              </w:rPr>
              <w:t>Record miss honestly; diagnose stage/channel failure without hiding it</w:t>
            </w:r>
          </w:p>
        </w:tc>
      </w:tr>
      <w:tr>
        <w:trPr>
          <w:cantSplit/>
        </w:trPr>
        <w:tc>
          <w:tcPr>
            <w:tcW w:type="dxa" w:w="936"/>
            <w:shd w:fill="F3F7F8"/>
            <w:tcMar>
              <w:top w:w="60" w:type="dxa"/>
              <w:start w:w="90" w:type="dxa"/>
              <w:bottom w:w="60" w:type="dxa"/>
              <w:end w:w="90" w:type="dxa"/>
            </w:tcMar>
            <w:vAlign w:val="center"/>
          </w:tcPr>
          <w:p>
            <w:pPr>
              <w:spacing w:before="0" w:after="0" w:line="240" w:lineRule="auto"/>
            </w:pPr>
            <w:r>
              <w:rPr>
                <w:rFonts w:ascii="Aptos" w:hAnsi="Aptos"/>
                <w:color w:val="1F2937"/>
                <w:sz w:val="15"/>
              </w:rPr>
              <w:t>T+1</w:t>
            </w:r>
          </w:p>
        </w:tc>
        <w:tc>
          <w:tcPr>
            <w:tcW w:type="dxa" w:w="3024"/>
            <w:shd w:fill="F3F7F8"/>
            <w:tcMar>
              <w:top w:w="60" w:type="dxa"/>
              <w:start w:w="90" w:type="dxa"/>
              <w:bottom w:w="60" w:type="dxa"/>
              <w:end w:w="90" w:type="dxa"/>
            </w:tcMar>
            <w:vAlign w:val="center"/>
          </w:tcPr>
          <w:p>
            <w:pPr>
              <w:spacing w:before="0" w:after="0" w:line="240" w:lineRule="auto"/>
            </w:pPr>
            <w:r>
              <w:rPr>
                <w:rFonts w:ascii="Aptos" w:hAnsi="Aptos"/>
                <w:color w:val="1F2937"/>
                <w:sz w:val="15"/>
              </w:rPr>
              <w:t>Complete data, retrospective, next-week target and owner</w:t>
            </w:r>
          </w:p>
        </w:tc>
        <w:tc>
          <w:tcPr>
            <w:tcW w:type="dxa" w:w="3024"/>
            <w:shd w:fill="F3F7F8"/>
            <w:tcMar>
              <w:top w:w="60" w:type="dxa"/>
              <w:start w:w="90" w:type="dxa"/>
              <w:bottom w:w="60" w:type="dxa"/>
              <w:end w:w="90" w:type="dxa"/>
            </w:tcMar>
            <w:vAlign w:val="center"/>
          </w:tcPr>
          <w:p>
            <w:pPr>
              <w:spacing w:before="0" w:after="0" w:line="240" w:lineRule="auto"/>
            </w:pPr>
            <w:r>
              <w:rPr>
                <w:rFonts w:ascii="Aptos" w:hAnsi="Aptos"/>
                <w:color w:val="1F2937"/>
                <w:sz w:val="15"/>
              </w:rPr>
              <w:t>Piter: reallocate toward repeatable channels</w:t>
            </w:r>
          </w:p>
        </w:tc>
        <w:tc>
          <w:tcPr>
            <w:tcW w:type="dxa" w:w="3312"/>
            <w:shd w:fill="F3F7F8"/>
            <w:tcMar>
              <w:top w:w="60" w:type="dxa"/>
              <w:start w:w="90" w:type="dxa"/>
              <w:bottom w:w="60" w:type="dxa"/>
              <w:end w:w="90" w:type="dxa"/>
            </w:tcMar>
            <w:vAlign w:val="center"/>
          </w:tcPr>
          <w:p>
            <w:pPr>
              <w:spacing w:before="0" w:after="0" w:line="240" w:lineRule="auto"/>
            </w:pPr>
            <w:r>
              <w:rPr>
                <w:rFonts w:ascii="Aptos" w:hAnsi="Aptos"/>
                <w:color w:val="1F2937"/>
                <w:sz w:val="15"/>
              </w:rPr>
              <w:t>Correct source/process gaps; launch recovery experiment</w:t>
            </w:r>
          </w:p>
        </w:tc>
      </w:tr>
    </w:tbl>
    <w:tbl>
      <w:tblPr>
        <w:tblW w:type="auto" w:w="0"/>
        <w:jc w:val="center"/>
        <w:tblLayout w:type="fixed"/>
        <w:tblLook w:firstColumn="1" w:firstRow="1" w:lastColumn="0" w:lastRow="0" w:noHBand="0" w:noVBand="1" w:val="04A0"/>
      </w:tblPr>
      <w:tblGrid>
        <w:gridCol w:w="173"/>
        <w:gridCol w:w="10123"/>
      </w:tblGrid>
      <w:tr>
        <w:tc>
          <w:tcPr>
            <w:tcW w:type="dxa" w:w="5227"/>
            <w:shd w:fill="E8A320"/>
            <w:tcMar>
              <w:top w:w="60" w:type="dxa"/>
              <w:start w:w="0" w:type="dxa"/>
              <w:bottom w:w="60" w:type="dxa"/>
              <w:end w:w="0" w:type="dxa"/>
            </w:tcMar>
          </w:tcPr>
          <w:p>
            <w:r/>
          </w:p>
        </w:tc>
        <w:tc>
          <w:tcPr>
            <w:tcW w:type="dxa" w:w="5227"/>
            <w:shd w:fill="F3F7F8"/>
            <w:tcMar>
              <w:top w:w="85" w:type="dxa"/>
              <w:start w:w="110" w:type="dxa"/>
              <w:bottom w:w="85" w:type="dxa"/>
              <w:end w:w="110" w:type="dxa"/>
            </w:tcMar>
          </w:tcPr>
          <w:p>
            <w:r>
              <w:t>Forecast status</w:t>
              <w:br/>
              <w:t>RED: expected attendance below 20 or a supplied control flag is incomplete. GREEN: expected attendance at least 22 and probability of 20 or more at least 80%. YELLOW: otherwise. The demo assumes controls are complete; it does not inspect them. T-7, T-5, and T-1 gates remain operator checks, not automated verification.</w:t>
            </w:r>
          </w:p>
        </w:tc>
      </w:tr>
    </w:tbl>
    <w:p>
      <w:pPr>
        <w:pStyle w:val="Heading2"/>
        <w:spacing w:before="60" w:after="60" w:line="240" w:lineRule="auto"/>
        <w:keepNext/>
      </w:pPr>
      <w:r>
        <w:rPr>
          <w:rFonts w:ascii="Aptos Display" w:hAnsi="Aptos Display"/>
          <w:b/>
          <w:color w:val="17365D"/>
          <w:sz w:val="26"/>
        </w:rPr>
        <w:t>Recovery playbook</w:t>
      </w:r>
    </w:p>
    <w:tbl>
      <w:tblPr>
        <w:tblW w:type="auto" w:w="0"/>
        <w:jc w:val="center"/>
        <w:tblLayout w:type="fixed"/>
        <w:tblLook w:firstColumn="0" w:firstRow="1" w:lastColumn="0" w:lastRow="0" w:noHBand="0" w:noVBand="1" w:val="04A0"/>
      </w:tblPr>
      <w:tblGrid>
        <w:gridCol w:w="2232"/>
        <w:gridCol w:w="2160"/>
        <w:gridCol w:w="5760"/>
      </w:tblGrid>
      <w:tr>
        <w:trPr>
          <w:tblHeader w:val="true"/>
          <w:cantSplit/>
        </w:trPr>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Observed problem</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Likely stage</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Immediate controlled response</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Reach is low</w:t>
            </w:r>
          </w:p>
        </w:tc>
        <w:tc>
          <w:tcPr>
            <w:tcW w:type="dxa" w:w="2160"/>
            <w:shd w:fill="FFFFFF"/>
            <w:tcMar>
              <w:top w:w="60" w:type="dxa"/>
              <w:start w:w="90" w:type="dxa"/>
              <w:bottom w:w="60" w:type="dxa"/>
              <w:end w:w="90" w:type="dxa"/>
            </w:tcMar>
            <w:vAlign w:val="center"/>
          </w:tcPr>
          <w:p>
            <w:pPr>
              <w:spacing w:before="0" w:after="0" w:line="240" w:lineRule="auto"/>
            </w:pPr>
            <w:r>
              <w:rPr>
                <w:rFonts w:ascii="Aptos" w:hAnsi="Aptos"/>
                <w:color w:val="1F2937"/>
                <w:sz w:val="16"/>
              </w:rPr>
              <w:t>Partner pipeline</w:t>
            </w:r>
          </w:p>
        </w:tc>
        <w:tc>
          <w:tcPr>
            <w:tcW w:type="dxa" w:w="5760"/>
            <w:shd w:fill="FFFFFF"/>
            <w:tcMar>
              <w:top w:w="60" w:type="dxa"/>
              <w:start w:w="90" w:type="dxa"/>
              <w:bottom w:w="60" w:type="dxa"/>
              <w:end w:w="90" w:type="dxa"/>
            </w:tcMar>
            <w:vAlign w:val="center"/>
          </w:tcPr>
          <w:p>
            <w:pPr>
              <w:spacing w:before="0" w:after="0" w:line="240" w:lineRule="auto"/>
            </w:pPr>
            <w:r>
              <w:rPr>
                <w:rFonts w:ascii="Aptos" w:hAnsi="Aptos"/>
                <w:color w:val="1F2937"/>
                <w:sz w:val="16"/>
              </w:rPr>
              <w:t>Add multipliers rather than mass individual messaging; activate backup organizations.</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Interest is low</w:t>
            </w:r>
          </w:p>
        </w:tc>
        <w:tc>
          <w:tcPr>
            <w:tcW w:type="dxa" w:w="2160"/>
            <w:shd w:fill="F3F7F8"/>
            <w:tcMar>
              <w:top w:w="60" w:type="dxa"/>
              <w:start w:w="90" w:type="dxa"/>
              <w:bottom w:w="60" w:type="dxa"/>
              <w:end w:w="90" w:type="dxa"/>
            </w:tcMar>
            <w:vAlign w:val="center"/>
          </w:tcPr>
          <w:p>
            <w:pPr>
              <w:spacing w:before="0" w:after="0" w:line="240" w:lineRule="auto"/>
            </w:pPr>
            <w:r>
              <w:rPr>
                <w:rFonts w:ascii="Aptos" w:hAnsi="Aptos"/>
                <w:color w:val="1F2937"/>
                <w:sz w:val="16"/>
              </w:rPr>
              <w:t>Message / audience fit</w:t>
            </w:r>
          </w:p>
        </w:tc>
        <w:tc>
          <w:tcPr>
            <w:tcW w:type="dxa" w:w="5760"/>
            <w:shd w:fill="F3F7F8"/>
            <w:tcMar>
              <w:top w:w="60" w:type="dxa"/>
              <w:start w:w="90" w:type="dxa"/>
              <w:bottom w:w="60" w:type="dxa"/>
              <w:end w:w="90" w:type="dxa"/>
            </w:tcMar>
            <w:vAlign w:val="center"/>
          </w:tcPr>
          <w:p>
            <w:pPr>
              <w:spacing w:before="0" w:after="0" w:line="240" w:lineRule="auto"/>
            </w:pPr>
            <w:r>
              <w:rPr>
                <w:rFonts w:ascii="Aptos" w:hAnsi="Aptos"/>
                <w:color w:val="1F2937"/>
                <w:sz w:val="16"/>
              </w:rPr>
              <w:t>Test one revised value proposition with a defined audience; preserve the approved core claims.</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Registrations are low</w:t>
            </w:r>
          </w:p>
        </w:tc>
        <w:tc>
          <w:tcPr>
            <w:tcW w:type="dxa" w:w="2160"/>
            <w:shd w:fill="FFFFFF"/>
            <w:tcMar>
              <w:top w:w="60" w:type="dxa"/>
              <w:start w:w="90" w:type="dxa"/>
              <w:bottom w:w="60" w:type="dxa"/>
              <w:end w:w="90" w:type="dxa"/>
            </w:tcMar>
            <w:vAlign w:val="center"/>
          </w:tcPr>
          <w:p>
            <w:pPr>
              <w:spacing w:before="0" w:after="0" w:line="240" w:lineRule="auto"/>
            </w:pPr>
            <w:r>
              <w:rPr>
                <w:rFonts w:ascii="Aptos" w:hAnsi="Aptos"/>
                <w:color w:val="1F2937"/>
                <w:sz w:val="16"/>
              </w:rPr>
              <w:t>Call-to-action friction</w:t>
            </w:r>
          </w:p>
        </w:tc>
        <w:tc>
          <w:tcPr>
            <w:tcW w:type="dxa" w:w="5760"/>
            <w:shd w:fill="FFFFFF"/>
            <w:tcMar>
              <w:top w:w="60" w:type="dxa"/>
              <w:start w:w="90" w:type="dxa"/>
              <w:bottom w:w="60" w:type="dxa"/>
              <w:end w:w="90" w:type="dxa"/>
            </w:tcMar>
            <w:vAlign w:val="center"/>
          </w:tcPr>
          <w:p>
            <w:pPr>
              <w:spacing w:before="0" w:after="0" w:line="240" w:lineRule="auto"/>
            </w:pPr>
            <w:r>
              <w:rPr>
                <w:rFonts w:ascii="Aptos" w:hAnsi="Aptos"/>
                <w:color w:val="1F2937"/>
                <w:sz w:val="16"/>
              </w:rPr>
              <w:t>Simplify link and instructions; ask partners to resend through the best-performing channel.</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Show rate is low</w:t>
            </w:r>
          </w:p>
        </w:tc>
        <w:tc>
          <w:tcPr>
            <w:tcW w:type="dxa" w:w="2160"/>
            <w:shd w:fill="F3F7F8"/>
            <w:tcMar>
              <w:top w:w="60" w:type="dxa"/>
              <w:start w:w="90" w:type="dxa"/>
              <w:bottom w:w="60" w:type="dxa"/>
              <w:end w:w="90" w:type="dxa"/>
            </w:tcMar>
            <w:vAlign w:val="center"/>
          </w:tcPr>
          <w:p>
            <w:pPr>
              <w:spacing w:before="0" w:after="0" w:line="240" w:lineRule="auto"/>
            </w:pPr>
            <w:r>
              <w:rPr>
                <w:rFonts w:ascii="Aptos" w:hAnsi="Aptos"/>
                <w:color w:val="1F2937"/>
                <w:sz w:val="16"/>
              </w:rPr>
              <w:t>Confirmation / access</w:t>
            </w:r>
          </w:p>
        </w:tc>
        <w:tc>
          <w:tcPr>
            <w:tcW w:type="dxa" w:w="5760"/>
            <w:shd w:fill="F3F7F8"/>
            <w:tcMar>
              <w:top w:w="60" w:type="dxa"/>
              <w:start w:w="90" w:type="dxa"/>
              <w:bottom w:w="60" w:type="dxa"/>
              <w:end w:w="90" w:type="dxa"/>
            </w:tcMar>
            <w:vAlign w:val="center"/>
          </w:tcPr>
          <w:p>
            <w:pPr>
              <w:spacing w:before="0" w:after="0" w:line="240" w:lineRule="auto"/>
            </w:pPr>
            <w:r>
              <w:rPr>
                <w:rFonts w:ascii="Aptos" w:hAnsi="Aptos"/>
                <w:color w:val="1F2937"/>
                <w:sz w:val="16"/>
              </w:rPr>
              <w:t>Use confirmation sequence, clear logistics, calendar add, accessibility check, and targeted follow-up.</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One channel dominates</w:t>
            </w:r>
          </w:p>
        </w:tc>
        <w:tc>
          <w:tcPr>
            <w:tcW w:type="dxa" w:w="2160"/>
            <w:shd w:fill="FFFFFF"/>
            <w:tcMar>
              <w:top w:w="60" w:type="dxa"/>
              <w:start w:w="90" w:type="dxa"/>
              <w:bottom w:w="60" w:type="dxa"/>
              <w:end w:w="90" w:type="dxa"/>
            </w:tcMar>
            <w:vAlign w:val="center"/>
          </w:tcPr>
          <w:p>
            <w:pPr>
              <w:spacing w:before="0" w:after="0" w:line="240" w:lineRule="auto"/>
            </w:pPr>
            <w:r>
              <w:rPr>
                <w:rFonts w:ascii="Aptos" w:hAnsi="Aptos"/>
                <w:color w:val="1F2937"/>
                <w:sz w:val="16"/>
              </w:rPr>
              <w:t>Concentration risk</w:t>
            </w:r>
          </w:p>
        </w:tc>
        <w:tc>
          <w:tcPr>
            <w:tcW w:type="dxa" w:w="5760"/>
            <w:shd w:fill="FFFFFF"/>
            <w:tcMar>
              <w:top w:w="60" w:type="dxa"/>
              <w:start w:w="90" w:type="dxa"/>
              <w:bottom w:w="60" w:type="dxa"/>
              <w:end w:w="90" w:type="dxa"/>
            </w:tcMar>
            <w:vAlign w:val="center"/>
          </w:tcPr>
          <w:p>
            <w:pPr>
              <w:spacing w:before="0" w:after="0" w:line="240" w:lineRule="auto"/>
            </w:pPr>
            <w:r>
              <w:rPr>
                <w:rFonts w:ascii="Aptos" w:hAnsi="Aptos"/>
                <w:color w:val="1F2937"/>
                <w:sz w:val="16"/>
              </w:rPr>
              <w:t>Cap marginal effort there and develop the next-best repeatable source.</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Week misses 20</w:t>
            </w:r>
          </w:p>
        </w:tc>
        <w:tc>
          <w:tcPr>
            <w:tcW w:type="dxa" w:w="2160"/>
            <w:shd w:fill="F3F7F8"/>
            <w:tcMar>
              <w:top w:w="60" w:type="dxa"/>
              <w:start w:w="90" w:type="dxa"/>
              <w:bottom w:w="60" w:type="dxa"/>
              <w:end w:w="90" w:type="dxa"/>
            </w:tcMar>
            <w:vAlign w:val="center"/>
          </w:tcPr>
          <w:p>
            <w:pPr>
              <w:spacing w:before="0" w:after="0" w:line="240" w:lineRule="auto"/>
            </w:pPr>
            <w:r>
              <w:rPr>
                <w:rFonts w:ascii="Aptos" w:hAnsi="Aptos"/>
                <w:color w:val="1F2937"/>
                <w:sz w:val="16"/>
              </w:rPr>
              <w:t>Outcome</w:t>
            </w:r>
          </w:p>
        </w:tc>
        <w:tc>
          <w:tcPr>
            <w:tcW w:type="dxa" w:w="5760"/>
            <w:shd w:fill="F3F7F8"/>
            <w:tcMar>
              <w:top w:w="60" w:type="dxa"/>
              <w:start w:w="90" w:type="dxa"/>
              <w:bottom w:w="60" w:type="dxa"/>
              <w:end w:w="90" w:type="dxa"/>
            </w:tcMar>
            <w:vAlign w:val="center"/>
          </w:tcPr>
          <w:p>
            <w:pPr>
              <w:spacing w:before="0" w:after="0" w:line="240" w:lineRule="auto"/>
            </w:pPr>
            <w:r>
              <w:rPr>
                <w:rFonts w:ascii="Aptos" w:hAnsi="Aptos"/>
                <w:color w:val="1F2937"/>
                <w:sz w:val="16"/>
              </w:rPr>
              <w:t>Report the miss, isolate the funnel failure, run one recovery experiment, and increase the next registration requirement as warranted.</w:t>
            </w:r>
          </w:p>
        </w:tc>
      </w:tr>
    </w:tbl>
    <w:p>
      <w:pPr>
        <w:pStyle w:val="Heading2"/>
        <w:spacing w:before="60" w:after="60" w:line="240" w:lineRule="auto"/>
        <w:keepNext/>
      </w:pPr>
      <w:r>
        <w:rPr>
          <w:rFonts w:ascii="Aptos Display" w:hAnsi="Aptos Display"/>
          <w:b/>
          <w:color w:val="17365D"/>
          <w:sz w:val="26"/>
        </w:rPr>
        <w:t>Five-line executive update</w:t>
      </w:r>
    </w:p>
    <w:tbl>
      <w:tblPr>
        <w:tblW w:type="auto" w:w="0"/>
        <w:jc w:val="center"/>
        <w:tblLayout w:type="fixed"/>
        <w:tblLook w:firstColumn="1" w:firstRow="1" w:lastColumn="0" w:lastRow="0" w:noHBand="0" w:noVBand="1" w:val="04A0"/>
      </w:tblPr>
      <w:tblGrid>
        <w:gridCol w:w="173"/>
        <w:gridCol w:w="10123"/>
      </w:tblGrid>
      <w:tr>
        <w:tc>
          <w:tcPr>
            <w:tcW w:type="dxa" w:w="5227"/>
            <w:shd w:fill="9C2F2F"/>
            <w:tcMar>
              <w:top w:w="60" w:type="dxa"/>
              <w:start w:w="0" w:type="dxa"/>
              <w:bottom w:w="60" w:type="dxa"/>
              <w:end w:w="0" w:type="dxa"/>
            </w:tcMar>
          </w:tcPr>
          <w:p>
            <w:r/>
          </w:p>
        </w:tc>
        <w:tc>
          <w:tcPr>
            <w:tcW w:type="dxa" w:w="5227"/>
            <w:shd w:fill="FFF6DF"/>
            <w:tcMar>
              <w:top w:w="85" w:type="dxa"/>
              <w:start w:w="110" w:type="dxa"/>
              <w:bottom w:w="85" w:type="dxa"/>
              <w:end w:w="110" w:type="dxa"/>
            </w:tcMar>
          </w:tcPr>
          <w:p>
            <w:pPr>
              <w:spacing w:before="0" w:after="40" w:line="240" w:lineRule="auto"/>
            </w:pPr>
            <w:r/>
            <w:r>
              <w:rPr>
                <w:rFonts w:ascii="Aptos" w:hAnsi="Aptos"/>
                <w:b/>
                <w:color w:val="17365D"/>
                <w:sz w:val="18"/>
              </w:rPr>
              <w:t>ILLUSTRATIVE - SYNTHETIC, NOT LIVE CAMPAIGN DATA</w:t>
            </w:r>
          </w:p>
          <w:p>
            <w:pPr>
              <w:spacing w:before="0" w:after="0" w:line="250" w:lineRule="auto"/>
            </w:pPr>
            <w:r>
              <w:rPr>
                <w:rFonts w:ascii="Aptos" w:hAnsi="Aptos"/>
                <w:color w:val="1F2937"/>
                <w:sz w:val="17"/>
              </w:rPr>
              <w:t>1) Forecast: 17 attendees vs. 20 minimum.  2) Driver: registrations are adequate, but current show-rate protection is weak.  3) Risk: RED; estimated gap is 3 attendees.  4) Action/owner: Piter activates a secondary partner and targeted confirmation sequence today.  5) Next decision: review revised forecast at T-1.</w:t>
            </w:r>
          </w:p>
        </w:tc>
      </w:tr>
    </w:tbl>
    <w:p>
      <w:r>
        <w:br w:type="page"/>
      </w:r>
    </w:p>
    <w:p>
      <w:pPr>
        <w:spacing w:before="0" w:after="20" w:line="240" w:lineRule="auto"/>
      </w:pPr>
      <w:r>
        <w:rPr>
          <w:rFonts w:ascii="Aptos" w:hAnsi="Aptos"/>
          <w:b/>
          <w:color w:val="0F6B78"/>
          <w:sz w:val="16"/>
        </w:rPr>
        <w:t>ANALYZE</w:t>
      </w:r>
    </w:p>
    <w:p>
      <w:pPr>
        <w:pStyle w:val="Heading1"/>
        <w:spacing w:before="0" w:after="40" w:line="240" w:lineRule="auto"/>
        <w:keepNext/>
      </w:pPr>
      <w:r>
        <w:rPr>
          <w:rFonts w:ascii="Aptos Display" w:hAnsi="Aptos Display"/>
          <w:b/>
          <w:color w:val="17365D"/>
          <w:sz w:val="40"/>
        </w:rPr>
        <w:t>Measure what changes the next decision</w:t>
      </w:r>
    </w:p>
    <w:p>
      <w:pPr>
        <w:spacing w:before="0" w:after="160" w:line="240" w:lineRule="auto"/>
      </w:pPr>
      <w:r>
        <w:rPr>
          <w:rFonts w:ascii="Aptos" w:hAnsi="Aptos"/>
          <w:color w:val="4E5B6B"/>
          <w:sz w:val="21"/>
        </w:rPr>
        <w:t>Channel evidence, partner follow-up, and ethical value conversion</w:t>
      </w:r>
    </w:p>
    <w:tbl>
      <w:tblPr>
        <w:tblW w:type="auto" w:w="0"/>
        <w:jc w:val="center"/>
        <w:tblLayout w:type="fixed"/>
        <w:tblLook w:firstColumn="1" w:firstRow="1" w:lastColumn="0" w:lastRow="0" w:noHBand="0" w:noVBand="1" w:val="04A0"/>
      </w:tblPr>
      <w:tblGrid>
        <w:gridCol w:w="10296"/>
      </w:tblGrid>
      <w:tr>
        <w:tc>
          <w:tcPr>
            <w:tcW w:type="dxa" w:w="10454"/>
            <w:shd w:fill="E8A320"/>
            <w:tcMar>
              <w:top w:w="25" w:type="dxa"/>
              <w:start w:w="0" w:type="dxa"/>
              <w:bottom w:w="25" w:type="dxa"/>
              <w:end w:w="0" w:type="dxa"/>
            </w:tcMar>
          </w:tcPr>
          <w:p>
            <w:r/>
          </w:p>
        </w:tc>
      </w:tr>
    </w:tbl>
    <w:p>
      <w:pPr>
        <w:spacing w:after="0"/>
      </w:pPr>
    </w:p>
    <w:p>
      <w:pPr>
        <w:pStyle w:val="Heading2"/>
        <w:spacing w:before="60" w:after="60" w:line="240" w:lineRule="auto"/>
        <w:keepNext/>
      </w:pPr>
      <w:r>
        <w:rPr>
          <w:rFonts w:ascii="Aptos Display" w:hAnsi="Aptos Display"/>
          <w:b/>
          <w:color w:val="17365D"/>
          <w:sz w:val="26"/>
        </w:rPr>
        <w:t>Command-center measures</w:t>
      </w:r>
    </w:p>
    <w:tbl>
      <w:tblPr>
        <w:tblW w:type="auto" w:w="0"/>
        <w:jc w:val="center"/>
        <w:tblLayout w:type="fixed"/>
        <w:tblLook w:firstColumn="0" w:firstRow="1" w:lastColumn="0" w:lastRow="0" w:noHBand="0" w:noVBand="1" w:val="04A0"/>
      </w:tblPr>
      <w:tblGrid>
        <w:gridCol w:w="1872"/>
        <w:gridCol w:w="4320"/>
        <w:gridCol w:w="4104"/>
      </w:tblGrid>
      <w:tr>
        <w:trPr>
          <w:tblHeader w:val="true"/>
          <w:cantSplit/>
        </w:trPr>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View</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Measures</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Decision</w:t>
            </w:r>
          </w:p>
        </w:tc>
      </w:tr>
      <w:tr>
        <w:trPr>
          <w:cantSplit/>
        </w:trPr>
        <w:tc>
          <w:tcPr>
            <w:tcW w:type="dxa" w:w="1872"/>
            <w:shd w:fill="FFFFFF"/>
            <w:tcMar>
              <w:top w:w="60" w:type="dxa"/>
              <w:start w:w="90" w:type="dxa"/>
              <w:bottom w:w="60" w:type="dxa"/>
              <w:end w:w="90" w:type="dxa"/>
            </w:tcMar>
            <w:vAlign w:val="center"/>
          </w:tcPr>
          <w:p>
            <w:pPr>
              <w:spacing w:before="0" w:after="0" w:line="240" w:lineRule="auto"/>
            </w:pPr>
            <w:r>
              <w:rPr>
                <w:rFonts w:ascii="Aptos" w:hAnsi="Aptos"/>
                <w:color w:val="1F2937"/>
                <w:sz w:val="16"/>
              </w:rPr>
              <w:t>Weekly outcome</w:t>
            </w:r>
          </w:p>
        </w:tc>
        <w:tc>
          <w:tcPr>
            <w:tcW w:type="dxa" w:w="4320"/>
            <w:shd w:fill="FFFFFF"/>
            <w:tcMar>
              <w:top w:w="60" w:type="dxa"/>
              <w:start w:w="90" w:type="dxa"/>
              <w:bottom w:w="60" w:type="dxa"/>
              <w:end w:w="90" w:type="dxa"/>
            </w:tcMar>
            <w:vAlign w:val="center"/>
          </w:tcPr>
          <w:p>
            <w:pPr>
              <w:spacing w:before="0" w:after="0" w:line="240" w:lineRule="auto"/>
            </w:pPr>
            <w:r>
              <w:rPr>
                <w:rFonts w:ascii="Aptos" w:hAnsi="Aptos"/>
                <w:color w:val="1F2937"/>
                <w:sz w:val="16"/>
              </w:rPr>
              <w:t>Actual attendance; weekly pass/fail; cumulative total</w:t>
            </w:r>
          </w:p>
        </w:tc>
        <w:tc>
          <w:tcPr>
            <w:tcW w:type="dxa" w:w="4104"/>
            <w:shd w:fill="FFFFFF"/>
            <w:tcMar>
              <w:top w:w="60" w:type="dxa"/>
              <w:start w:w="90" w:type="dxa"/>
              <w:bottom w:w="60" w:type="dxa"/>
              <w:end w:w="90" w:type="dxa"/>
            </w:tcMar>
            <w:vAlign w:val="center"/>
          </w:tcPr>
          <w:p>
            <w:pPr>
              <w:spacing w:before="0" w:after="0" w:line="240" w:lineRule="auto"/>
            </w:pPr>
            <w:r>
              <w:rPr>
                <w:rFonts w:ascii="Aptos" w:hAnsi="Aptos"/>
                <w:color w:val="1F2937"/>
                <w:sz w:val="16"/>
              </w:rPr>
              <w:t>Did the campaign achieve the non-negotiable outcome?</w:t>
            </w:r>
          </w:p>
        </w:tc>
      </w:tr>
      <w:tr>
        <w:trPr>
          <w:cantSplit/>
        </w:trPr>
        <w:tc>
          <w:tcPr>
            <w:tcW w:type="dxa" w:w="1872"/>
            <w:shd w:fill="F3F7F8"/>
            <w:tcMar>
              <w:top w:w="60" w:type="dxa"/>
              <w:start w:w="90" w:type="dxa"/>
              <w:bottom w:w="60" w:type="dxa"/>
              <w:end w:w="90" w:type="dxa"/>
            </w:tcMar>
            <w:vAlign w:val="center"/>
          </w:tcPr>
          <w:p>
            <w:pPr>
              <w:spacing w:before="0" w:after="0" w:line="240" w:lineRule="auto"/>
            </w:pPr>
            <w:r>
              <w:rPr>
                <w:rFonts w:ascii="Aptos" w:hAnsi="Aptos"/>
                <w:color w:val="1F2937"/>
                <w:sz w:val="16"/>
              </w:rPr>
              <w:t>Funnel health</w:t>
            </w:r>
          </w:p>
        </w:tc>
        <w:tc>
          <w:tcPr>
            <w:tcW w:type="dxa" w:w="4320"/>
            <w:shd w:fill="F3F7F8"/>
            <w:tcMar>
              <w:top w:w="60" w:type="dxa"/>
              <w:start w:w="90" w:type="dxa"/>
              <w:bottom w:w="60" w:type="dxa"/>
              <w:end w:w="90" w:type="dxa"/>
            </w:tcMar>
            <w:vAlign w:val="center"/>
          </w:tcPr>
          <w:p>
            <w:pPr>
              <w:spacing w:before="0" w:after="0" w:line="240" w:lineRule="auto"/>
            </w:pPr>
            <w:r>
              <w:rPr>
                <w:rFonts w:ascii="Aptos" w:hAnsi="Aptos"/>
                <w:color w:val="1F2937"/>
                <w:sz w:val="16"/>
              </w:rPr>
              <w:t>Reached, interested, registered, confirmed, attended</w:t>
            </w:r>
          </w:p>
        </w:tc>
        <w:tc>
          <w:tcPr>
            <w:tcW w:type="dxa" w:w="4104"/>
            <w:shd w:fill="F3F7F8"/>
            <w:tcMar>
              <w:top w:w="60" w:type="dxa"/>
              <w:start w:w="90" w:type="dxa"/>
              <w:bottom w:w="60" w:type="dxa"/>
              <w:end w:w="90" w:type="dxa"/>
            </w:tcMar>
            <w:vAlign w:val="center"/>
          </w:tcPr>
          <w:p>
            <w:pPr>
              <w:spacing w:before="0" w:after="0" w:line="240" w:lineRule="auto"/>
            </w:pPr>
            <w:r>
              <w:rPr>
                <w:rFonts w:ascii="Aptos" w:hAnsi="Aptos"/>
                <w:color w:val="1F2937"/>
                <w:sz w:val="16"/>
              </w:rPr>
              <w:t>Where is participation being lost?</w:t>
            </w:r>
          </w:p>
        </w:tc>
      </w:tr>
      <w:tr>
        <w:trPr>
          <w:cantSplit/>
        </w:trPr>
        <w:tc>
          <w:tcPr>
            <w:tcW w:type="dxa" w:w="1872"/>
            <w:shd w:fill="FFFFFF"/>
            <w:tcMar>
              <w:top w:w="60" w:type="dxa"/>
              <w:start w:w="90" w:type="dxa"/>
              <w:bottom w:w="60" w:type="dxa"/>
              <w:end w:w="90" w:type="dxa"/>
            </w:tcMar>
            <w:vAlign w:val="center"/>
          </w:tcPr>
          <w:p>
            <w:pPr>
              <w:spacing w:before="0" w:after="0" w:line="240" w:lineRule="auto"/>
            </w:pPr>
            <w:r>
              <w:rPr>
                <w:rFonts w:ascii="Aptos" w:hAnsi="Aptos"/>
                <w:color w:val="1F2937"/>
                <w:sz w:val="16"/>
              </w:rPr>
              <w:t>Forecast</w:t>
            </w:r>
          </w:p>
        </w:tc>
        <w:tc>
          <w:tcPr>
            <w:tcW w:type="dxa" w:w="4320"/>
            <w:shd w:fill="FFFFFF"/>
            <w:tcMar>
              <w:top w:w="60" w:type="dxa"/>
              <w:start w:w="90" w:type="dxa"/>
              <w:bottom w:w="60" w:type="dxa"/>
              <w:end w:w="90" w:type="dxa"/>
            </w:tcMar>
            <w:vAlign w:val="center"/>
          </w:tcPr>
          <w:p>
            <w:pPr>
              <w:spacing w:before="0" w:after="0" w:line="240" w:lineRule="auto"/>
            </w:pPr>
            <w:r>
              <w:rPr>
                <w:rFonts w:ascii="Aptos" w:hAnsi="Aptos"/>
                <w:color w:val="1F2937"/>
                <w:sz w:val="16"/>
              </w:rPr>
              <w:t>Show rate, required registrations, forecast gap, risk status</w:t>
            </w:r>
          </w:p>
        </w:tc>
        <w:tc>
          <w:tcPr>
            <w:tcW w:type="dxa" w:w="4104"/>
            <w:shd w:fill="FFFFFF"/>
            <w:tcMar>
              <w:top w:w="60" w:type="dxa"/>
              <w:start w:w="90" w:type="dxa"/>
              <w:bottom w:w="60" w:type="dxa"/>
              <w:end w:w="90" w:type="dxa"/>
            </w:tcMar>
            <w:vAlign w:val="center"/>
          </w:tcPr>
          <w:p>
            <w:pPr>
              <w:spacing w:before="0" w:after="0" w:line="240" w:lineRule="auto"/>
            </w:pPr>
            <w:r>
              <w:rPr>
                <w:rFonts w:ascii="Aptos" w:hAnsi="Aptos"/>
                <w:color w:val="1F2937"/>
                <w:sz w:val="16"/>
              </w:rPr>
              <w:t>What must happen before the next gate?</w:t>
            </w:r>
          </w:p>
        </w:tc>
      </w:tr>
      <w:tr>
        <w:trPr>
          <w:cantSplit/>
        </w:trPr>
        <w:tc>
          <w:tcPr>
            <w:tcW w:type="dxa" w:w="1872"/>
            <w:shd w:fill="F3F7F8"/>
            <w:tcMar>
              <w:top w:w="60" w:type="dxa"/>
              <w:start w:w="90" w:type="dxa"/>
              <w:bottom w:w="60" w:type="dxa"/>
              <w:end w:w="90" w:type="dxa"/>
            </w:tcMar>
            <w:vAlign w:val="center"/>
          </w:tcPr>
          <w:p>
            <w:pPr>
              <w:spacing w:before="0" w:after="0" w:line="240" w:lineRule="auto"/>
            </w:pPr>
            <w:r>
              <w:rPr>
                <w:rFonts w:ascii="Aptos" w:hAnsi="Aptos"/>
                <w:color w:val="1F2937"/>
                <w:sz w:val="16"/>
              </w:rPr>
              <w:t>Channel contribution</w:t>
            </w:r>
          </w:p>
        </w:tc>
        <w:tc>
          <w:tcPr>
            <w:tcW w:type="dxa" w:w="4320"/>
            <w:shd w:fill="F3F7F8"/>
            <w:tcMar>
              <w:top w:w="60" w:type="dxa"/>
              <w:start w:w="90" w:type="dxa"/>
              <w:bottom w:w="60" w:type="dxa"/>
              <w:end w:w="90" w:type="dxa"/>
            </w:tcMar>
            <w:vAlign w:val="center"/>
          </w:tcPr>
          <w:p>
            <w:pPr>
              <w:spacing w:before="0" w:after="0" w:line="240" w:lineRule="auto"/>
            </w:pPr>
            <w:r>
              <w:rPr>
                <w:rFonts w:ascii="Aptos" w:hAnsi="Aptos"/>
                <w:color w:val="1F2937"/>
                <w:sz w:val="16"/>
              </w:rPr>
              <w:t>Registrations, attendance, show rate, share, outreach effort</w:t>
            </w:r>
          </w:p>
        </w:tc>
        <w:tc>
          <w:tcPr>
            <w:tcW w:type="dxa" w:w="4104"/>
            <w:shd w:fill="F3F7F8"/>
            <w:tcMar>
              <w:top w:w="60" w:type="dxa"/>
              <w:start w:w="90" w:type="dxa"/>
              <w:bottom w:w="60" w:type="dxa"/>
              <w:end w:w="90" w:type="dxa"/>
            </w:tcMar>
            <w:vAlign w:val="center"/>
          </w:tcPr>
          <w:p>
            <w:pPr>
              <w:spacing w:before="0" w:after="0" w:line="240" w:lineRule="auto"/>
            </w:pPr>
            <w:r>
              <w:rPr>
                <w:rFonts w:ascii="Aptos" w:hAnsi="Aptos"/>
                <w:color w:val="1F2937"/>
                <w:sz w:val="16"/>
              </w:rPr>
              <w:t>Which channels deserve more or less effort?</w:t>
            </w:r>
          </w:p>
        </w:tc>
      </w:tr>
      <w:tr>
        <w:trPr>
          <w:cantSplit/>
        </w:trPr>
        <w:tc>
          <w:tcPr>
            <w:tcW w:type="dxa" w:w="1872"/>
            <w:shd w:fill="FFFFFF"/>
            <w:tcMar>
              <w:top w:w="60" w:type="dxa"/>
              <w:start w:w="90" w:type="dxa"/>
              <w:bottom w:w="60" w:type="dxa"/>
              <w:end w:w="90" w:type="dxa"/>
            </w:tcMar>
            <w:vAlign w:val="center"/>
          </w:tcPr>
          <w:p>
            <w:pPr>
              <w:spacing w:before="0" w:after="0" w:line="240" w:lineRule="auto"/>
            </w:pPr>
            <w:r>
              <w:rPr>
                <w:rFonts w:ascii="Aptos" w:hAnsi="Aptos"/>
                <w:color w:val="1F2937"/>
                <w:sz w:val="16"/>
              </w:rPr>
              <w:t>Partner pipeline</w:t>
            </w:r>
          </w:p>
        </w:tc>
        <w:tc>
          <w:tcPr>
            <w:tcW w:type="dxa" w:w="4320"/>
            <w:shd w:fill="FFFFFF"/>
            <w:tcMar>
              <w:top w:w="60" w:type="dxa"/>
              <w:start w:w="90" w:type="dxa"/>
              <w:bottom w:w="60" w:type="dxa"/>
              <w:end w:w="90" w:type="dxa"/>
            </w:tcMar>
            <w:vAlign w:val="center"/>
          </w:tcPr>
          <w:p>
            <w:pPr>
              <w:spacing w:before="0" w:after="0" w:line="240" w:lineRule="auto"/>
            </w:pPr>
            <w:r>
              <w:rPr>
                <w:rFonts w:ascii="Aptos" w:hAnsi="Aptos"/>
                <w:color w:val="1F2937"/>
                <w:sz w:val="16"/>
              </w:rPr>
              <w:t>Status, expected contribution, next action, follow-up, actual attendance</w:t>
            </w:r>
          </w:p>
        </w:tc>
        <w:tc>
          <w:tcPr>
            <w:tcW w:type="dxa" w:w="4104"/>
            <w:shd w:fill="FFFFFF"/>
            <w:tcMar>
              <w:top w:w="60" w:type="dxa"/>
              <w:start w:w="90" w:type="dxa"/>
              <w:bottom w:w="60" w:type="dxa"/>
              <w:end w:w="90" w:type="dxa"/>
            </w:tcMar>
            <w:vAlign w:val="center"/>
          </w:tcPr>
          <w:p>
            <w:pPr>
              <w:spacing w:before="0" w:after="0" w:line="240" w:lineRule="auto"/>
            </w:pPr>
            <w:r>
              <w:rPr>
                <w:rFonts w:ascii="Aptos" w:hAnsi="Aptos"/>
                <w:color w:val="1F2937"/>
                <w:sz w:val="16"/>
              </w:rPr>
              <w:t>Which multipliers can repeat next week?</w:t>
            </w:r>
          </w:p>
        </w:tc>
      </w:tr>
      <w:tr>
        <w:trPr>
          <w:cantSplit/>
        </w:trPr>
        <w:tc>
          <w:tcPr>
            <w:tcW w:type="dxa" w:w="1872"/>
            <w:shd w:fill="F3F7F8"/>
            <w:tcMar>
              <w:top w:w="60" w:type="dxa"/>
              <w:start w:w="90" w:type="dxa"/>
              <w:bottom w:w="60" w:type="dxa"/>
              <w:end w:w="90" w:type="dxa"/>
            </w:tcMar>
            <w:vAlign w:val="center"/>
          </w:tcPr>
          <w:p>
            <w:pPr>
              <w:spacing w:before="0" w:after="0" w:line="240" w:lineRule="auto"/>
            </w:pPr>
            <w:r>
              <w:rPr>
                <w:rFonts w:ascii="Aptos" w:hAnsi="Aptos"/>
                <w:color w:val="1F2937"/>
                <w:sz w:val="16"/>
              </w:rPr>
              <w:t>Value conversion</w:t>
            </w:r>
          </w:p>
        </w:tc>
        <w:tc>
          <w:tcPr>
            <w:tcW w:type="dxa" w:w="4320"/>
            <w:shd w:fill="F3F7F8"/>
            <w:tcMar>
              <w:top w:w="60" w:type="dxa"/>
              <w:start w:w="90" w:type="dxa"/>
              <w:bottom w:w="60" w:type="dxa"/>
              <w:end w:w="90" w:type="dxa"/>
            </w:tcMar>
            <w:vAlign w:val="center"/>
          </w:tcPr>
          <w:p>
            <w:pPr>
              <w:spacing w:before="0" w:after="0" w:line="240" w:lineRule="auto"/>
            </w:pPr>
            <w:r>
              <w:rPr>
                <w:rFonts w:ascii="Aptos" w:hAnsi="Aptos"/>
                <w:color w:val="1F2937"/>
                <w:sz w:val="16"/>
              </w:rPr>
              <w:t>Opt-in leads, qualified follow-up, approved conversions, attribution</w:t>
            </w:r>
          </w:p>
        </w:tc>
        <w:tc>
          <w:tcPr>
            <w:tcW w:type="dxa" w:w="4104"/>
            <w:shd w:fill="F3F7F8"/>
            <w:tcMar>
              <w:top w:w="60" w:type="dxa"/>
              <w:start w:w="90" w:type="dxa"/>
              <w:bottom w:w="60" w:type="dxa"/>
              <w:end w:w="90" w:type="dxa"/>
            </w:tcMar>
            <w:vAlign w:val="center"/>
          </w:tcPr>
          <w:p>
            <w:pPr>
              <w:spacing w:before="0" w:after="0" w:line="240" w:lineRule="auto"/>
            </w:pPr>
            <w:r>
              <w:rPr>
                <w:rFonts w:ascii="Aptos" w:hAnsi="Aptos"/>
                <w:color w:val="1F2937"/>
                <w:sz w:val="16"/>
              </w:rPr>
              <w:t>Does the free seminar create approved downstream value?</w:t>
            </w:r>
          </w:p>
        </w:tc>
      </w:tr>
    </w:tbl>
    <w:p>
      <w:r>
        <w:t>Count each participant once per weekly seminar. Repeat attendance across weeks is allowed; assign one channel attribution per attendance. The prototype sums supplied channel totals and does not deduplicate individual check-ins.</w:t>
      </w:r>
    </w:p>
    <w:p>
      <w:pPr>
        <w:pStyle w:val="Heading2"/>
        <w:spacing w:before="60" w:after="60" w:line="240" w:lineRule="auto"/>
        <w:keepNext/>
      </w:pPr>
      <w:r>
        <w:rPr>
          <w:rFonts w:ascii="Aptos Display" w:hAnsi="Aptos Display"/>
          <w:b/>
          <w:color w:val="17365D"/>
          <w:sz w:val="26"/>
        </w:rPr>
        <w:t>Channel allocation rule</w:t>
      </w:r>
    </w:p>
    <w:p>
      <w:pPr>
        <w:spacing w:before="0" w:after="80" w:line="250" w:lineRule="auto"/>
      </w:pPr>
      <w:r>
        <w:rPr>
          <w:rFonts w:ascii="Aptos" w:hAnsi="Aptos"/>
          <w:b/>
          <w:color w:val="17365D"/>
          <w:sz w:val="18"/>
        </w:rPr>
        <w:t xml:space="preserve">Prioritize repeatable attendance, not vanity reach. </w:t>
      </w:r>
      <w:r>
        <w:rPr>
          <w:rFonts w:ascii="Aptos" w:hAnsi="Aptos"/>
          <w:b w:val="0"/>
          <w:color w:val="1F2937"/>
          <w:sz w:val="18"/>
        </w:rPr>
        <w:t>The command center compares actual attendees per outreach-effort unit, show rate, partner repeatability, and concentration risk. One effort unit equals one 30-minute campaign work block. Effort moves toward channels that reliably produce attendance, while at least one controlled experiment remains active to expand reach.</w:t>
      </w:r>
    </w:p>
    <w:p>
      <w:pPr>
        <w:pStyle w:val="Heading2"/>
        <w:spacing w:before="60" w:after="60" w:line="240" w:lineRule="auto"/>
        <w:keepNext/>
      </w:pPr>
      <w:r>
        <w:rPr>
          <w:rFonts w:ascii="Aptos Display" w:hAnsi="Aptos Display"/>
          <w:b/>
          <w:color w:val="17365D"/>
          <w:sz w:val="26"/>
        </w:rPr>
        <w:t>Monetization without charging for the free seminar</w:t>
      </w:r>
    </w:p>
    <w:tbl>
      <w:tblPr>
        <w:tblW w:type="auto" w:w="0"/>
        <w:jc w:val="center"/>
        <w:tblLayout w:type="fixed"/>
        <w:tblLook w:firstColumn="1" w:firstRow="1" w:lastColumn="0" w:lastRow="0" w:noHBand="0" w:noVBand="1" w:val="04A0"/>
      </w:tblPr>
      <w:tblGrid>
        <w:gridCol w:w="173"/>
        <w:gridCol w:w="10123"/>
      </w:tblGrid>
      <w:tr>
        <w:tc>
          <w:tcPr>
            <w:tcW w:type="dxa" w:w="5227"/>
            <w:shd w:fill="2F6B4F"/>
            <w:tcMar>
              <w:top w:w="60" w:type="dxa"/>
              <w:start w:w="0" w:type="dxa"/>
              <w:bottom w:w="60" w:type="dxa"/>
              <w:end w:w="0" w:type="dxa"/>
            </w:tcMar>
          </w:tcPr>
          <w:p>
            <w:r/>
          </w:p>
        </w:tc>
        <w:tc>
          <w:tcPr>
            <w:tcW w:type="dxa" w:w="5227"/>
            <w:shd w:fill="F3F7F8"/>
            <w:tcMar>
              <w:top w:w="85" w:type="dxa"/>
              <w:start w:w="110" w:type="dxa"/>
              <w:bottom w:w="85" w:type="dxa"/>
              <w:end w:w="110" w:type="dxa"/>
            </w:tcMar>
          </w:tcPr>
          <w:p>
            <w:pPr>
              <w:spacing w:before="0" w:after="40" w:line="240" w:lineRule="auto"/>
            </w:pPr>
            <w:r/>
            <w:r>
              <w:rPr>
                <w:rFonts w:ascii="Aptos" w:hAnsi="Aptos"/>
                <w:b/>
                <w:color w:val="17365D"/>
                <w:sz w:val="18"/>
              </w:rPr>
              <w:t>Free seminar -&gt; opt-in interest -&gt; approved SaNDAI opportunity -&gt; attributed conversion</w:t>
            </w:r>
          </w:p>
          <w:p>
            <w:pPr>
              <w:spacing w:before="0" w:after="0" w:line="250" w:lineRule="auto"/>
            </w:pPr>
            <w:r>
              <w:rPr>
                <w:rFonts w:ascii="Aptos" w:hAnsi="Aptos"/>
                <w:color w:val="1F2937"/>
                <w:sz w:val="18"/>
              </w:rPr>
              <w:t>The seminar remains free. Monetization is measured only through SaNDAI-approved downstream offerings, follow-up rules, prices, and attribution windows. Until SaNDAI supplies those terms, the command center demonstrates the conversion architecture with synthetic counts and leaves dollar values blank. It does not invent fees, commissions, credentials, or promises.</w:t>
            </w:r>
          </w:p>
        </w:tc>
      </w:tr>
    </w:tbl>
    <w:p>
      <w:pPr>
        <w:spacing w:before="0" w:after="60" w:line="250" w:lineRule="auto"/>
      </w:pPr>
      <w:r>
        <w:rPr>
          <w:rFonts w:ascii="Aptos" w:hAnsi="Aptos"/>
          <w:b/>
          <w:i w:val="0"/>
          <w:color w:val="2F6B4F"/>
          <w:sz w:val="17"/>
        </w:rPr>
        <w:t>Release gate: before any monetization follow-up begins, SaNDAI approves the offer, participant eligibility, terms, follow-up cadence, and attribution window.</w:t>
      </w:r>
    </w:p>
    <w:tbl>
      <w:tblPr>
        <w:tblW w:type="auto" w:w="0"/>
        <w:jc w:val="center"/>
        <w:tblLayout w:type="fixed"/>
        <w:tblLook w:firstColumn="0" w:firstRow="1" w:lastColumn="0" w:lastRow="0" w:noHBand="0" w:noVBand="1" w:val="04A0"/>
      </w:tblPr>
      <w:tblGrid>
        <w:gridCol w:w="2088"/>
        <w:gridCol w:w="4824"/>
        <w:gridCol w:w="3384"/>
      </w:tblGrid>
      <w:tr>
        <w:trPr>
          <w:tblHeader w:val="true"/>
          <w:cantSplit/>
        </w:trPr>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6"/>
              </w:rPr>
              <w:t>Stage</w:t>
            </w:r>
          </w:p>
        </w:tc>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6"/>
              </w:rPr>
              <w:t>Control</w:t>
            </w:r>
          </w:p>
        </w:tc>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6"/>
              </w:rPr>
              <w:t>Measure</w:t>
            </w:r>
          </w:p>
        </w:tc>
      </w:tr>
      <w:tr>
        <w:trPr>
          <w:cantSplit/>
        </w:trPr>
        <w:tc>
          <w:tcPr>
            <w:tcW w:type="dxa" w:w="2088"/>
            <w:shd w:fill="FFFFFF"/>
            <w:tcMar>
              <w:top w:w="60" w:type="dxa"/>
              <w:start w:w="90" w:type="dxa"/>
              <w:bottom w:w="60" w:type="dxa"/>
              <w:end w:w="90" w:type="dxa"/>
            </w:tcMar>
            <w:vAlign w:val="center"/>
          </w:tcPr>
          <w:p>
            <w:pPr>
              <w:spacing w:before="0" w:after="0" w:line="240" w:lineRule="auto"/>
            </w:pPr>
            <w:r>
              <w:rPr>
                <w:rFonts w:ascii="Aptos" w:hAnsi="Aptos"/>
                <w:color w:val="1F2937"/>
                <w:sz w:val="16"/>
              </w:rPr>
              <w:t>Opt-in interest</w:t>
            </w:r>
          </w:p>
        </w:tc>
        <w:tc>
          <w:tcPr>
            <w:tcW w:type="dxa" w:w="4824"/>
            <w:shd w:fill="FFFFFF"/>
            <w:tcMar>
              <w:top w:w="60" w:type="dxa"/>
              <w:start w:w="90" w:type="dxa"/>
              <w:bottom w:w="60" w:type="dxa"/>
              <w:end w:w="90" w:type="dxa"/>
            </w:tcMar>
            <w:vAlign w:val="center"/>
          </w:tcPr>
          <w:p>
            <w:pPr>
              <w:spacing w:before="0" w:after="0" w:line="240" w:lineRule="auto"/>
            </w:pPr>
            <w:r>
              <w:rPr>
                <w:rFonts w:ascii="Aptos" w:hAnsi="Aptos"/>
                <w:color w:val="1F2937"/>
                <w:sz w:val="16"/>
              </w:rPr>
              <w:t>Explicit participant choice; approved language</w:t>
            </w:r>
          </w:p>
        </w:tc>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Count and source/channel</w:t>
            </w:r>
          </w:p>
        </w:tc>
      </w:tr>
      <w:tr>
        <w:trPr>
          <w:cantSplit/>
        </w:trPr>
        <w:tc>
          <w:tcPr>
            <w:tcW w:type="dxa" w:w="2088"/>
            <w:shd w:fill="F3F7F8"/>
            <w:tcMar>
              <w:top w:w="60" w:type="dxa"/>
              <w:start w:w="90" w:type="dxa"/>
              <w:bottom w:w="60" w:type="dxa"/>
              <w:end w:w="90" w:type="dxa"/>
            </w:tcMar>
            <w:vAlign w:val="center"/>
          </w:tcPr>
          <w:p>
            <w:pPr>
              <w:spacing w:before="0" w:after="0" w:line="240" w:lineRule="auto"/>
            </w:pPr>
            <w:r>
              <w:rPr>
                <w:rFonts w:ascii="Aptos" w:hAnsi="Aptos"/>
                <w:color w:val="1F2937"/>
                <w:sz w:val="16"/>
              </w:rPr>
              <w:t>Qualified follow-up</w:t>
            </w:r>
          </w:p>
        </w:tc>
        <w:tc>
          <w:tcPr>
            <w:tcW w:type="dxa" w:w="4824"/>
            <w:shd w:fill="F3F7F8"/>
            <w:tcMar>
              <w:top w:w="60" w:type="dxa"/>
              <w:start w:w="90" w:type="dxa"/>
              <w:bottom w:w="60" w:type="dxa"/>
              <w:end w:w="90" w:type="dxa"/>
            </w:tcMar>
            <w:vAlign w:val="center"/>
          </w:tcPr>
          <w:p>
            <w:pPr>
              <w:spacing w:before="0" w:after="0" w:line="240" w:lineRule="auto"/>
            </w:pPr>
            <w:r>
              <w:rPr>
                <w:rFonts w:ascii="Aptos" w:hAnsi="Aptos"/>
                <w:color w:val="1F2937"/>
                <w:sz w:val="16"/>
              </w:rPr>
              <w:t>SaNDAI-approved criteria and human review</w:t>
            </w:r>
          </w:p>
        </w:tc>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Qualified rate and follow-up completion</w:t>
            </w:r>
          </w:p>
        </w:tc>
      </w:tr>
      <w:tr>
        <w:trPr>
          <w:cantSplit/>
        </w:trPr>
        <w:tc>
          <w:tcPr>
            <w:tcW w:type="dxa" w:w="2088"/>
            <w:shd w:fill="FFFFFF"/>
            <w:tcMar>
              <w:top w:w="60" w:type="dxa"/>
              <w:start w:w="90" w:type="dxa"/>
              <w:bottom w:w="60" w:type="dxa"/>
              <w:end w:w="90" w:type="dxa"/>
            </w:tcMar>
            <w:vAlign w:val="center"/>
          </w:tcPr>
          <w:p>
            <w:pPr>
              <w:spacing w:before="0" w:after="0" w:line="240" w:lineRule="auto"/>
            </w:pPr>
            <w:r>
              <w:rPr>
                <w:rFonts w:ascii="Aptos" w:hAnsi="Aptos"/>
                <w:color w:val="1F2937"/>
                <w:sz w:val="16"/>
              </w:rPr>
              <w:t>Conversion</w:t>
            </w:r>
          </w:p>
        </w:tc>
        <w:tc>
          <w:tcPr>
            <w:tcW w:type="dxa" w:w="4824"/>
            <w:shd w:fill="FFFFFF"/>
            <w:tcMar>
              <w:top w:w="60" w:type="dxa"/>
              <w:start w:w="90" w:type="dxa"/>
              <w:bottom w:w="60" w:type="dxa"/>
              <w:end w:w="90" w:type="dxa"/>
            </w:tcMar>
            <w:vAlign w:val="center"/>
          </w:tcPr>
          <w:p>
            <w:pPr>
              <w:spacing w:before="0" w:after="0" w:line="240" w:lineRule="auto"/>
            </w:pPr>
            <w:r>
              <w:rPr>
                <w:rFonts w:ascii="Aptos" w:hAnsi="Aptos"/>
                <w:color w:val="1F2937"/>
                <w:sz w:val="16"/>
              </w:rPr>
              <w:t>Only confirmed approved outcome</w:t>
            </w:r>
          </w:p>
        </w:tc>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Count, rate, and source attribution</w:t>
            </w:r>
          </w:p>
        </w:tc>
      </w:tr>
      <w:tr>
        <w:trPr>
          <w:cantSplit/>
        </w:trPr>
        <w:tc>
          <w:tcPr>
            <w:tcW w:type="dxa" w:w="2088"/>
            <w:shd w:fill="F3F7F8"/>
            <w:tcMar>
              <w:top w:w="60" w:type="dxa"/>
              <w:start w:w="90" w:type="dxa"/>
              <w:bottom w:w="60" w:type="dxa"/>
              <w:end w:w="90" w:type="dxa"/>
            </w:tcMar>
            <w:vAlign w:val="center"/>
          </w:tcPr>
          <w:p>
            <w:pPr>
              <w:spacing w:before="0" w:after="0" w:line="240" w:lineRule="auto"/>
            </w:pPr>
            <w:r>
              <w:rPr>
                <w:rFonts w:ascii="Aptos" w:hAnsi="Aptos"/>
                <w:color w:val="1F2937"/>
                <w:sz w:val="16"/>
              </w:rPr>
              <w:t>Economic value</w:t>
            </w:r>
          </w:p>
        </w:tc>
        <w:tc>
          <w:tcPr>
            <w:tcW w:type="dxa" w:w="4824"/>
            <w:shd w:fill="F3F7F8"/>
            <w:tcMar>
              <w:top w:w="60" w:type="dxa"/>
              <w:start w:w="90" w:type="dxa"/>
              <w:bottom w:w="60" w:type="dxa"/>
              <w:end w:w="90" w:type="dxa"/>
            </w:tcMar>
            <w:vAlign w:val="center"/>
          </w:tcPr>
          <w:p>
            <w:pPr>
              <w:spacing w:before="0" w:after="0" w:line="240" w:lineRule="auto"/>
            </w:pPr>
            <w:r>
              <w:rPr>
                <w:rFonts w:ascii="Aptos" w:hAnsi="Aptos"/>
                <w:color w:val="1F2937"/>
                <w:sz w:val="16"/>
              </w:rPr>
              <w:t>Configured only after rates/terms are confirmed</w:t>
            </w:r>
          </w:p>
        </w:tc>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Approved revenue/value metric; no fabricated assumptions</w:t>
            </w:r>
          </w:p>
        </w:tc>
      </w:tr>
    </w:tbl>
    <w:p>
      <w:pPr>
        <w:pStyle w:val="Heading2"/>
        <w:spacing w:before="60" w:after="60" w:line="240" w:lineRule="auto"/>
        <w:keepNext/>
      </w:pPr>
      <w:r>
        <w:rPr>
          <w:rFonts w:ascii="Aptos Display" w:hAnsi="Aptos Display"/>
          <w:b/>
          <w:color w:val="17365D"/>
          <w:sz w:val="26"/>
        </w:rPr>
        <w:t>Minimum data discipline</w:t>
      </w:r>
    </w:p>
    <w:p>
      <w:pPr>
        <w:spacing w:before="0" w:after="0" w:line="250" w:lineRule="auto"/>
      </w:pPr>
      <w:r>
        <w:rPr>
          <w:rFonts w:ascii="Aptos" w:hAnsi="Aptos"/>
          <w:b w:val="0"/>
          <w:i w:val="0"/>
          <w:color w:val="1F2937"/>
          <w:sz w:val="17"/>
        </w:rPr>
        <w:t>Use source codes and aggregate campaign measures wherever possible. If SaNDAI later authorizes learner-level improvement analysis, use explicit notice/consent and a pseudonymous participant ID; keep identity mapping in an approved system outside the notebook. Collect only necessary access, checkpoint, feedback, and support signals, with defined purpose, access, retention, and deletion rules. Do not collect passwords, raw authentication logs, or sensitive traits by default. Separate synthetic demonstration data from any future live campaign dataset.</w:t>
      </w:r>
    </w:p>
    <w:p>
      <w:pPr>
        <w:pStyle w:val="Heading2"/>
        <w:spacing w:before="60" w:after="60" w:line="240" w:lineRule="auto"/>
        <w:keepNext/>
      </w:pPr>
      <w:r>
        <w:rPr>
          <w:rFonts w:ascii="Aptos Display" w:hAnsi="Aptos Display"/>
          <w:b/>
          <w:color w:val="17365D"/>
          <w:sz w:val="26"/>
        </w:rPr>
        <w:t>Method: understand, structure, build, validate, improve</w:t>
      </w:r>
    </w:p>
    <w:p>
      <w:pPr>
        <w:spacing w:before="0" w:after="0" w:line="250" w:lineRule="auto"/>
      </w:pPr>
      <w:r>
        <w:rPr>
          <w:rFonts w:ascii="Aptos" w:hAnsi="Aptos"/>
          <w:b w:val="0"/>
          <w:i w:val="0"/>
          <w:color w:val="1F2937"/>
          <w:sz w:val="18"/>
        </w:rPr>
        <w:t>CRISP-DM keeps the work anchored in the business objective and the data before analysis. Iterative SDLC then delivers one bounded improvement at a time: plan, build, test, use, measure, and revise. The data architecture moves from raw campaign events to structured and validated records, curated metrics, analysis, and decision-ready guidance. Authorization remains outside that data flow.</w:t>
      </w:r>
    </w:p>
    <w:p>
      <w:r>
        <w:br w:type="page"/>
      </w:r>
    </w:p>
    <w:p>
      <w:pPr>
        <w:spacing w:before="0" w:after="20" w:line="240" w:lineRule="auto"/>
      </w:pPr>
      <w:r>
        <w:rPr>
          <w:rFonts w:ascii="Aptos" w:hAnsi="Aptos"/>
          <w:b/>
          <w:color w:val="0F6B78"/>
          <w:sz w:val="16"/>
        </w:rPr>
        <w:t>ASSIST</w:t>
      </w:r>
    </w:p>
    <w:p>
      <w:pPr>
        <w:pStyle w:val="Heading1"/>
        <w:spacing w:before="0" w:after="40" w:line="240" w:lineRule="auto"/>
        <w:keepNext/>
      </w:pPr>
      <w:r>
        <w:rPr>
          <w:rFonts w:ascii="Aptos Display" w:hAnsi="Aptos Display"/>
          <w:b/>
          <w:color w:val="17365D"/>
          <w:sz w:val="40"/>
        </w:rPr>
        <w:t>Use AI as bounded support, not an unaccountable operator</w:t>
      </w:r>
    </w:p>
    <w:p>
      <w:pPr>
        <w:spacing w:before="0" w:after="160" w:line="240" w:lineRule="auto"/>
      </w:pPr>
      <w:r>
        <w:t>Proposed AI support roles; the prototype uses sample responses and deterministic analytics, not autonomous agents</w:t>
      </w:r>
    </w:p>
    <w:tbl>
      <w:tblPr>
        <w:tblW w:type="auto" w:w="0"/>
        <w:jc w:val="center"/>
        <w:tblLayout w:type="fixed"/>
        <w:tblLook w:firstColumn="1" w:firstRow="1" w:lastColumn="0" w:lastRow="0" w:noHBand="0" w:noVBand="1" w:val="04A0"/>
      </w:tblPr>
      <w:tblGrid>
        <w:gridCol w:w="10296"/>
      </w:tblGrid>
      <w:tr>
        <w:tc>
          <w:tcPr>
            <w:tcW w:type="dxa" w:w="10454"/>
            <w:shd w:fill="E8A320"/>
            <w:tcMar>
              <w:top w:w="25" w:type="dxa"/>
              <w:start w:w="0" w:type="dxa"/>
              <w:bottom w:w="25" w:type="dxa"/>
              <w:end w:w="0" w:type="dxa"/>
            </w:tcMar>
          </w:tcPr>
          <w:p>
            <w:r/>
          </w:p>
        </w:tc>
      </w:tr>
    </w:tbl>
    <w:p>
      <w:pPr>
        <w:spacing w:after="0"/>
      </w:pPr>
    </w:p>
    <w:tbl>
      <w:tblPr>
        <w:tblW w:type="auto" w:w="0"/>
        <w:jc w:val="center"/>
        <w:tblLayout w:type="fixed"/>
        <w:tblLook w:firstColumn="0" w:firstRow="1" w:lastColumn="0" w:lastRow="0" w:noHBand="0" w:noVBand="1" w:val="04A0"/>
      </w:tblPr>
      <w:tblGrid>
        <w:gridCol w:w="2232"/>
        <w:gridCol w:w="4680"/>
        <w:gridCol w:w="3384"/>
      </w:tblGrid>
      <w:tr>
        <w:trPr>
          <w:tblHeader w:val="true"/>
          <w:cantSplit/>
        </w:trPr>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Worker</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Useful support</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Human gate</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Research worker</w:t>
            </w:r>
          </w:p>
        </w:tc>
        <w:tc>
          <w:tcPr>
            <w:tcW w:type="dxa" w:w="4680"/>
            <w:shd w:fill="FFFFFF"/>
            <w:tcMar>
              <w:top w:w="60" w:type="dxa"/>
              <w:start w:w="90" w:type="dxa"/>
              <w:bottom w:w="60" w:type="dxa"/>
              <w:end w:w="90" w:type="dxa"/>
            </w:tcMar>
            <w:vAlign w:val="center"/>
          </w:tcPr>
          <w:p>
            <w:pPr>
              <w:spacing w:before="0" w:after="0" w:line="240" w:lineRule="auto"/>
            </w:pPr>
            <w:r>
              <w:rPr>
                <w:rFonts w:ascii="Aptos" w:hAnsi="Aptos"/>
                <w:color w:val="1F2937"/>
                <w:sz w:val="16"/>
              </w:rPr>
              <w:t>Finds public organizations, programs, and contact routes; organizes evidence</w:t>
            </w:r>
          </w:p>
        </w:tc>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Piter verifies relevance, source, and outreach permission</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Message adaptation worker</w:t>
            </w:r>
          </w:p>
        </w:tc>
        <w:tc>
          <w:tcPr>
            <w:tcW w:type="dxa" w:w="4680"/>
            <w:shd w:fill="F3F7F8"/>
            <w:tcMar>
              <w:top w:w="60" w:type="dxa"/>
              <w:start w:w="90" w:type="dxa"/>
              <w:bottom w:w="60" w:type="dxa"/>
              <w:end w:w="90" w:type="dxa"/>
            </w:tcMar>
            <w:vAlign w:val="center"/>
          </w:tcPr>
          <w:p>
            <w:pPr>
              <w:spacing w:before="0" w:after="0" w:line="240" w:lineRule="auto"/>
            </w:pPr>
            <w:r>
              <w:rPr>
                <w:rFonts w:ascii="Aptos" w:hAnsi="Aptos"/>
                <w:color w:val="1F2937"/>
                <w:sz w:val="16"/>
              </w:rPr>
              <w:t>Adapts an approved core message to audience/context</w:t>
            </w:r>
          </w:p>
        </w:tc>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Piter approves claims, tone, and recipient before external use</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Campaign worker</w:t>
            </w:r>
          </w:p>
        </w:tc>
        <w:tc>
          <w:tcPr>
            <w:tcW w:type="dxa" w:w="4680"/>
            <w:shd w:fill="FFFFFF"/>
            <w:tcMar>
              <w:top w:w="60" w:type="dxa"/>
              <w:start w:w="90" w:type="dxa"/>
              <w:bottom w:w="60" w:type="dxa"/>
              <w:end w:w="90" w:type="dxa"/>
            </w:tcMar>
            <w:vAlign w:val="center"/>
          </w:tcPr>
          <w:p>
            <w:pPr>
              <w:spacing w:before="0" w:after="0" w:line="240" w:lineRule="auto"/>
            </w:pPr>
            <w:r>
              <w:rPr>
                <w:rFonts w:ascii="Aptos" w:hAnsi="Aptos"/>
                <w:color w:val="1F2937"/>
                <w:sz w:val="16"/>
              </w:rPr>
              <w:t>Maintains queues, reminders, partner next actions, and follow-up suggestions</w:t>
            </w:r>
          </w:p>
        </w:tc>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Piter chooses timing and sends consequential communication</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Analytics worker</w:t>
            </w:r>
          </w:p>
        </w:tc>
        <w:tc>
          <w:tcPr>
            <w:tcW w:type="dxa" w:w="4680"/>
            <w:shd w:fill="F3F7F8"/>
            <w:tcMar>
              <w:top w:w="60" w:type="dxa"/>
              <w:start w:w="90" w:type="dxa"/>
              <w:bottom w:w="60" w:type="dxa"/>
              <w:end w:w="90" w:type="dxa"/>
            </w:tcMar>
            <w:vAlign w:val="center"/>
          </w:tcPr>
          <w:p>
            <w:pPr>
              <w:spacing w:before="0" w:after="0" w:line="240" w:lineRule="auto"/>
            </w:pPr>
            <w:r>
              <w:rPr>
                <w:rFonts w:ascii="Aptos" w:hAnsi="Aptos"/>
                <w:color w:val="1F2937"/>
                <w:sz w:val="16"/>
              </w:rPr>
              <w:t>Calculates funnel health, show rate, dynamic targets, forecast, and weak channels</w:t>
            </w:r>
          </w:p>
        </w:tc>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Piter reviews data quality and selects intervention</w:t>
            </w:r>
          </w:p>
        </w:tc>
      </w:tr>
      <w:tr>
        <w:trPr>
          <w:cantSplit/>
        </w:trPr>
        <w:tc>
          <w:tcPr>
            <w:tcW w:type="dxa" w:w="2232"/>
            <w:shd w:fill="FFFFFF"/>
            <w:tcMar>
              <w:top w:w="60" w:type="dxa"/>
              <w:start w:w="90" w:type="dxa"/>
              <w:bottom w:w="60" w:type="dxa"/>
              <w:end w:w="90" w:type="dxa"/>
            </w:tcMar>
            <w:vAlign w:val="center"/>
          </w:tcPr>
          <w:p>
            <w:pPr>
              <w:spacing w:before="0" w:after="0" w:line="240" w:lineRule="auto"/>
            </w:pPr>
            <w:r>
              <w:rPr>
                <w:rFonts w:ascii="Aptos" w:hAnsi="Aptos"/>
                <w:color w:val="1F2937"/>
                <w:sz w:val="16"/>
              </w:rPr>
              <w:t>Learning worker</w:t>
            </w:r>
          </w:p>
        </w:tc>
        <w:tc>
          <w:tcPr>
            <w:tcW w:type="dxa" w:w="4680"/>
            <w:shd w:fill="FFFFFF"/>
            <w:tcMar>
              <w:top w:w="60" w:type="dxa"/>
              <w:start w:w="90" w:type="dxa"/>
              <w:bottom w:w="60" w:type="dxa"/>
              <w:end w:w="90" w:type="dxa"/>
            </w:tcMar>
            <w:vAlign w:val="center"/>
          </w:tcPr>
          <w:p>
            <w:pPr>
              <w:spacing w:before="0" w:after="0" w:line="240" w:lineRule="auto"/>
            </w:pPr>
            <w:r>
              <w:rPr>
                <w:rFonts w:ascii="Aptos" w:hAnsi="Aptos"/>
                <w:color w:val="1F2937"/>
                <w:sz w:val="16"/>
              </w:rPr>
              <w:t>Summarizes the weekly retrospective and proposes a bounded experiment</w:t>
            </w:r>
          </w:p>
        </w:tc>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Piter approves the experiment and success threshold</w:t>
            </w:r>
          </w:p>
        </w:tc>
      </w:tr>
      <w:tr>
        <w:trPr>
          <w:cantSplit/>
        </w:trPr>
        <w:tc>
          <w:tcPr>
            <w:tcW w:type="dxa" w:w="2232"/>
            <w:shd w:fill="F3F7F8"/>
            <w:tcMar>
              <w:top w:w="60" w:type="dxa"/>
              <w:start w:w="90" w:type="dxa"/>
              <w:bottom w:w="60" w:type="dxa"/>
              <w:end w:w="90" w:type="dxa"/>
            </w:tcMar>
            <w:vAlign w:val="center"/>
          </w:tcPr>
          <w:p>
            <w:pPr>
              <w:spacing w:before="0" w:after="0" w:line="240" w:lineRule="auto"/>
            </w:pPr>
            <w:r>
              <w:rPr>
                <w:rFonts w:ascii="Aptos" w:hAnsi="Aptos"/>
                <w:color w:val="1F2937"/>
                <w:sz w:val="16"/>
              </w:rPr>
              <w:t>Accountable owner</w:t>
            </w:r>
          </w:p>
        </w:tc>
        <w:tc>
          <w:tcPr>
            <w:tcW w:type="dxa" w:w="4680"/>
            <w:shd w:fill="F3F7F8"/>
            <w:tcMar>
              <w:top w:w="60" w:type="dxa"/>
              <w:start w:w="90" w:type="dxa"/>
              <w:bottom w:w="60" w:type="dxa"/>
              <w:end w:w="90" w:type="dxa"/>
            </w:tcMar>
            <w:vAlign w:val="center"/>
          </w:tcPr>
          <w:p>
            <w:pPr>
              <w:spacing w:before="0" w:after="0" w:line="240" w:lineRule="auto"/>
            </w:pPr>
            <w:r>
              <w:rPr>
                <w:rFonts w:ascii="Aptos" w:hAnsi="Aptos"/>
                <w:color w:val="1F2937"/>
                <w:sz w:val="16"/>
              </w:rPr>
              <w:t>Piter Garcia</w:t>
            </w:r>
          </w:p>
        </w:tc>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Owns outcome, decisions, reporting, escalation, and SaNDAI commitments</w:t>
            </w:r>
          </w:p>
        </w:tc>
      </w:tr>
    </w:tbl>
    <w:tbl>
      <w:tblPr>
        <w:tblW w:type="auto" w:w="0"/>
        <w:jc w:val="center"/>
        <w:tblLayout w:type="fixed"/>
        <w:tblLook w:firstColumn="1" w:firstRow="1" w:lastColumn="0" w:lastRow="0" w:noHBand="0" w:noVBand="1" w:val="04A0"/>
      </w:tblPr>
      <w:tblGrid>
        <w:gridCol w:w="173"/>
        <w:gridCol w:w="10123"/>
      </w:tblGrid>
      <w:tr>
        <w:tc>
          <w:tcPr>
            <w:tcW w:type="dxa" w:w="5227"/>
            <w:shd w:fill="E8A320"/>
            <w:tcMar>
              <w:top w:w="60" w:type="dxa"/>
              <w:start w:w="0" w:type="dxa"/>
              <w:bottom w:w="60" w:type="dxa"/>
              <w:end w:w="0" w:type="dxa"/>
            </w:tcMar>
          </w:tcPr>
          <w:p>
            <w:r/>
          </w:p>
        </w:tc>
        <w:tc>
          <w:tcPr>
            <w:tcW w:type="dxa" w:w="5227"/>
            <w:shd w:fill="FFF6DF"/>
            <w:tcMar>
              <w:top w:w="85" w:type="dxa"/>
              <w:start w:w="110" w:type="dxa"/>
              <w:bottom w:w="85" w:type="dxa"/>
              <w:end w:w="110" w:type="dxa"/>
            </w:tcMar>
          </w:tcPr>
          <w:p>
            <w:pPr>
              <w:spacing w:before="0" w:after="40" w:line="240" w:lineRule="auto"/>
            </w:pPr>
            <w:r/>
            <w:r>
              <w:rPr>
                <w:rFonts w:ascii="Aptos" w:hAnsi="Aptos"/>
                <w:b/>
                <w:color w:val="17365D"/>
                <w:sz w:val="18"/>
              </w:rPr>
              <w:t>Simplest reliable method first</w:t>
            </w:r>
          </w:p>
          <w:p>
            <w:pPr>
              <w:spacing w:before="0" w:after="0" w:line="250" w:lineRule="auto"/>
            </w:pPr>
            <w:r>
              <w:rPr>
                <w:rFonts w:ascii="Aptos" w:hAnsi="Aptos"/>
                <w:color w:val="1F2937"/>
                <w:sz w:val="18"/>
              </w:rPr>
              <w:t>Not every campaign task requires generative AI. Tracked links, forms, scheduled reminders, formulas, and rule-based alerts may be safer and more reliable. AI is used where it adds value beyond ordinary automation, with evidence and human review.</w:t>
            </w:r>
          </w:p>
        </w:tc>
      </w:tr>
    </w:tbl>
    <w:p>
      <w:pPr>
        <w:pStyle w:val="Heading2"/>
        <w:spacing w:before="60" w:after="60" w:line="240" w:lineRule="auto"/>
        <w:keepNext/>
      </w:pPr>
      <w:r>
        <w:rPr>
          <w:rFonts w:ascii="Aptos Display" w:hAnsi="Aptos Display"/>
          <w:b/>
          <w:color w:val="17365D"/>
          <w:sz w:val="26"/>
        </w:rPr>
        <w:t>Operational safeguards</w:t>
      </w:r>
    </w:p>
    <w:p>
      <w:pPr>
        <w:pStyle w:val="ListBullet"/>
        <w:spacing w:before="0" w:after="48" w:line="245" w:lineRule="auto"/>
      </w:pPr>
      <w:r>
        <w:rPr>
          <w:rFonts w:ascii="Aptos" w:hAnsi="Aptos"/>
          <w:color w:val="1F2937"/>
          <w:sz w:val="18"/>
        </w:rPr>
        <w:t>No scraping of private student data and no use of private rosters without authorization.</w:t>
      </w:r>
    </w:p>
    <w:p>
      <w:pPr>
        <w:pStyle w:val="ListBullet"/>
        <w:spacing w:before="0" w:after="48" w:line="245" w:lineRule="auto"/>
      </w:pPr>
      <w:r>
        <w:rPr>
          <w:rFonts w:ascii="Aptos" w:hAnsi="Aptos"/>
          <w:color w:val="1F2937"/>
          <w:sz w:val="18"/>
        </w:rPr>
        <w:t>No fabricated SaNDAI benefits, credentials, pricing, guarantees, or commercial terms.</w:t>
      </w:r>
    </w:p>
    <w:p>
      <w:pPr>
        <w:pStyle w:val="ListBullet"/>
        <w:spacing w:before="0" w:after="48" w:line="245" w:lineRule="auto"/>
      </w:pPr>
      <w:r>
        <w:rPr>
          <w:rFonts w:ascii="Aptos" w:hAnsi="Aptos"/>
          <w:color w:val="1F2937"/>
          <w:sz w:val="18"/>
        </w:rPr>
        <w:t>No autonomous mass messaging or commitments on behalf of SaNDAI.</w:t>
      </w:r>
    </w:p>
    <w:p>
      <w:pPr>
        <w:pStyle w:val="ListBullet"/>
        <w:spacing w:before="0" w:after="48" w:line="245" w:lineRule="auto"/>
      </w:pPr>
      <w:r>
        <w:rPr>
          <w:rFonts w:ascii="Aptos" w:hAnsi="Aptos"/>
          <w:color w:val="1F2937"/>
          <w:sz w:val="18"/>
        </w:rPr>
        <w:t>No unnecessary student PII; authorized learner profiles are pseudonymous, consented, purpose-limited, and access-controlled.</w:t>
      </w:r>
    </w:p>
    <w:p>
      <w:pPr>
        <w:pStyle w:val="ListBullet"/>
        <w:spacing w:before="0" w:after="48" w:line="245" w:lineRule="auto"/>
      </w:pPr>
      <w:r>
        <w:rPr>
          <w:rFonts w:ascii="Aptos" w:hAnsi="Aptos"/>
          <w:color w:val="1F2937"/>
          <w:sz w:val="18"/>
        </w:rPr>
        <w:t>Human approval before consequential outreach, monetization claims, or campaign changes.</w:t>
      </w:r>
    </w:p>
    <w:p>
      <w:pPr>
        <w:pStyle w:val="ListBullet"/>
        <w:spacing w:before="0" w:after="48" w:line="245" w:lineRule="auto"/>
      </w:pPr>
      <w:r>
        <w:rPr>
          <w:rFonts w:ascii="Aptos" w:hAnsi="Aptos"/>
          <w:color w:val="1F2937"/>
          <w:sz w:val="18"/>
        </w:rPr>
        <w:t>Approved core content, version history, and a rollback path for message or workflow changes.</w:t>
      </w:r>
    </w:p>
    <w:p>
      <w:pPr>
        <w:pStyle w:val="ListBullet"/>
        <w:spacing w:before="0" w:after="48" w:line="245" w:lineRule="auto"/>
      </w:pPr>
      <w:r>
        <w:rPr>
          <w:rFonts w:ascii="Aptos" w:hAnsi="Aptos"/>
          <w:color w:val="1F2937"/>
          <w:sz w:val="18"/>
        </w:rPr>
        <w:t>Synthetic demonstration data clearly labeled and never presented as live results.</w:t>
      </w:r>
    </w:p>
    <w:p>
      <w:pPr>
        <w:pStyle w:val="Heading2"/>
        <w:spacing w:before="60" w:after="60" w:line="240" w:lineRule="auto"/>
        <w:keepNext/>
      </w:pPr>
      <w:r>
        <w:rPr>
          <w:rFonts w:ascii="Cambria" w:hAnsi="Cambria"/>
          <w:b/>
          <w:color w:val="17365D"/>
          <w:sz w:val="26"/>
        </w:rPr>
        <w:t>What the prototype demonstrates</w:t>
      </w:r>
    </w:p>
    <w:p>
      <w:pPr>
        <w:spacing w:before="0" w:after="60" w:line="250" w:lineRule="auto"/>
      </w:pPr>
      <w:r>
        <w:t>The website makes the two experiences accessible without setup. The supporting notebooks expose the reusable Python logic, inputs, and validation. The proposed operating workflow extends beyond the functions implemented in this prototype.</w:t>
      </w:r>
    </w:p>
    <w:tbl>
      <w:tblPr>
        <w:tblW w:type="auto" w:w="0"/>
        <w:jc w:val="center"/>
        <w:tblLayout w:type="fixed"/>
        <w:tblLook w:firstColumn="0" w:firstRow="1" w:lastColumn="0" w:lastRow="0" w:noHBand="0" w:noVBand="1" w:val="04A0"/>
      </w:tblPr>
      <w:tblGrid>
        <w:gridCol w:w="2376"/>
        <w:gridCol w:w="4680"/>
        <w:gridCol w:w="3240"/>
      </w:tblGrid>
      <w:tr>
        <w:trPr>
          <w:tblHeader w:val="true"/>
          <w:cantSplit/>
        </w:trPr>
        <w:tc>
          <w:tcPr>
            <w:tcW w:type="dxa" w:w="3485"/>
            <w:shd w:fill="0F6B78"/>
            <w:tcMar>
              <w:top w:w="60" w:type="dxa"/>
              <w:start w:w="90" w:type="dxa"/>
              <w:bottom w:w="60" w:type="dxa"/>
              <w:end w:w="90" w:type="dxa"/>
            </w:tcMar>
            <w:vAlign w:val="center"/>
          </w:tcPr>
          <w:p>
            <w:r>
              <w:rPr>
                <w:rFonts w:ascii="Cambria" w:hAnsi="Cambria"/>
                <w:b/>
                <w:color w:val="FFFFFF"/>
                <w:sz w:val="18"/>
              </w:rPr>
              <w:t>Experience and supporting notebook</w:t>
            </w:r>
          </w:p>
        </w:tc>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5"/>
              </w:rPr>
              <w:t>Useful output</w:t>
            </w:r>
          </w:p>
        </w:tc>
        <w:tc>
          <w:tcPr>
            <w:tcW w:type="dxa" w:w="3485"/>
            <w:shd w:fill="0F6B78"/>
            <w:tcMar>
              <w:top w:w="60" w:type="dxa"/>
              <w:start w:w="90" w:type="dxa"/>
              <w:bottom w:w="60" w:type="dxa"/>
              <w:end w:w="90" w:type="dxa"/>
            </w:tcMar>
            <w:vAlign w:val="center"/>
          </w:tcPr>
          <w:p>
            <w:pPr>
              <w:spacing w:before="0" w:after="0" w:line="240" w:lineRule="auto"/>
            </w:pPr>
            <w:r>
              <w:rPr>
                <w:rFonts w:ascii="Aptos" w:hAnsi="Aptos"/>
                <w:b/>
                <w:color w:val="FFFFFF"/>
                <w:sz w:val="15"/>
              </w:rPr>
              <w:t>Non-negotiable boundary</w:t>
            </w:r>
          </w:p>
        </w:tc>
      </w:tr>
      <w:tr>
        <w:trPr>
          <w:cantSplit/>
        </w:trPr>
        <w:tc>
          <w:tcPr>
            <w:tcW w:type="dxa" w:w="2376"/>
            <w:shd w:fill="FFFFFF"/>
            <w:tcMar>
              <w:top w:w="60" w:type="dxa"/>
              <w:start w:w="90" w:type="dxa"/>
              <w:bottom w:w="60" w:type="dxa"/>
              <w:end w:w="90" w:type="dxa"/>
            </w:tcMar>
            <w:vAlign w:val="center"/>
          </w:tcPr>
          <w:p>
            <w:pPr>
              <w:spacing w:before="0" w:after="0" w:line="240" w:lineRule="auto"/>
            </w:pPr>
            <w:r>
              <w:rPr>
                <w:rFonts w:ascii="Aptos" w:hAnsi="Aptos"/>
                <w:color w:val="1F2937"/>
                <w:sz w:val="15"/>
              </w:rPr>
              <w:t>Management Command Center</w:t>
            </w:r>
          </w:p>
        </w:tc>
        <w:tc>
          <w:tcPr>
            <w:tcW w:type="dxa" w:w="4680"/>
            <w:shd w:fill="FFFFFF"/>
            <w:tcMar>
              <w:top w:w="60" w:type="dxa"/>
              <w:start w:w="90" w:type="dxa"/>
              <w:bottom w:w="60" w:type="dxa"/>
              <w:end w:w="90" w:type="dxa"/>
            </w:tcMar>
            <w:vAlign w:val="center"/>
          </w:tcPr>
          <w:p>
            <w:pPr>
              <w:spacing w:before="0" w:after="0" w:line="240" w:lineRule="auto"/>
            </w:pPr>
            <w:r>
              <w:rPr>
                <w:rFonts w:ascii="Aptos" w:hAnsi="Aptos"/>
                <w:color w:val="1F2937"/>
                <w:sz w:val="15"/>
              </w:rPr>
              <w:t>Campaign forecast, gates, channel/partner decisions, ethical conversion, and aggregate or pseudonymous learner-support insights</w:t>
            </w:r>
          </w:p>
        </w:tc>
        <w:tc>
          <w:tcPr>
            <w:tcW w:type="dxa" w:w="3240"/>
            <w:shd w:fill="FFFFFF"/>
            <w:tcMar>
              <w:top w:w="60" w:type="dxa"/>
              <w:start w:w="90" w:type="dxa"/>
              <w:bottom w:w="60" w:type="dxa"/>
              <w:end w:w="90" w:type="dxa"/>
            </w:tcMar>
            <w:vAlign w:val="center"/>
          </w:tcPr>
          <w:p>
            <w:pPr>
              <w:spacing w:before="0" w:after="0" w:line="240" w:lineRule="auto"/>
            </w:pPr>
            <w:r>
              <w:rPr>
                <w:rFonts w:ascii="Aptos" w:hAnsi="Aptos"/>
                <w:color w:val="1F2937"/>
                <w:sz w:val="15"/>
              </w:rPr>
              <w:t>No live tracking without SaNDAI authorization, notice/consent, approved collection method, and data-governance controls</w:t>
            </w:r>
          </w:p>
        </w:tc>
      </w:tr>
      <w:tr>
        <w:trPr>
          <w:cantSplit/>
        </w:trPr>
        <w:tc>
          <w:tcPr>
            <w:tcW w:type="dxa" w:w="2376"/>
            <w:shd w:fill="F3F7F8"/>
            <w:tcMar>
              <w:top w:w="60" w:type="dxa"/>
              <w:start w:w="90" w:type="dxa"/>
              <w:bottom w:w="60" w:type="dxa"/>
              <w:end w:w="90" w:type="dxa"/>
            </w:tcMar>
            <w:vAlign w:val="center"/>
          </w:tcPr>
          <w:p>
            <w:pPr>
              <w:spacing w:before="0" w:after="0" w:line="240" w:lineRule="auto"/>
            </w:pPr>
            <w:r>
              <w:rPr>
                <w:rFonts w:ascii="Aptos" w:hAnsi="Aptos"/>
                <w:color w:val="1F2937"/>
                <w:sz w:val="15"/>
              </w:rPr>
              <w:t>Student Seminar Companion</w:t>
            </w:r>
          </w:p>
        </w:tc>
        <w:tc>
          <w:tcPr>
            <w:tcW w:type="dxa" w:w="4680"/>
            <w:shd w:fill="F3F7F8"/>
            <w:tcMar>
              <w:top w:w="60" w:type="dxa"/>
              <w:start w:w="90" w:type="dxa"/>
              <w:bottom w:w="60" w:type="dxa"/>
              <w:end w:w="90" w:type="dxa"/>
            </w:tcMar>
            <w:vAlign w:val="center"/>
          </w:tcPr>
          <w:p>
            <w:pPr>
              <w:spacing w:before="0" w:after="0" w:line="240" w:lineRule="auto"/>
            </w:pPr>
            <w:r>
              <w:rPr>
                <w:rFonts w:ascii="Aptos" w:hAnsi="Aptos"/>
                <w:color w:val="1F2937"/>
                <w:sz w:val="15"/>
              </w:rPr>
              <w:t>Private self-check, prompt practice, credential/resume planning, next-step plan, and optional feedback structure</w:t>
            </w:r>
          </w:p>
        </w:tc>
        <w:tc>
          <w:tcPr>
            <w:tcW w:type="dxa" w:w="3240"/>
            <w:shd w:fill="F3F7F8"/>
            <w:tcMar>
              <w:top w:w="60" w:type="dxa"/>
              <w:start w:w="90" w:type="dxa"/>
              <w:bottom w:w="60" w:type="dxa"/>
              <w:end w:w="90" w:type="dxa"/>
            </w:tcMar>
            <w:vAlign w:val="center"/>
          </w:tcPr>
          <w:p>
            <w:r>
              <w:rPr>
                <w:rFonts w:ascii="Cambria" w:hAnsi="Cambria"/>
                <w:sz w:val="18"/>
              </w:rPr>
              <w:t>No management data or required personal disclosure. Web planning inputs are sent for calculation without application-level storage; written reflections stay in the browser. The notebook does not call a live AI service.</w:t>
            </w:r>
          </w:p>
        </w:tc>
      </w:tr>
    </w:tbl>
    <w:p>
      <w:r>
        <w:br w:type="page"/>
      </w:r>
    </w:p>
    <w:p>
      <w:pPr>
        <w:spacing w:before="0" w:after="20" w:line="240" w:lineRule="auto"/>
      </w:pPr>
      <w:r>
        <w:rPr>
          <w:rFonts w:ascii="Aptos" w:hAnsi="Aptos"/>
          <w:b/>
          <w:color w:val="0F6B78"/>
          <w:sz w:val="16"/>
        </w:rPr>
        <w:t>OWN</w:t>
      </w:r>
    </w:p>
    <w:p>
      <w:pPr>
        <w:pStyle w:val="Heading1"/>
        <w:spacing w:before="0" w:after="40" w:line="240" w:lineRule="auto"/>
        <w:keepNext/>
      </w:pPr>
      <w:r>
        <w:rPr>
          <w:rFonts w:ascii="Aptos Display" w:hAnsi="Aptos Display"/>
          <w:b/>
          <w:color w:val="17365D"/>
          <w:sz w:val="40"/>
        </w:rPr>
        <w:t>Why SaNDAI can trust me to own the eight weeks</w:t>
      </w:r>
    </w:p>
    <w:p>
      <w:pPr>
        <w:spacing w:before="0" w:after="160" w:line="240" w:lineRule="auto"/>
      </w:pPr>
      <w:r>
        <w:rPr>
          <w:rFonts w:ascii="Aptos" w:hAnsi="Aptos"/>
          <w:color w:val="4E5B6B"/>
          <w:sz w:val="21"/>
        </w:rPr>
        <w:t>Evidence plus an operating system is stronger than adjectives</w:t>
      </w:r>
    </w:p>
    <w:tbl>
      <w:tblPr>
        <w:tblW w:type="auto" w:w="0"/>
        <w:jc w:val="center"/>
        <w:tblLayout w:type="fixed"/>
        <w:tblLook w:firstColumn="1" w:firstRow="1" w:lastColumn="0" w:lastRow="0" w:noHBand="0" w:noVBand="1" w:val="04A0"/>
      </w:tblPr>
      <w:tblGrid>
        <w:gridCol w:w="10296"/>
      </w:tblGrid>
      <w:tr>
        <w:tc>
          <w:tcPr>
            <w:tcW w:type="dxa" w:w="10454"/>
            <w:shd w:fill="E8A320"/>
            <w:tcMar>
              <w:top w:w="25" w:type="dxa"/>
              <w:start w:w="0" w:type="dxa"/>
              <w:bottom w:w="25" w:type="dxa"/>
              <w:end w:w="0" w:type="dxa"/>
            </w:tcMar>
          </w:tcPr>
          <w:p>
            <w:r/>
          </w:p>
        </w:tc>
      </w:tr>
    </w:tbl>
    <w:p>
      <w:pPr>
        <w:spacing w:after="0"/>
      </w:pPr>
    </w:p>
    <w:tbl>
      <w:tblPr>
        <w:tblW w:type="auto" w:w="0"/>
        <w:jc w:val="center"/>
        <w:tblLayout w:type="fixed"/>
        <w:tblLook w:firstColumn="1" w:firstRow="1" w:lastColumn="0" w:lastRow="0" w:noHBand="0" w:noVBand="1" w:val="04A0"/>
      </w:tblPr>
      <w:tblGrid>
        <w:gridCol w:w="173"/>
        <w:gridCol w:w="10123"/>
      </w:tblGrid>
      <w:tr>
        <w:tc>
          <w:tcPr>
            <w:tcW w:type="dxa" w:w="5227"/>
            <w:shd w:fill="E8A320"/>
            <w:tcMar>
              <w:top w:w="60" w:type="dxa"/>
              <w:start w:w="0" w:type="dxa"/>
              <w:bottom w:w="60" w:type="dxa"/>
              <w:end w:w="0" w:type="dxa"/>
            </w:tcMar>
          </w:tcPr>
          <w:p>
            <w:r/>
          </w:p>
        </w:tc>
        <w:tc>
          <w:tcPr>
            <w:tcW w:type="dxa" w:w="5227"/>
            <w:shd w:fill="FFF6DF"/>
            <w:tcMar>
              <w:top w:w="85" w:type="dxa"/>
              <w:start w:w="110" w:type="dxa"/>
              <w:bottom w:w="85" w:type="dxa"/>
              <w:end w:w="110" w:type="dxa"/>
            </w:tcMar>
          </w:tcPr>
          <w:p>
            <w:pPr>
              <w:spacing w:before="0" w:after="40" w:line="240" w:lineRule="auto"/>
            </w:pPr>
            <w:r/>
            <w:r>
              <w:rPr>
                <w:rFonts w:ascii="Aptos" w:hAnsi="Aptos"/>
                <w:b/>
                <w:color w:val="17365D"/>
                <w:sz w:val="18"/>
              </w:rPr>
              <w:t>Direct answer</w:t>
            </w:r>
          </w:p>
          <w:p>
            <w:pPr>
              <w:spacing w:before="0" w:after="0" w:line="250" w:lineRule="auto"/>
            </w:pPr>
            <w:r>
              <w:rPr>
                <w:rFonts w:ascii="Aptos" w:hAnsi="Aptos"/>
                <w:color w:val="1F2937"/>
                <w:sz w:val="19"/>
              </w:rPr>
              <w:t>SaNDAI should not have to rely on me remembering what comes next. The campaign itself contains the target, owner, dated gates, thresholds, alerts, interventions, and next-update cadence. I will make performance visible, act before a miss becomes final, report shortfalls honestly, and document the decision that follows.</w:t>
            </w:r>
          </w:p>
        </w:tc>
      </w:tr>
    </w:tbl>
    <w:p>
      <w:pPr>
        <w:spacing w:before="0" w:after="60" w:line="250" w:lineRule="auto"/>
      </w:pPr>
      <w:r>
        <w:rPr>
          <w:b/>
        </w:rPr>
        <w:t xml:space="preserve">Collaboration model — Accountability is centralized; execution is collaborative. </w:t>
      </w:r>
      <w:r>
        <w:t>I remain accountable for the eight-week objective, operating cadence, measurement, escalation, decisions, and reporting while coordinating approved work across SaNDAI, faculty, career services, student organizations, departments, partners, and any assigned team members. Each delegated action has an owner, deadline, expected output, and follow-up; I remain responsible for tracking the result and triggering the next action when performance falls short.</w:t>
      </w:r>
    </w:p>
    <w:p>
      <w:pPr>
        <w:pStyle w:val="Heading2"/>
        <w:spacing w:before="60" w:after="60" w:line="240" w:lineRule="auto"/>
        <w:keepNext/>
      </w:pPr>
      <w:r>
        <w:rPr>
          <w:rFonts w:ascii="Aptos Display" w:hAnsi="Aptos Display"/>
          <w:b/>
          <w:color w:val="17365D"/>
          <w:sz w:val="26"/>
        </w:rPr>
        <w:t>Evidence I bring to the challenge</w:t>
      </w:r>
    </w:p>
    <w:tbl>
      <w:tblPr>
        <w:tblW w:type="auto" w:w="0"/>
        <w:jc w:val="center"/>
        <w:tblLayout w:type="fixed"/>
        <w:tblLook w:firstColumn="0" w:firstRow="1" w:lastColumn="0" w:lastRow="0" w:noHBand="0" w:noVBand="1" w:val="04A0"/>
      </w:tblPr>
      <w:tblGrid>
        <w:gridCol w:w="3384"/>
        <w:gridCol w:w="6912"/>
      </w:tblGrid>
      <w:tr>
        <w:trPr>
          <w:tblHeader w:val="true"/>
          <w:cantSplit/>
        </w:trPr>
        <w:tc>
          <w:tcPr>
            <w:tcW w:type="dxa" w:w="5227"/>
            <w:shd w:fill="17365D"/>
            <w:tcMar>
              <w:top w:w="60" w:type="dxa"/>
              <w:start w:w="90" w:type="dxa"/>
              <w:bottom w:w="60" w:type="dxa"/>
              <w:end w:w="90" w:type="dxa"/>
            </w:tcMar>
            <w:vAlign w:val="center"/>
          </w:tcPr>
          <w:p>
            <w:pPr>
              <w:spacing w:before="0" w:after="0" w:line="240" w:lineRule="auto"/>
            </w:pPr>
            <w:r>
              <w:rPr>
                <w:rFonts w:ascii="Aptos" w:hAnsi="Aptos"/>
                <w:b/>
                <w:color w:val="FFFFFF"/>
                <w:sz w:val="16"/>
              </w:rPr>
              <w:t>Evidence from my work</w:t>
            </w:r>
          </w:p>
        </w:tc>
        <w:tc>
          <w:tcPr>
            <w:tcW w:type="dxa" w:w="5227"/>
            <w:shd w:fill="17365D"/>
            <w:tcMar>
              <w:top w:w="60" w:type="dxa"/>
              <w:start w:w="90" w:type="dxa"/>
              <w:bottom w:w="60" w:type="dxa"/>
              <w:end w:w="90" w:type="dxa"/>
            </w:tcMar>
            <w:vAlign w:val="center"/>
          </w:tcPr>
          <w:p>
            <w:pPr>
              <w:spacing w:before="0" w:after="0" w:line="240" w:lineRule="auto"/>
            </w:pPr>
            <w:r>
              <w:rPr>
                <w:rFonts w:ascii="Aptos" w:hAnsi="Aptos"/>
                <w:b/>
                <w:color w:val="FFFFFF"/>
                <w:sz w:val="16"/>
              </w:rPr>
              <w:t>How it transfers</w:t>
            </w:r>
          </w:p>
        </w:tc>
      </w:tr>
      <w:tr>
        <w:trPr>
          <w:cantSplit/>
        </w:trPr>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MLADIS system design</w:t>
            </w:r>
          </w:p>
        </w:tc>
        <w:tc>
          <w:tcPr>
            <w:tcW w:type="dxa" w:w="6912"/>
            <w:shd w:fill="FFFFFF"/>
            <w:tcMar>
              <w:top w:w="60" w:type="dxa"/>
              <w:start w:w="90" w:type="dxa"/>
              <w:bottom w:w="60" w:type="dxa"/>
              <w:end w:w="90" w:type="dxa"/>
            </w:tcMar>
            <w:vAlign w:val="center"/>
          </w:tcPr>
          <w:p>
            <w:pPr>
              <w:spacing w:before="0" w:after="0" w:line="240" w:lineRule="auto"/>
            </w:pPr>
            <w:r>
              <w:rPr>
                <w:rFonts w:ascii="Aptos" w:hAnsi="Aptos"/>
                <w:color w:val="1F2937"/>
                <w:sz w:val="16"/>
              </w:rPr>
              <w:t>Keeps source-backed facts separate from generated suggestions and places authorized action outside the recommendation layer.</w:t>
            </w:r>
          </w:p>
        </w:tc>
      </w:tr>
      <w:tr>
        <w:trPr>
          <w:cantSplit/>
        </w:trPr>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Quantum/AI research workflows</w:t>
            </w:r>
          </w:p>
        </w:tc>
        <w:tc>
          <w:tcPr>
            <w:tcW w:type="dxa" w:w="6912"/>
            <w:shd w:fill="F3F7F8"/>
            <w:tcMar>
              <w:top w:w="60" w:type="dxa"/>
              <w:start w:w="90" w:type="dxa"/>
              <w:bottom w:w="60" w:type="dxa"/>
              <w:end w:w="90" w:type="dxa"/>
            </w:tcMar>
            <w:vAlign w:val="center"/>
          </w:tcPr>
          <w:p>
            <w:pPr>
              <w:spacing w:before="0" w:after="0" w:line="240" w:lineRule="auto"/>
            </w:pPr>
            <w:r>
              <w:rPr>
                <w:rFonts w:ascii="Aptos" w:hAnsi="Aptos"/>
                <w:color w:val="1F2937"/>
                <w:sz w:val="16"/>
              </w:rPr>
              <w:t>Uses explicit assumptions, reproducible analysis, documented experiments, validation, and revision when evidence changes.</w:t>
            </w:r>
          </w:p>
        </w:tc>
      </w:tr>
      <w:tr>
        <w:trPr>
          <w:cantSplit/>
        </w:trPr>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CRISP-DM and iterative SDLC</w:t>
            </w:r>
          </w:p>
        </w:tc>
        <w:tc>
          <w:tcPr>
            <w:tcW w:type="dxa" w:w="6912"/>
            <w:shd w:fill="FFFFFF"/>
            <w:tcMar>
              <w:top w:w="60" w:type="dxa"/>
              <w:start w:w="90" w:type="dxa"/>
              <w:bottom w:w="60" w:type="dxa"/>
              <w:end w:w="90" w:type="dxa"/>
            </w:tcMar>
            <w:vAlign w:val="center"/>
          </w:tcPr>
          <w:p>
            <w:pPr>
              <w:spacing w:before="0" w:after="0" w:line="240" w:lineRule="auto"/>
            </w:pPr>
            <w:r>
              <w:rPr>
                <w:rFonts w:ascii="Aptos" w:hAnsi="Aptos"/>
                <w:color w:val="1F2937"/>
                <w:sz w:val="16"/>
              </w:rPr>
              <w:t>Understands the objective and data first, then builds, tests, measures, and improves one bounded feature at a time.</w:t>
            </w:r>
          </w:p>
        </w:tc>
      </w:tr>
      <w:tr>
        <w:trPr>
          <w:cantSplit/>
        </w:trPr>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Teaching and lesson development</w:t>
            </w:r>
          </w:p>
        </w:tc>
        <w:tc>
          <w:tcPr>
            <w:tcW w:type="dxa" w:w="6912"/>
            <w:shd w:fill="F3F7F8"/>
            <w:tcMar>
              <w:top w:w="60" w:type="dxa"/>
              <w:start w:w="90" w:type="dxa"/>
              <w:bottom w:w="60" w:type="dxa"/>
              <w:end w:w="90" w:type="dxa"/>
            </w:tcMar>
            <w:vAlign w:val="center"/>
          </w:tcPr>
          <w:p>
            <w:pPr>
              <w:spacing w:before="0" w:after="0" w:line="240" w:lineRule="auto"/>
            </w:pPr>
            <w:r>
              <w:rPr>
                <w:rFonts w:ascii="Aptos" w:hAnsi="Aptos"/>
                <w:color w:val="1F2937"/>
                <w:sz w:val="16"/>
              </w:rPr>
              <w:t>Designs for participation, clear success criteria, checkpoints, access, intervention, and reflection.</w:t>
            </w:r>
          </w:p>
        </w:tc>
      </w:tr>
      <w:tr>
        <w:trPr>
          <w:cantSplit/>
        </w:trPr>
        <w:tc>
          <w:tcPr>
            <w:tcW w:type="dxa" w:w="3384"/>
            <w:shd w:fill="FFFFFF"/>
            <w:tcMar>
              <w:top w:w="60" w:type="dxa"/>
              <w:start w:w="90" w:type="dxa"/>
              <w:bottom w:w="60" w:type="dxa"/>
              <w:end w:w="90" w:type="dxa"/>
            </w:tcMar>
            <w:vAlign w:val="center"/>
          </w:tcPr>
          <w:p>
            <w:pPr>
              <w:spacing w:before="0" w:after="0" w:line="240" w:lineRule="auto"/>
            </w:pPr>
            <w:r>
              <w:rPr>
                <w:rFonts w:ascii="Aptos" w:hAnsi="Aptos"/>
                <w:color w:val="1F2937"/>
                <w:sz w:val="16"/>
              </w:rPr>
              <w:t>Version-controlled project continuity</w:t>
            </w:r>
          </w:p>
        </w:tc>
        <w:tc>
          <w:tcPr>
            <w:tcW w:type="dxa" w:w="6912"/>
            <w:shd w:fill="FFFFFF"/>
            <w:tcMar>
              <w:top w:w="60" w:type="dxa"/>
              <w:start w:w="90" w:type="dxa"/>
              <w:bottom w:w="60" w:type="dxa"/>
              <w:end w:w="90" w:type="dxa"/>
            </w:tcMar>
            <w:vAlign w:val="center"/>
          </w:tcPr>
          <w:p>
            <w:pPr>
              <w:spacing w:before="0" w:after="0" w:line="240" w:lineRule="auto"/>
            </w:pPr>
            <w:r>
              <w:rPr>
                <w:rFonts w:ascii="Aptos" w:hAnsi="Aptos"/>
                <w:color w:val="1F2937"/>
                <w:sz w:val="16"/>
              </w:rPr>
              <w:t>Keeps sources, changes, current status, and next work visible so progress does not depend on memory.</w:t>
            </w:r>
          </w:p>
        </w:tc>
      </w:tr>
      <w:tr>
        <w:trPr>
          <w:cantSplit/>
        </w:trPr>
        <w:tc>
          <w:tcPr>
            <w:tcW w:type="dxa" w:w="3384"/>
            <w:shd w:fill="F3F7F8"/>
            <w:tcMar>
              <w:top w:w="60" w:type="dxa"/>
              <w:start w:w="90" w:type="dxa"/>
              <w:bottom w:w="60" w:type="dxa"/>
              <w:end w:w="90" w:type="dxa"/>
            </w:tcMar>
            <w:vAlign w:val="center"/>
          </w:tcPr>
          <w:p>
            <w:pPr>
              <w:spacing w:before="0" w:after="0" w:line="240" w:lineRule="auto"/>
            </w:pPr>
            <w:r>
              <w:rPr>
                <w:rFonts w:ascii="Aptos" w:hAnsi="Aptos"/>
                <w:color w:val="1F2937"/>
                <w:sz w:val="16"/>
              </w:rPr>
              <w:t>Responsible AI practice</w:t>
            </w:r>
          </w:p>
        </w:tc>
        <w:tc>
          <w:tcPr>
            <w:tcW w:type="dxa" w:w="6912"/>
            <w:shd w:fill="F3F7F8"/>
            <w:tcMar>
              <w:top w:w="60" w:type="dxa"/>
              <w:start w:w="90" w:type="dxa"/>
              <w:bottom w:w="60" w:type="dxa"/>
              <w:end w:w="90" w:type="dxa"/>
            </w:tcMar>
            <w:vAlign w:val="center"/>
          </w:tcPr>
          <w:p>
            <w:pPr>
              <w:spacing w:before="0" w:after="0" w:line="240" w:lineRule="auto"/>
            </w:pPr>
            <w:r>
              <w:rPr>
                <w:rFonts w:ascii="Aptos" w:hAnsi="Aptos"/>
                <w:color w:val="1F2937"/>
                <w:sz w:val="16"/>
              </w:rPr>
              <w:t>Separates facts from assumptions, recommendations from authorized action, and automation from accountability.</w:t>
            </w:r>
          </w:p>
        </w:tc>
      </w:tr>
    </w:tbl>
    <w:p>
      <w:pPr>
        <w:pStyle w:val="Heading2"/>
        <w:spacing w:before="60" w:after="60" w:line="240" w:lineRule="auto"/>
        <w:keepNext/>
      </w:pPr>
      <w:r>
        <w:rPr>
          <w:rFonts w:ascii="Aptos Display" w:hAnsi="Aptos Display"/>
          <w:b/>
          <w:color w:val="17365D"/>
          <w:sz w:val="26"/>
        </w:rPr>
        <w:t>Pre-launch validation and first operating cycle</w:t>
      </w:r>
    </w:p>
    <w:tbl>
      <w:tblPr>
        <w:tblW w:type="auto" w:w="0"/>
        <w:jc w:val="center"/>
        <w:tblLayout w:type="fixed"/>
        <w:tblLook w:firstColumn="0" w:firstRow="1" w:lastColumn="0" w:lastRow="0" w:noHBand="0" w:noVBand="1" w:val="04A0"/>
      </w:tblPr>
      <w:tblGrid>
        <w:gridCol w:w="1584"/>
        <w:gridCol w:w="6264"/>
        <w:gridCol w:w="2448"/>
      </w:tblGrid>
      <w:tr>
        <w:trPr>
          <w:tblHeader w:val="true"/>
          <w:cantSplit/>
        </w:trPr>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When</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Action</w:t>
            </w:r>
          </w:p>
        </w:tc>
        <w:tc>
          <w:tcPr>
            <w:tcW w:type="dxa" w:w="3485"/>
            <w:shd w:fill="17365D"/>
            <w:tcMar>
              <w:top w:w="60" w:type="dxa"/>
              <w:start w:w="90" w:type="dxa"/>
              <w:bottom w:w="60" w:type="dxa"/>
              <w:end w:w="90" w:type="dxa"/>
            </w:tcMar>
            <w:vAlign w:val="center"/>
          </w:tcPr>
          <w:p>
            <w:pPr>
              <w:spacing w:before="0" w:after="0" w:line="240" w:lineRule="auto"/>
            </w:pPr>
            <w:r>
              <w:rPr>
                <w:rFonts w:ascii="Aptos" w:hAnsi="Aptos"/>
                <w:b/>
                <w:color w:val="FFFFFF"/>
                <w:sz w:val="16"/>
              </w:rPr>
              <w:t>Output</w:t>
            </w:r>
          </w:p>
        </w:tc>
      </w:tr>
      <w:tr>
        <w:trPr>
          <w:cantSplit/>
        </w:trPr>
        <w:tc>
          <w:tcPr>
            <w:tcW w:type="dxa" w:w="1584"/>
            <w:shd w:fill="FFFFFF"/>
            <w:tcMar>
              <w:top w:w="60" w:type="dxa"/>
              <w:start w:w="90" w:type="dxa"/>
              <w:bottom w:w="60" w:type="dxa"/>
              <w:end w:w="90" w:type="dxa"/>
            </w:tcMar>
            <w:vAlign w:val="center"/>
          </w:tcPr>
          <w:p>
            <w:pPr>
              <w:spacing w:before="0" w:after="0" w:line="240" w:lineRule="auto"/>
            </w:pPr>
            <w:r>
              <w:rPr>
                <w:rFonts w:ascii="Aptos" w:hAnsi="Aptos"/>
                <w:color w:val="1F2937"/>
                <w:sz w:val="16"/>
              </w:rPr>
              <w:t>Before launch</w:t>
            </w:r>
          </w:p>
        </w:tc>
        <w:tc>
          <w:tcPr>
            <w:tcW w:type="dxa" w:w="6264"/>
            <w:shd w:fill="FFFFFF"/>
            <w:tcMar>
              <w:top w:w="60" w:type="dxa"/>
              <w:start w:w="90" w:type="dxa"/>
              <w:bottom w:w="60" w:type="dxa"/>
              <w:end w:w="90" w:type="dxa"/>
            </w:tcMar>
            <w:vAlign w:val="center"/>
          </w:tcPr>
          <w:p>
            <w:pPr>
              <w:spacing w:before="0" w:after="0" w:line="240" w:lineRule="auto"/>
            </w:pPr>
            <w:r>
              <w:rPr>
                <w:rFonts w:ascii="Aptos" w:hAnsi="Aptos"/>
                <w:color w:val="1F2937"/>
                <w:sz w:val="16"/>
              </w:rPr>
              <w:t>Confirm seminar schedule/content, approved claims, registration process, accessibility, downstream offerings, attribution, and outreach/privacy boundaries</w:t>
            </w:r>
          </w:p>
        </w:tc>
        <w:tc>
          <w:tcPr>
            <w:tcW w:type="dxa" w:w="2448"/>
            <w:shd w:fill="FFFFFF"/>
            <w:tcMar>
              <w:top w:w="60" w:type="dxa"/>
              <w:start w:w="90" w:type="dxa"/>
              <w:bottom w:w="60" w:type="dxa"/>
              <w:end w:w="90" w:type="dxa"/>
            </w:tcMar>
            <w:vAlign w:val="center"/>
          </w:tcPr>
          <w:p>
            <w:pPr>
              <w:spacing w:before="0" w:after="0" w:line="240" w:lineRule="auto"/>
            </w:pPr>
            <w:r>
              <w:rPr>
                <w:rFonts w:ascii="Aptos" w:hAnsi="Aptos"/>
                <w:color w:val="1F2937"/>
                <w:sz w:val="16"/>
              </w:rPr>
              <w:t>Approved campaign brief and operating definitions</w:t>
            </w:r>
          </w:p>
        </w:tc>
      </w:tr>
      <w:tr>
        <w:trPr>
          <w:cantSplit/>
        </w:trPr>
        <w:tc>
          <w:tcPr>
            <w:tcW w:type="dxa" w:w="1584"/>
            <w:shd w:fill="F3F7F8"/>
            <w:tcMar>
              <w:top w:w="60" w:type="dxa"/>
              <w:start w:w="90" w:type="dxa"/>
              <w:bottom w:w="60" w:type="dxa"/>
              <w:end w:w="90" w:type="dxa"/>
            </w:tcMar>
            <w:vAlign w:val="center"/>
          </w:tcPr>
          <w:p>
            <w:pPr>
              <w:spacing w:before="0" w:after="0" w:line="240" w:lineRule="auto"/>
            </w:pPr>
            <w:r>
              <w:rPr>
                <w:rFonts w:ascii="Aptos" w:hAnsi="Aptos"/>
                <w:color w:val="1F2937"/>
                <w:sz w:val="16"/>
              </w:rPr>
              <w:t>Week 0</w:t>
            </w:r>
          </w:p>
        </w:tc>
        <w:tc>
          <w:tcPr>
            <w:tcW w:type="dxa" w:w="6264"/>
            <w:shd w:fill="F3F7F8"/>
            <w:tcMar>
              <w:top w:w="60" w:type="dxa"/>
              <w:start w:w="90" w:type="dxa"/>
              <w:bottom w:w="60" w:type="dxa"/>
              <w:end w:w="90" w:type="dxa"/>
            </w:tcMar>
            <w:vAlign w:val="center"/>
          </w:tcPr>
          <w:p>
            <w:pPr>
              <w:spacing w:before="0" w:after="0" w:line="240" w:lineRule="auto"/>
            </w:pPr>
            <w:r>
              <w:rPr>
                <w:rFonts w:ascii="Aptos" w:hAnsi="Aptos"/>
                <w:color w:val="1F2937"/>
                <w:sz w:val="16"/>
              </w:rPr>
              <w:t>Build partner queue, tracked source codes, message kit, dashboard baseline, reminder cadence, and backups</w:t>
            </w:r>
          </w:p>
        </w:tc>
        <w:tc>
          <w:tcPr>
            <w:tcW w:type="dxa" w:w="2448"/>
            <w:shd w:fill="F3F7F8"/>
            <w:tcMar>
              <w:top w:w="60" w:type="dxa"/>
              <w:start w:w="90" w:type="dxa"/>
              <w:bottom w:w="60" w:type="dxa"/>
              <w:end w:w="90" w:type="dxa"/>
            </w:tcMar>
            <w:vAlign w:val="center"/>
          </w:tcPr>
          <w:p>
            <w:pPr>
              <w:spacing w:before="0" w:after="0" w:line="240" w:lineRule="auto"/>
            </w:pPr>
            <w:r>
              <w:rPr>
                <w:rFonts w:ascii="Aptos" w:hAnsi="Aptos"/>
                <w:color w:val="1F2937"/>
                <w:sz w:val="16"/>
              </w:rPr>
              <w:t>Ready-to-run campaign with owners and dates</w:t>
            </w:r>
          </w:p>
        </w:tc>
      </w:tr>
      <w:tr>
        <w:trPr>
          <w:cantSplit/>
        </w:trPr>
        <w:tc>
          <w:tcPr>
            <w:tcW w:type="dxa" w:w="1584"/>
            <w:shd w:fill="FFFFFF"/>
            <w:tcMar>
              <w:top w:w="60" w:type="dxa"/>
              <w:start w:w="90" w:type="dxa"/>
              <w:bottom w:w="60" w:type="dxa"/>
              <w:end w:w="90" w:type="dxa"/>
            </w:tcMar>
            <w:vAlign w:val="center"/>
          </w:tcPr>
          <w:p>
            <w:pPr>
              <w:spacing w:before="0" w:after="0" w:line="240" w:lineRule="auto"/>
            </w:pPr>
            <w:r>
              <w:rPr>
                <w:rFonts w:ascii="Aptos" w:hAnsi="Aptos"/>
                <w:color w:val="1F2937"/>
                <w:sz w:val="16"/>
              </w:rPr>
              <w:t>Each week</w:t>
            </w:r>
          </w:p>
        </w:tc>
        <w:tc>
          <w:tcPr>
            <w:tcW w:type="dxa" w:w="6264"/>
            <w:shd w:fill="FFFFFF"/>
            <w:tcMar>
              <w:top w:w="60" w:type="dxa"/>
              <w:start w:w="90" w:type="dxa"/>
              <w:bottom w:w="60" w:type="dxa"/>
              <w:end w:w="90" w:type="dxa"/>
            </w:tcMar>
            <w:vAlign w:val="center"/>
          </w:tcPr>
          <w:p>
            <w:pPr>
              <w:spacing w:before="0" w:after="0" w:line="240" w:lineRule="auto"/>
            </w:pPr>
            <w:r>
              <w:rPr>
                <w:rFonts w:ascii="Aptos" w:hAnsi="Aptos"/>
                <w:color w:val="1F2937"/>
                <w:sz w:val="16"/>
              </w:rPr>
              <w:t>PLAN -&gt; RECRUIT -&gt; CONFIRM -&gt; EXECUTE -&gt; MEASURE -&gt; LEARN -&gt; ADJUST</w:t>
            </w:r>
          </w:p>
        </w:tc>
        <w:tc>
          <w:tcPr>
            <w:tcW w:type="dxa" w:w="2448"/>
            <w:shd w:fill="FFFFFF"/>
            <w:tcMar>
              <w:top w:w="60" w:type="dxa"/>
              <w:start w:w="90" w:type="dxa"/>
              <w:bottom w:w="60" w:type="dxa"/>
              <w:end w:w="90" w:type="dxa"/>
            </w:tcMar>
            <w:vAlign w:val="center"/>
          </w:tcPr>
          <w:p>
            <w:pPr>
              <w:spacing w:before="0" w:after="0" w:line="240" w:lineRule="auto"/>
            </w:pPr>
            <w:r>
              <w:rPr>
                <w:rFonts w:ascii="Aptos" w:hAnsi="Aptos"/>
                <w:color w:val="1F2937"/>
                <w:sz w:val="16"/>
              </w:rPr>
              <w:t>Twenty-or-more attendance decision loop</w:t>
            </w:r>
          </w:p>
        </w:tc>
      </w:tr>
      <w:tr>
        <w:trPr>
          <w:cantSplit/>
        </w:trPr>
        <w:tc>
          <w:tcPr>
            <w:tcW w:type="dxa" w:w="1584"/>
            <w:shd w:fill="F3F7F8"/>
            <w:tcMar>
              <w:top w:w="60" w:type="dxa"/>
              <w:start w:w="90" w:type="dxa"/>
              <w:bottom w:w="60" w:type="dxa"/>
              <w:end w:w="90" w:type="dxa"/>
            </w:tcMar>
            <w:vAlign w:val="center"/>
          </w:tcPr>
          <w:p>
            <w:pPr>
              <w:spacing w:before="0" w:after="0" w:line="240" w:lineRule="auto"/>
            </w:pPr>
            <w:r>
              <w:rPr>
                <w:rFonts w:ascii="Aptos" w:hAnsi="Aptos"/>
                <w:color w:val="1F2937"/>
                <w:sz w:val="16"/>
              </w:rPr>
              <w:t>After Week 8</w:t>
            </w:r>
          </w:p>
        </w:tc>
        <w:tc>
          <w:tcPr>
            <w:tcW w:type="dxa" w:w="6264"/>
            <w:shd w:fill="F3F7F8"/>
            <w:tcMar>
              <w:top w:w="60" w:type="dxa"/>
              <w:start w:w="90" w:type="dxa"/>
              <w:bottom w:w="60" w:type="dxa"/>
              <w:end w:w="90" w:type="dxa"/>
            </w:tcMar>
            <w:vAlign w:val="center"/>
          </w:tcPr>
          <w:p>
            <w:pPr>
              <w:spacing w:before="0" w:after="0" w:line="240" w:lineRule="auto"/>
            </w:pPr>
            <w:r>
              <w:rPr>
                <w:rFonts w:ascii="Aptos" w:hAnsi="Aptos"/>
                <w:color w:val="1F2937"/>
                <w:sz w:val="16"/>
              </w:rPr>
              <w:t>Reconcile weekly and cumulative outcomes, partner/channel learning, conversions, risks, and recommendations</w:t>
            </w:r>
          </w:p>
        </w:tc>
        <w:tc>
          <w:tcPr>
            <w:tcW w:type="dxa" w:w="2448"/>
            <w:shd w:fill="F3F7F8"/>
            <w:tcMar>
              <w:top w:w="60" w:type="dxa"/>
              <w:start w:w="90" w:type="dxa"/>
              <w:bottom w:w="60" w:type="dxa"/>
              <w:end w:w="90" w:type="dxa"/>
            </w:tcMar>
            <w:vAlign w:val="center"/>
          </w:tcPr>
          <w:p>
            <w:pPr>
              <w:spacing w:before="0" w:after="0" w:line="240" w:lineRule="auto"/>
            </w:pPr>
            <w:r>
              <w:rPr>
                <w:rFonts w:ascii="Aptos" w:hAnsi="Aptos"/>
                <w:color w:val="1F2937"/>
                <w:sz w:val="16"/>
              </w:rPr>
              <w:t>Auditable final report and repeatable playbook</w:t>
            </w:r>
          </w:p>
        </w:tc>
      </w:tr>
    </w:tbl>
    <w:p>
      <w:pPr>
        <w:pStyle w:val="Heading2"/>
        <w:spacing w:before="60" w:after="60" w:line="240" w:lineRule="auto"/>
        <w:keepNext/>
      </w:pPr>
      <w:r>
        <w:rPr>
          <w:rFonts w:ascii="Cambria" w:hAnsi="Cambria"/>
          <w:b/>
          <w:color w:val="17365D"/>
          <w:sz w:val="26"/>
        </w:rPr>
        <w:t>Two connected browser experiences</w:t>
      </w:r>
    </w:p>
    <w:p>
      <w:pPr>
        <w:spacing w:before="0" w:after="40" w:line="250" w:lineRule="auto"/>
      </w:pPr>
      <w:r>
        <w:t>1. Management Command Center</w:t>
      </w:r>
    </w:p>
    <w:p>
      <w:pPr>
        <w:spacing w:before="0" w:after="40" w:line="250" w:lineRule="auto"/>
      </w:pPr>
      <w:r>
        <w:t>Review weekly attendance, cumulative pace, channels, and follow-on conversion. The sample contains 183 attendances but misses Week 3, so the full eight-week objective is not achieved. The Week 4 forecast and recovery case shows how I would act on risk; estimated improvement is not a guarantee.</w:t>
      </w:r>
    </w:p>
    <w:p>
      <w:pPr>
        <w:spacing w:before="0" w:after="40" w:line="250" w:lineRule="auto"/>
      </w:pPr>
      <w:r>
        <w:t>2. Student Career Lab</w:t>
      </w:r>
    </w:p>
    <w:p>
      <w:pPr>
        <w:spacing w:before="0" w:after="60" w:line="250" w:lineRule="auto"/>
      </w:pPr>
      <w:r>
        <w:t>Work through Reflect, Practice, Check, Build, and Plan. Choose a community, career, or teaching scenario; review a sample AI response; explain a change; and download a takeaway with a realistic weekly plan. The website does not call a live AI service or certify completion.</w:t>
      </w:r>
    </w:p>
    <w:p>
      <w:pPr>
        <w:pStyle w:val="Heading2"/>
        <w:pageBreakBefore/>
      </w:pPr>
      <w:r>
        <w:rPr>
          <w:rFonts w:ascii="Cambria" w:hAnsi="Cambria"/>
          <w:b/>
          <w:color w:val="17365D"/>
          <w:sz w:val="26"/>
        </w:rPr>
        <w:t>How to review the prototype</w:t>
      </w:r>
    </w:p>
    <w:p>
      <w:r>
        <w:t>Start with the website; no account, installation, or notebook execution is required. This plan explains the strategy and ownership. The browser experience makes the decisions and student value tangible. The repository and notebooks provide inspectable methods and sample inputs.</w:t>
      </w:r>
    </w:p>
    <w:p>
      <w:hyperlink r:id="rId16">
        <w:r>
          <w:rPr>
            <w:color w:val="0563C1"/>
            <w:u w:val="single"/>
          </w:rPr>
          <w:t>1. Open the Management Command Center</w:t>
        </w:r>
      </w:hyperlink>
      <w:r>
        <w:t xml:space="preserve"> — select Week 3 to see the miss, then review the Week 4 recovery case and channel contribution.</w:t>
      </w:r>
    </w:p>
    <w:p>
      <w:hyperlink r:id="rId17">
        <w:r>
          <w:rPr>
            <w:color w:val="0563C1"/>
            <w:u w:val="single"/>
          </w:rPr>
          <w:t>2. Try the Student Career Lab</w:t>
        </w:r>
      </w:hyperlink>
      <w:r>
        <w:t xml:space="preserve"> — choose a scenario, complete the five review questions, then build and download a takeaway.</w:t>
      </w:r>
    </w:p>
    <w:p>
      <w:hyperlink r:id="rId11">
        <w:r>
          <w:rPr>
            <w:color w:val="0563C1"/>
            <w:u w:val="single"/>
          </w:rPr>
          <w:t>3. Review guide and supporting notebooks</w:t>
        </w:r>
      </w:hyperlink>
      <w:r>
        <w:t xml:space="preserve"> — optional Colab notebooks and a reproducible route into the code.</w:t>
      </w:r>
    </w:p>
    <w:p>
      <w:hyperlink r:id="rId18">
        <w:r>
          <w:rPr>
            <w:color w:val="0563C1"/>
            <w:u w:val="single"/>
          </w:rPr>
          <w:t>4. Sample data and configuration</w:t>
        </w:r>
      </w:hyperlink>
      <w:r>
        <w:t xml:space="preserve"> — the illustrative inputs; configuration is linked from the review guide.</w:t>
      </w:r>
    </w:p>
    <w:p>
      <w:hyperlink r:id="rId15">
        <w:r>
          <w:rPr>
            <w:color w:val="0563C1"/>
            <w:u w:val="single"/>
          </w:rPr>
          <w:t>5. Requirement traceability</w:t>
        </w:r>
      </w:hyperlink>
      <w:r>
        <w:t xml:space="preserve"> — what the prototype demonstrates and what remains a proposed live workflow.</w:t>
      </w:r>
    </w:p>
    <w:p>
      <w:r>
        <w:t>Access note: the public website contains sample data, not a live student campaign. The private RIT Shared Drive supports local and Colab testing; reviewers do not need access to it. No enrollment, outreach, monetization, or student tracking is triggered by visiting the website.</w:t>
      </w:r>
    </w:p>
    <w:p>
      <w:pPr>
        <w:pStyle w:val="Heading2"/>
        <w:spacing w:before="60" w:after="60" w:line="240" w:lineRule="auto"/>
        <w:keepNext/>
      </w:pPr>
      <w:r>
        <w:rPr>
          <w:rFonts w:ascii="Aptos Display" w:hAnsi="Aptos Display"/>
          <w:b/>
          <w:color w:val="17365D"/>
          <w:sz w:val="26"/>
        </w:rPr>
        <w:t>The weekly executive report stays concise</w:t>
      </w:r>
    </w:p>
    <w:p>
      <w:pPr>
        <w:spacing w:before="0" w:after="60" w:line="250" w:lineRule="auto"/>
      </w:pPr>
      <w:r>
        <w:rPr>
          <w:rFonts w:ascii="Aptos" w:hAnsi="Aptos"/>
          <w:b/>
          <w:i w:val="0"/>
          <w:color w:val="1F2937"/>
          <w:sz w:val="18"/>
        </w:rPr>
        <w:t>Result/forecast -&gt; main driver -&gt; current risk -&gt; action and owner -&gt; next decision gate/update.</w:t>
      </w:r>
    </w:p>
    <w:p>
      <w:pPr>
        <w:spacing w:before="0" w:after="40" w:line="250" w:lineRule="auto"/>
      </w:pPr>
      <w:r>
        <w:rPr>
          <w:rFonts w:ascii="Aptos" w:hAnsi="Aptos"/>
          <w:b w:val="0"/>
          <w:i w:val="0"/>
          <w:color w:val="1F2937"/>
          <w:sz w:val="18"/>
        </w:rPr>
        <w:t>This is how I will translate strong analysis into fast executive execution while preserving the evidence discipline SaNDAI expects.</w:t>
      </w:r>
    </w:p>
    <w:p>
      <w:pPr>
        <w:spacing w:before="0" w:after="0" w:line="250" w:lineRule="auto"/>
      </w:pPr>
      <w:r>
        <w:rPr>
          <w:rFonts w:ascii="Aptos" w:hAnsi="Aptos"/>
          <w:b w:val="0"/>
          <w:i/>
          <w:color w:val="4E5B6B"/>
          <w:sz w:val="16"/>
        </w:rPr>
        <w:t>Demonstration boundary: This case is hypothetical. All campaign and learner records are synthetic. Live implementation would begin only after SaNDAI approves the operating facts, outreach boundaries, conversion terms, collection method, consent language, access controls, retention, and student-support workflow.</w:t>
      </w:r>
    </w:p>
    <w:sectPr w:rsidR="00FC693F" w:rsidRPr="0006063C" w:rsidSect="00034616">
      <w:headerReference w:type="default" r:id="rId9"/>
      <w:footerReference w:type="default" r:id="rId10"/>
      <w:pgSz w:w="12240" w:h="15840"/>
      <w:pgMar w:top="691" w:right="893" w:bottom="691" w:left="893"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E5B6B"/>
        <w:sz w:val="16"/>
      </w:rPr>
      <w:t xml:space="preserve">SaNDAI 8-Week Seminar Growth Plan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E5B6B"/>
        <w:sz w:val="15"/>
      </w:rPr>
      <w:t>PITER GARCIA  |  SEPTEMBER 21,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zg8794/sandai-seminar-operations-demo/blob/main/START-HERE.md" TargetMode="External"/><Relationship Id="rId12" Type="http://schemas.openxmlformats.org/officeDocument/2006/relationships/hyperlink" Target="https://colab.research.google.com/github/pzg8794/sandai-seminar-operations-demo/blob/main/notebooks/Piter_Garcia_SaNDAI_Student_Seminar_Companion.ipynb" TargetMode="External"/><Relationship Id="rId13" Type="http://schemas.openxmlformats.org/officeDocument/2006/relationships/hyperlink" Target="https://colab.research.google.com/github/pzg8794/sandai-seminar-operations-demo/blob/main/notebooks/Piter_Garcia_SaNDAI_Management_Command_Center.ipynb" TargetMode="External"/><Relationship Id="rId14" Type="http://schemas.openxmlformats.org/officeDocument/2006/relationships/hyperlink" Target="https://github.com/pzg8794/sandai-seminar-operations-demo/tree/main/data" TargetMode="External"/><Relationship Id="rId15" Type="http://schemas.openxmlformats.org/officeDocument/2006/relationships/hyperlink" Target="https://github.com/pzg8794/sandai-seminar-operations-demo/blob/main/docs/REQUIREMENT_TRACEABILITY.md" TargetMode="External"/><Relationship Id="rId16" Type="http://schemas.openxmlformats.org/officeDocument/2006/relationships/hyperlink" Target="https://sandai-seminar-demo-qkpntto5ya-uc.a.run.app/#management" TargetMode="External"/><Relationship Id="rId17" Type="http://schemas.openxmlformats.org/officeDocument/2006/relationships/hyperlink" Target="https://sandai-seminar-demo-qkpntto5ya-uc.a.run.app/#student" TargetMode="External"/><Relationship Id="rId18" Type="http://schemas.openxmlformats.org/officeDocument/2006/relationships/hyperlink" Target="https://github.com/pzg8794/sandai-seminar-operations-demo/tree/main/data/synthetic" TargetMode="External"/><Relationship Id="rId19" Type="http://schemas.openxmlformats.org/officeDocument/2006/relationships/hyperlink" Target="https://sandai-seminar-demo-qkpntto5ya-uc.a.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