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outeLabel"/>
      </w:pPr>
      <w:r>
        <w:t>TEACHING PLACEMENT  |  MARKETING  |  PHASE 2</w:t>
      </w:r>
    </w:p>
    <w:p>
      <w:pPr>
        <w:pStyle w:val="Title"/>
      </w:pPr>
      <w:r>
        <w:t>Chapter 2 Evidence Informed Class Customized Teacher Guide</w:t>
      </w:r>
    </w:p>
    <w:p>
      <w:pPr>
        <w:spacing w:after="60"/>
      </w:pPr>
      <w:r>
        <w:rPr>
          <w:b/>
          <w:color w:val="0F676C"/>
        </w:rPr>
        <w:t xml:space="preserve">Use  </w:t>
      </w:r>
      <w:r>
        <w:t>Open each block’s last stop; teach the next unfinished segment from its board cue. These nine source segments are not nine fixed class periods.</w:t>
      </w:r>
    </w:p>
    <w:p>
      <w:pPr>
        <w:spacing w:after="60"/>
      </w:pPr>
      <w:r>
        <w:rPr>
          <w:b/>
          <w:color w:val="0F676C"/>
        </w:rPr>
        <w:t xml:space="preserve">First check  </w:t>
      </w:r>
      <w:r>
        <w:t>Confirm textbook access and only SBTE-authorized notes or Terms. Keep a backup source view. Do not announce unconfirmed Teams work, dates, quiz scope or graded tasks.</w:t>
      </w:r>
    </w:p>
    <w:tbl>
      <w:tblPr>
        <w:tblW w:type="auto" w:w="0"/>
        <w:jc w:val="center"/>
        <w:tblLook w:firstColumn="1" w:firstRow="1" w:lastColumn="0" w:lastRow="0" w:noHBand="0" w:noVBand="1" w:val="04A0"/>
      </w:tblPr>
      <w:tblGrid>
        <w:gridCol w:w="10166"/>
      </w:tblGrid>
      <w:tr>
        <w:tc>
          <w:tcPr>
            <w:tcW w:type="dxa" w:w="10166"/>
            <w:shd w:fill="EAF3F2"/>
            <w:tcMar>
              <w:top w:w="85" w:type="dxa"/>
              <w:left w:w="100" w:type="dxa"/>
              <w:bottom w:w="75" w:type="dxa"/>
              <w:right w:w="100" w:type="dxa"/>
            </w:tcMar>
          </w:tcPr>
          <w:p>
            <w:r>
              <w:rPr>
                <w:b/>
                <w:color w:val="1E3045"/>
                <w:sz w:val="21"/>
              </w:rPr>
              <w:t>Teaching move: cue the reading -&gt; students read and attempt -&gt; ask for source evidence -&gt; then name or model the concept -&gt; check each student response.</w:t>
            </w:r>
          </w:p>
        </w:tc>
      </w:tr>
    </w:tbl>
    <w:p>
      <w:pPr>
        <w:spacing w:after="0"/>
      </w:pPr>
    </w:p>
    <w:p>
      <w:pPr>
        <w:pStyle w:val="Heading1"/>
      </w:pPr>
      <w:r>
        <w:t>What stays from Chapter 1</w:t>
      </w:r>
    </w:p>
    <w:p>
      <w:pPr>
        <w:spacing w:after="60"/>
      </w:pPr>
      <w:r>
        <w:rPr>
          <w:b/>
          <w:color w:val="0F676C"/>
        </w:rPr>
        <w:t xml:space="preserve">Keep  </w:t>
      </w:r>
      <w:r>
        <w:t>Visible agenda/materials, attendance, brief opener, small notes chunk, reading, discussion, incremental Terms, aligned review and a separate stop for each block.</w:t>
      </w:r>
    </w:p>
    <w:p>
      <w:pPr>
        <w:spacing w:after="60"/>
      </w:pPr>
      <w:r>
        <w:rPr>
          <w:b/>
          <w:color w:val="0F676C"/>
        </w:rPr>
        <w:t xml:space="preserve">Protect  </w:t>
      </w:r>
      <w:r>
        <w:t>Prompts may orient but must not give the reading answer, case solution or term before students read and try.</w:t>
      </w:r>
    </w:p>
    <w:p>
      <w:pPr>
        <w:spacing w:after="60"/>
      </w:pPr>
      <w:r>
        <w:rPr>
          <w:b/>
          <w:color w:val="0F676C"/>
        </w:rPr>
        <w:t xml:space="preserve">Pace  </w:t>
      </w:r>
      <w:r>
        <w:t>Opener: roughly 3–5 minutes. If still applicable, Block 1 may use a bounded arrival/retrieval bridge; Block 5 need not. Carry unfinished reading forward rather than claiming completion.</w:t>
      </w:r>
    </w:p>
    <w:p>
      <w:pPr>
        <w:pStyle w:val="Heading1"/>
      </w:pPr>
      <w:r>
        <w:t>What the evidence changed</w:t>
      </w:r>
    </w:p>
    <w:p>
      <w:pPr>
        <w:spacing w:after="60"/>
      </w:pPr>
      <w:r>
        <w:rPr>
          <w:b/>
          <w:color w:val="0F676C"/>
        </w:rPr>
        <w:t xml:space="preserve">Participation  </w:t>
      </w:r>
      <w:r>
        <w:t>After think or point-to-text time, scan and sample beyond first volunteers. Do not equate speaking willingness with learning.</w:t>
      </w:r>
    </w:p>
    <w:p>
      <w:pPr>
        <w:spacing w:after="60"/>
      </w:pPr>
      <w:r>
        <w:rPr>
          <w:b/>
          <w:color w:val="0F676C"/>
        </w:rPr>
        <w:t xml:space="preserve">Explanation  </w:t>
      </w:r>
      <w:r>
        <w:t>Prior presentations show both precise examples and incomplete evidence → decision → goal links. Ask for that link; model after a first attempt. Concise accurate answers count.</w:t>
      </w:r>
    </w:p>
    <w:p>
      <w:pPr>
        <w:spacing w:after="60"/>
      </w:pPr>
      <w:r>
        <w:rPr>
          <w:b/>
          <w:color w:val="0F676C"/>
        </w:rPr>
        <w:t xml:space="preserve">Access  </w:t>
      </w:r>
      <w:r>
        <w:t>Check whether the barrier is page access, directions, vocabulary or concept. Support the barrier without changing the content target.</w:t>
      </w:r>
    </w:p>
    <w:p>
      <w:pPr>
        <w:pStyle w:val="Heading1"/>
      </w:pPr>
      <w:r>
        <w:t>The chapter route</w:t>
      </w:r>
    </w:p>
    <w:p>
      <w:pPr>
        <w:spacing w:after="60"/>
      </w:pPr>
      <w:r>
        <w:rPr>
          <w:b/>
          <w:color w:val="0F676C"/>
        </w:rPr>
        <w:t xml:space="preserve">Read in order  </w:t>
      </w:r>
      <w:r>
        <w:t>pp. 17–18 marketing plan; 19–20 plan elements and PEST; 20–21 SMART; 22–23 milestones and research; 24 profile/competition; 25 positioning, mix, execution and budget; 26 metrics, appendix and case; 27 review and options.</w:t>
      </w:r>
    </w:p>
    <w:p>
      <w:pPr>
        <w:spacing w:after="60"/>
      </w:pPr>
      <w:r>
        <w:rPr>
          <w:b/>
          <w:color w:val="0F676C"/>
        </w:rPr>
        <w:t xml:space="preserve">Terms in encounter order  </w:t>
      </w:r>
      <w:r>
        <w:t>marketing plan -&gt; PEST analysis -&gt; SMART goal -&gt; customer profile -&gt; metrics -&gt; bibliography. Keep the book’s SMART wording: Specific, Measurable, Achievable, Results-focused, Time-bound. If the card format is confirmed, each card has term, accurate definition and a meaningful illustration that does not give away the answer.</w:t>
      </w:r>
    </w:p>
    <w:p>
      <w:pPr>
        <w:spacing w:after="60"/>
      </w:pPr>
      <w:r>
        <w:rPr>
          <w:b/>
          <w:color w:val="0F676C"/>
        </w:rPr>
        <w:t xml:space="preserve">Warner/UofR lens  </w:t>
      </w:r>
      <w:r>
        <w:t>One common goal; short directions; oral, written or pointing responses; process model after attempt; quick check to plan next lesson. These are our improvements, not SBTE rules.</w:t>
      </w:r>
    </w:p>
    <w:p>
      <w:r>
        <w:br w:type="page"/>
      </w:r>
    </w:p>
    <w:p>
      <w:pPr>
        <w:pStyle w:val="RouteLabel"/>
      </w:pPr>
      <w:r>
        <w:t>TEACHING SEGMENT 01  |  PRINTED PP. 17–18  |  CHAPTER OPENING AND CREATING A MARKETING PLAN</w:t>
      </w:r>
    </w:p>
    <w:p>
      <w:pPr>
        <w:pStyle w:val="Heading1"/>
      </w:pPr>
      <w:r>
        <w:t>Why make a marketing plan</w:t>
      </w:r>
    </w:p>
    <w:p>
      <w:pPr>
        <w:spacing w:after="60"/>
      </w:pPr>
      <w:r>
        <w:rPr>
          <w:b/>
          <w:color w:val="0F676C"/>
        </w:rPr>
        <w:t xml:space="preserve">Learning target  </w:t>
      </w:r>
      <w:r>
        <w:t>Explain what a marketing plan guides and why planning happens before action.</w:t>
      </w:r>
    </w:p>
    <w:tbl>
      <w:tblPr>
        <w:tblW w:type="auto" w:w="0"/>
        <w:jc w:val="center"/>
        <w:tblLook w:firstColumn="1" w:firstRow="1" w:lastColumn="0" w:lastRow="0" w:noHBand="0" w:noVBand="1" w:val="04A0"/>
      </w:tblPr>
      <w:tblGrid>
        <w:gridCol w:w="10166"/>
      </w:tblGrid>
      <w:tr>
        <w:tc>
          <w:tcPr>
            <w:tcW w:type="dxa" w:w="10166"/>
            <w:shd w:fill="EAF3F2"/>
            <w:tcMar>
              <w:top w:w="85" w:type="dxa"/>
              <w:left w:w="100" w:type="dxa"/>
              <w:bottom w:w="75" w:type="dxa"/>
              <w:right w:w="100" w:type="dxa"/>
            </w:tcMar>
          </w:tcPr>
          <w:p>
            <w:r>
              <w:rPr>
                <w:b/>
                <w:color w:val="1E3045"/>
                <w:sz w:val="21"/>
              </w:rPr>
              <w:t>ON THE BOARD  Today: Why plan before marketing?  Open p. 18.  Show one decision and one way to judge it later.</w:t>
            </w:r>
          </w:p>
        </w:tc>
      </w:tr>
    </w:tbl>
    <w:p>
      <w:pPr>
        <w:spacing w:after="0"/>
      </w:pPr>
    </w:p>
    <w:p>
      <w:pPr>
        <w:spacing w:after="60"/>
      </w:pPr>
      <w:r>
        <w:rPr>
          <w:b/>
          <w:color w:val="0F676C"/>
        </w:rPr>
        <w:t xml:space="preserve">Ask first  </w:t>
      </w:r>
      <w:r>
        <w:t>Ask: “A business has a new product. What must it decide before the first ad?” Take two different ideas; record them without naming the textbook term.</w:t>
      </w:r>
    </w:p>
    <w:p>
      <w:pPr>
        <w:spacing w:after="60"/>
      </w:pPr>
      <w:r>
        <w:rPr>
          <w:b/>
          <w:color w:val="0F676C"/>
        </w:rPr>
        <w:t xml:space="preserve">Students read and do  </w:t>
      </w:r>
      <w:r>
        <w:t>Students read p. 18. Ask them to mark one decision the plan guides and one reason planning comes before action. Let a pair compare page evidence, then invite two different responses.</w:t>
      </w:r>
    </w:p>
    <w:p>
      <w:pPr>
        <w:spacing w:after="60"/>
      </w:pPr>
      <w:r>
        <w:rPr>
          <w:b/>
          <w:color w:val="0F676C"/>
        </w:rPr>
        <w:t xml:space="preserve">Hold back  </w:t>
      </w:r>
      <w:r>
        <w:t>Do not display a finished marketing plan or the textbook definition before the first reading and response.</w:t>
      </w:r>
    </w:p>
    <w:p>
      <w:pPr>
        <w:spacing w:after="60"/>
      </w:pPr>
      <w:r>
        <w:rPr>
          <w:b/>
          <w:color w:val="0F676C"/>
        </w:rPr>
        <w:t xml:space="preserve">After their attempt  </w:t>
      </w:r>
      <w:r>
        <w:t>Name marketing plan after students explain the roadmap idea. Model how to turn one marked sentence into a reason, without completing their answer. If the Terms format is approved, model its first card: term, accurate definition, meaningful non-answer image.</w:t>
      </w:r>
    </w:p>
    <w:p>
      <w:pPr>
        <w:spacing w:after="60"/>
      </w:pPr>
      <w:r>
        <w:rPr>
          <w:b/>
          <w:color w:val="0F676C"/>
        </w:rPr>
        <w:t xml:space="preserve">Quick evidence  </w:t>
      </w:r>
      <w:r>
        <w:t>“What choice might the business change, and how would it know whether the change helped?” Listen for a decision plus a way to evaluate it, not “make an ad” alone.</w:t>
      </w:r>
    </w:p>
    <w:p>
      <w:pPr>
        <w:spacing w:after="60"/>
      </w:pPr>
      <w:r>
        <w:rPr>
          <w:b/>
          <w:color w:val="0F676C"/>
        </w:rPr>
        <w:t xml:space="preserve">If understanding is weak  </w:t>
      </w:r>
      <w:r>
        <w:t>If students cannot start, point to the first two p. 18 paragraphs and ask “what does the plan guide?” Accept a spoken, written, or pointed claim with evidence.</w:t>
      </w:r>
    </w:p>
    <w:p>
      <w:pPr>
        <w:spacing w:after="60"/>
      </w:pPr>
      <w:r>
        <w:rPr>
          <w:b/>
          <w:color w:val="0F676C"/>
        </w:rPr>
        <w:t xml:space="preserve">If ready to extend  </w:t>
      </w:r>
      <w:r>
        <w:t>Change one assumption, such as price. Ask what part of the plan may need revisiting and why.</w:t>
      </w:r>
    </w:p>
    <w:p>
      <w:pPr>
        <w:pStyle w:val="RouteLabel"/>
        <w:spacing w:before="80"/>
      </w:pPr>
      <w:r>
        <w:t>CLASS ROUTES</w:t>
      </w:r>
    </w:p>
    <w:tbl>
      <w:tblPr>
        <w:tblW w:type="auto" w:w="0"/>
        <w:jc w:val="center"/>
        <w:tblLayout w:type="fixed"/>
        <w:tblLook w:firstColumn="1" w:firstRow="1" w:lastColumn="0" w:lastRow="0" w:noHBand="0" w:noVBand="1" w:val="04A0"/>
      </w:tblPr>
      <w:tblGrid>
        <w:gridCol w:w="1253"/>
        <w:gridCol w:w="8856"/>
      </w:tblGrid>
      <w:tr>
        <w:tc>
          <w:tcPr>
            <w:tcW w:type="dxa" w:w="5083"/>
            <w:vAlign w:val="center"/>
            <w:shd w:fill="EAF3F2"/>
            <w:tcMar>
              <w:top w:w="65" w:type="dxa"/>
              <w:left w:w="80" w:type="dxa"/>
              <w:bottom w:w="65" w:type="dxa"/>
              <w:right w:w="80" w:type="dxa"/>
            </w:tcMar>
          </w:tcPr>
          <w:p>
            <w:pPr>
              <w:spacing w:after="0"/>
            </w:pPr>
            <w:r>
              <w:rPr>
                <w:b/>
                <w:color w:val="0F676C"/>
                <w:sz w:val="20"/>
              </w:rPr>
              <w:t>BLOCK 1</w:t>
            </w:r>
          </w:p>
        </w:tc>
        <w:tc>
          <w:tcPr>
            <w:tcW w:type="dxa" w:w="5083"/>
            <w:vAlign w:val="center"/>
            <w:shd w:fill="F4F6F7"/>
            <w:tcMar>
              <w:top w:w="65" w:type="dxa"/>
              <w:left w:w="80" w:type="dxa"/>
              <w:bottom w:w="65" w:type="dxa"/>
              <w:right w:w="80" w:type="dxa"/>
            </w:tcMar>
          </w:tcPr>
          <w:p>
            <w:pPr>
              <w:spacing w:after="0"/>
            </w:pPr>
            <w:r>
              <w:rPr>
                <w:color w:val="1E3045"/>
                <w:sz w:val="20"/>
              </w:rPr>
              <w:t>If the current arrival arrangement still applies, use the first bounded minutes for prior-chapter retrieval and attendance; begin new p. 18 reading after the bridge. Invite one response from outside the first volunteers.</w:t>
            </w:r>
          </w:p>
        </w:tc>
      </w:tr>
      <w:tr>
        <w:tc>
          <w:tcPr>
            <w:tcW w:type="dxa" w:w="5083"/>
            <w:vAlign w:val="center"/>
            <w:shd w:fill="EAF3F2"/>
            <w:tcMar>
              <w:top w:w="65" w:type="dxa"/>
              <w:left w:w="80" w:type="dxa"/>
              <w:bottom w:w="65" w:type="dxa"/>
              <w:right w:w="80" w:type="dxa"/>
            </w:tcMar>
          </w:tcPr>
          <w:p>
            <w:pPr>
              <w:spacing w:after="0"/>
            </w:pPr>
            <w:r>
              <w:rPr>
                <w:b/>
                <w:color w:val="0F676C"/>
                <w:sz w:val="20"/>
              </w:rPr>
              <w:t>BLOCK 5</w:t>
            </w:r>
          </w:p>
        </w:tc>
        <w:tc>
          <w:tcPr>
            <w:tcW w:type="dxa" w:w="5083"/>
            <w:vAlign w:val="center"/>
            <w:shd w:fill="F4F6F7"/>
            <w:tcMar>
              <w:top w:w="65" w:type="dxa"/>
              <w:left w:w="80" w:type="dxa"/>
              <w:bottom w:w="65" w:type="dxa"/>
              <w:right w:w="80" w:type="dxa"/>
            </w:tcMar>
          </w:tcPr>
          <w:p>
            <w:pPr>
              <w:spacing w:after="0"/>
            </w:pPr>
            <w:r>
              <w:rPr>
                <w:color w:val="1E3045"/>
                <w:sz w:val="20"/>
              </w:rPr>
              <w:t>Use the regular brief opener and begin p. 18 promptly. Shared route otherwise; no general ability/pacing difference is established.</w:t>
            </w:r>
          </w:p>
        </w:tc>
      </w:tr>
    </w:tbl>
    <w:p>
      <w:pPr>
        <w:spacing w:after="0"/>
      </w:pPr>
    </w:p>
    <w:p>
      <w:pPr>
        <w:spacing w:after="0"/>
      </w:pPr>
      <w:r>
        <w:rPr>
          <w:b/>
          <w:color w:val="0F676C"/>
        </w:rPr>
        <w:t xml:space="preserve">Stop and restart  </w:t>
      </w:r>
      <w:r>
        <w:t>Record last p. 18 paragraph reached; whether first term card was modeled; any unfinished response.</w:t>
      </w:r>
    </w:p>
    <w:p>
      <w:r>
        <w:br w:type="page"/>
      </w:r>
    </w:p>
    <w:p>
      <w:pPr>
        <w:pStyle w:val="RouteLabel"/>
      </w:pPr>
      <w:r>
        <w:t>TEACHING SEGMENT 02  |  PRINTED PP. 19–20  |  PLAN ELEMENTS, ENVIRONMENTAL ANALYSIS, FIGURE 2.1</w:t>
      </w:r>
    </w:p>
    <w:p>
      <w:pPr>
        <w:pStyle w:val="Heading1"/>
      </w:pPr>
      <w:r>
        <w:t>Plan elements and outside conditions</w:t>
      </w:r>
    </w:p>
    <w:p>
      <w:pPr>
        <w:spacing w:after="60"/>
      </w:pPr>
      <w:r>
        <w:rPr>
          <w:b/>
          <w:color w:val="0F676C"/>
        </w:rPr>
        <w:t xml:space="preserve">Learning target  </w:t>
      </w:r>
      <w:r>
        <w:t>Separate a business-controlled choice from an external condition; use PEST to organize the latter.</w:t>
      </w:r>
    </w:p>
    <w:tbl>
      <w:tblPr>
        <w:tblW w:type="auto" w:w="0"/>
        <w:jc w:val="center"/>
        <w:tblLook w:firstColumn="1" w:firstRow="1" w:lastColumn="0" w:lastRow="0" w:noHBand="0" w:noVBand="1" w:val="04A0"/>
      </w:tblPr>
      <w:tblGrid>
        <w:gridCol w:w="10166"/>
      </w:tblGrid>
      <w:tr>
        <w:tc>
          <w:tcPr>
            <w:tcW w:type="dxa" w:w="10166"/>
            <w:shd w:fill="EAF3F2"/>
            <w:tcMar>
              <w:top w:w="85" w:type="dxa"/>
              <w:left w:w="100" w:type="dxa"/>
              <w:bottom w:w="75" w:type="dxa"/>
              <w:right w:w="100" w:type="dxa"/>
            </w:tcMar>
          </w:tcPr>
          <w:p>
            <w:r>
              <w:rPr>
                <w:b/>
                <w:color w:val="1E3045"/>
                <w:sz w:val="21"/>
              </w:rPr>
              <w:t>ON THE BOARD  Today: What can a business control?  Read p. 19 to Figure 2.1.  Mark one internal and one external influence.</w:t>
            </w:r>
          </w:p>
        </w:tc>
      </w:tr>
    </w:tbl>
    <w:p>
      <w:pPr>
        <w:spacing w:after="0"/>
      </w:pPr>
    </w:p>
    <w:p>
      <w:pPr>
        <w:spacing w:after="60"/>
      </w:pPr>
      <w:r>
        <w:rPr>
          <w:b/>
          <w:color w:val="0F676C"/>
        </w:rPr>
        <w:t xml:space="preserve">Ask first  </w:t>
      </w:r>
      <w:r>
        <w:t>Retrieve the p. 18 roadmap. Offer only two unlabeled situations: a posting schedule and a change in technology. Ask who controls each.</w:t>
      </w:r>
    </w:p>
    <w:p>
      <w:pPr>
        <w:spacing w:after="60"/>
      </w:pPr>
      <w:r>
        <w:rPr>
          <w:b/>
          <w:color w:val="0F676C"/>
        </w:rPr>
        <w:t xml:space="preserve">Students read and do  </w:t>
      </w:r>
      <w:r>
        <w:t>Students read p. 19 through Figure 2.1 on p. 20. Individually mark an internal influence and an external influence; partners justify each from the page.</w:t>
      </w:r>
    </w:p>
    <w:p>
      <w:pPr>
        <w:spacing w:after="60"/>
      </w:pPr>
      <w:r>
        <w:rPr>
          <w:b/>
          <w:color w:val="0F676C"/>
        </w:rPr>
        <w:t xml:space="preserve">Hold back  </w:t>
      </w:r>
      <w:r>
        <w:t>Keep PEST labels and a completed four-box scan hidden until students have read the figure.</w:t>
      </w:r>
    </w:p>
    <w:p>
      <w:pPr>
        <w:spacing w:after="60"/>
      </w:pPr>
      <w:r>
        <w:rPr>
          <w:b/>
          <w:color w:val="0F676C"/>
        </w:rPr>
        <w:t xml:space="preserve">After their attempt  </w:t>
      </w:r>
      <w:r>
        <w:t>Reveal PEST analysis and its political, economic, social, technological categories. Place a student-selected external example in the appropriate category and explain why. Add the next Terms card if the format is confirmed.</w:t>
      </w:r>
    </w:p>
    <w:p>
      <w:pPr>
        <w:spacing w:after="60"/>
      </w:pPr>
      <w:r>
        <w:rPr>
          <w:b/>
          <w:color w:val="0F676C"/>
        </w:rPr>
        <w:t xml:space="preserve">Quick evidence  </w:t>
      </w:r>
      <w:r>
        <w:t>“Is a business’s posting schedule controlled the same way as a technology change? Which source line or figure supports you?” Look for control plus category.</w:t>
      </w:r>
    </w:p>
    <w:p>
      <w:pPr>
        <w:spacing w:after="60"/>
      </w:pPr>
      <w:r>
        <w:rPr>
          <w:b/>
          <w:color w:val="0F676C"/>
        </w:rPr>
        <w:t xml:space="preserve">If understanding is weak  </w:t>
      </w:r>
      <w:r>
        <w:t>If the distinction is weak, ask “can the company decide it today?” Point back to the environmental-analysis paragraph, then retry with a fresh condition.</w:t>
      </w:r>
    </w:p>
    <w:p>
      <w:pPr>
        <w:spacing w:after="60"/>
      </w:pPr>
      <w:r>
        <w:rPr>
          <w:b/>
          <w:color w:val="0F676C"/>
        </w:rPr>
        <w:t xml:space="preserve">If ready to extend  </w:t>
      </w:r>
      <w:r>
        <w:t>Ask what a business might change in its own plan when one external condition shifts.</w:t>
      </w:r>
    </w:p>
    <w:p>
      <w:pPr>
        <w:pStyle w:val="RouteLabel"/>
        <w:spacing w:before="80"/>
      </w:pPr>
      <w:r>
        <w:t>CLASS ROUTES</w:t>
      </w:r>
    </w:p>
    <w:tbl>
      <w:tblPr>
        <w:tblW w:type="auto" w:w="0"/>
        <w:jc w:val="center"/>
        <w:tblLayout w:type="fixed"/>
        <w:tblLook w:firstColumn="1" w:firstRow="1" w:lastColumn="0" w:lastRow="0" w:noHBand="0" w:noVBand="1" w:val="04A0"/>
      </w:tblPr>
      <w:tblGrid>
        <w:gridCol w:w="1253"/>
        <w:gridCol w:w="8856"/>
      </w:tblGrid>
      <w:tr>
        <w:tc>
          <w:tcPr>
            <w:tcW w:type="dxa" w:w="5083"/>
            <w:vAlign w:val="center"/>
            <w:shd w:fill="EAF3F2"/>
            <w:tcMar>
              <w:top w:w="65" w:type="dxa"/>
              <w:left w:w="80" w:type="dxa"/>
              <w:bottom w:w="65" w:type="dxa"/>
              <w:right w:w="80" w:type="dxa"/>
            </w:tcMar>
          </w:tcPr>
          <w:p>
            <w:pPr>
              <w:spacing w:after="0"/>
            </w:pPr>
            <w:r>
              <w:rPr>
                <w:b/>
                <w:color w:val="0F676C"/>
                <w:sz w:val="20"/>
              </w:rPr>
              <w:t>BLOCK 1</w:t>
            </w:r>
          </w:p>
        </w:tc>
        <w:tc>
          <w:tcPr>
            <w:tcW w:type="dxa" w:w="5083"/>
            <w:vAlign w:val="center"/>
            <w:shd w:fill="F4F6F7"/>
            <w:tcMar>
              <w:top w:w="65" w:type="dxa"/>
              <w:left w:w="80" w:type="dxa"/>
              <w:bottom w:w="65" w:type="dxa"/>
              <w:right w:w="80" w:type="dxa"/>
            </w:tcMar>
          </w:tcPr>
          <w:p>
            <w:pPr>
              <w:spacing w:after="0"/>
            </w:pPr>
            <w:r>
              <w:rPr>
                <w:color w:val="1E3045"/>
                <w:sz w:val="20"/>
              </w:rPr>
              <w:t>Shared academic route. If arrival is still in progress, use prior-term retrieval first; do not shorten Figure 2.1 reading to catch up.</w:t>
            </w:r>
          </w:p>
        </w:tc>
      </w:tr>
      <w:tr>
        <w:tc>
          <w:tcPr>
            <w:tcW w:type="dxa" w:w="5083"/>
            <w:vAlign w:val="center"/>
            <w:shd w:fill="EAF3F2"/>
            <w:tcMar>
              <w:top w:w="65" w:type="dxa"/>
              <w:left w:w="80" w:type="dxa"/>
              <w:bottom w:w="65" w:type="dxa"/>
              <w:right w:w="80" w:type="dxa"/>
            </w:tcMar>
          </w:tcPr>
          <w:p>
            <w:pPr>
              <w:spacing w:after="0"/>
            </w:pPr>
            <w:r>
              <w:rPr>
                <w:b/>
                <w:color w:val="0F676C"/>
                <w:sz w:val="20"/>
              </w:rPr>
              <w:t>BLOCK 5</w:t>
            </w:r>
          </w:p>
        </w:tc>
        <w:tc>
          <w:tcPr>
            <w:tcW w:type="dxa" w:w="5083"/>
            <w:vAlign w:val="center"/>
            <w:shd w:fill="F4F6F7"/>
            <w:tcMar>
              <w:top w:w="65" w:type="dxa"/>
              <w:left w:w="80" w:type="dxa"/>
              <w:bottom w:w="65" w:type="dxa"/>
              <w:right w:w="80" w:type="dxa"/>
            </w:tcMar>
          </w:tcPr>
          <w:p>
            <w:pPr>
              <w:spacing w:after="0"/>
            </w:pPr>
            <w:r>
              <w:rPr>
                <w:color w:val="1E3045"/>
                <w:sz w:val="20"/>
              </w:rPr>
              <w:t>Shared route — no class-specific adaptation currently justified. Keep its own actual stop.</w:t>
            </w:r>
          </w:p>
        </w:tc>
      </w:tr>
    </w:tbl>
    <w:p>
      <w:pPr>
        <w:spacing w:after="0"/>
      </w:pPr>
    </w:p>
    <w:p>
      <w:pPr>
        <w:spacing w:after="0"/>
      </w:pPr>
      <w:r>
        <w:rPr>
          <w:b/>
          <w:color w:val="0F676C"/>
        </w:rPr>
        <w:t xml:space="preserve">Stop and restart  </w:t>
      </w:r>
      <w:r>
        <w:t>Record whether Figure 2.1 was read and which internal/external examples were justified.</w:t>
      </w:r>
    </w:p>
    <w:p>
      <w:r>
        <w:br w:type="page"/>
      </w:r>
    </w:p>
    <w:p>
      <w:pPr>
        <w:pStyle w:val="RouteLabel"/>
      </w:pPr>
      <w:r>
        <w:t>TEACHING SEGMENT 03  |  PRINTED P. 20 MARKETING STRATEGY AND P. 21 FIGURE 2.2</w:t>
      </w:r>
    </w:p>
    <w:p>
      <w:pPr>
        <w:pStyle w:val="Heading1"/>
      </w:pPr>
      <w:r>
        <w:t>Set a SMART goal</w:t>
      </w:r>
    </w:p>
    <w:p>
      <w:pPr>
        <w:spacing w:after="60"/>
      </w:pPr>
      <w:r>
        <w:rPr>
          <w:b/>
          <w:color w:val="0F676C"/>
        </w:rPr>
        <w:t xml:space="preserve">Learning target  </w:t>
      </w:r>
      <w:r>
        <w:t>Improve a vague goal using the textbook’s five SMART components and show how success could be checked.</w:t>
      </w:r>
    </w:p>
    <w:tbl>
      <w:tblPr>
        <w:tblW w:type="auto" w:w="0"/>
        <w:jc w:val="center"/>
        <w:tblLook w:firstColumn="1" w:firstRow="1" w:lastColumn="0" w:lastRow="0" w:noHBand="0" w:noVBand="1" w:val="04A0"/>
      </w:tblPr>
      <w:tblGrid>
        <w:gridCol w:w="10166"/>
      </w:tblGrid>
      <w:tr>
        <w:tc>
          <w:tcPr>
            <w:tcW w:type="dxa" w:w="10166"/>
            <w:shd w:fill="EAF3F2"/>
            <w:tcMar>
              <w:top w:w="85" w:type="dxa"/>
              <w:left w:w="100" w:type="dxa"/>
              <w:bottom w:w="75" w:type="dxa"/>
              <w:right w:w="100" w:type="dxa"/>
            </w:tcMar>
          </w:tcPr>
          <w:p>
            <w:r>
              <w:rPr>
                <w:b/>
                <w:color w:val="1E3045"/>
                <w:sz w:val="21"/>
              </w:rPr>
              <w:t>ON THE BOARD  Today: What would make “sell more” checkable?  Read pp. 20–21.  Revise a goal after the figure.</w:t>
            </w:r>
          </w:p>
        </w:tc>
      </w:tr>
    </w:tbl>
    <w:p>
      <w:pPr>
        <w:spacing w:after="0"/>
      </w:pPr>
    </w:p>
    <w:p>
      <w:pPr>
        <w:spacing w:after="60"/>
      </w:pPr>
      <w:r>
        <w:rPr>
          <w:b/>
          <w:color w:val="0F676C"/>
        </w:rPr>
        <w:t xml:space="preserve">Ask first  </w:t>
      </w:r>
      <w:r>
        <w:t>Write only “sell more.” Ask what information is missing before students see the acronym. Collect the questions, not a finished goal.</w:t>
      </w:r>
    </w:p>
    <w:p>
      <w:pPr>
        <w:spacing w:after="60"/>
      </w:pPr>
      <w:r>
        <w:rPr>
          <w:b/>
          <w:color w:val="0F676C"/>
        </w:rPr>
        <w:t xml:space="preserve">Students read and do  </w:t>
      </w:r>
      <w:r>
        <w:t>Students read the Marketing Strategy and Sales and Marketing Goals sections and Figure 2.2. Have them label each SMART component from the book, including Results-focused.</w:t>
      </w:r>
    </w:p>
    <w:p>
      <w:pPr>
        <w:spacing w:after="60"/>
      </w:pPr>
      <w:r>
        <w:rPr>
          <w:b/>
          <w:color w:val="0F676C"/>
        </w:rPr>
        <w:t xml:space="preserve">Hold back  </w:t>
      </w:r>
      <w:r>
        <w:t>Do not put a completed SMART example or substitute “Relevant” for Results-focused on the board before source inspection.</w:t>
      </w:r>
    </w:p>
    <w:p>
      <w:pPr>
        <w:spacing w:after="60"/>
      </w:pPr>
      <w:r>
        <w:rPr>
          <w:b/>
          <w:color w:val="0F676C"/>
        </w:rPr>
        <w:t xml:space="preserve">After their attempt  </w:t>
      </w:r>
      <w:r>
        <w:t>Ask pairs to revise “sell more” with a quantity/result and a deadline, then compare to the five book criteria. Model one revision only if their first attempt is incomplete.</w:t>
      </w:r>
    </w:p>
    <w:p>
      <w:pPr>
        <w:spacing w:after="60"/>
      </w:pPr>
      <w:r>
        <w:rPr>
          <w:b/>
          <w:color w:val="0F676C"/>
        </w:rPr>
        <w:t xml:space="preserve">Quick evidence  </w:t>
      </w:r>
      <w:r>
        <w:t>“What number or other result and what date would prove this goal was reached?” Listen for checkable evidence, realistic scope, and the exact acronym.</w:t>
      </w:r>
    </w:p>
    <w:p>
      <w:pPr>
        <w:spacing w:after="60"/>
      </w:pPr>
      <w:r>
        <w:rPr>
          <w:b/>
          <w:color w:val="0F676C"/>
        </w:rPr>
        <w:t xml:space="preserve">If understanding is weak  </w:t>
      </w:r>
      <w:r>
        <w:t>Offer a partial frame only after attempt: “By [date], our business will [result] from [starting point] to [target].” Ask students to supply the business choice.</w:t>
      </w:r>
    </w:p>
    <w:p>
      <w:pPr>
        <w:spacing w:after="60"/>
      </w:pPr>
      <w:r>
        <w:rPr>
          <w:b/>
          <w:color w:val="0F676C"/>
        </w:rPr>
        <w:t xml:space="preserve">If ready to extend  </w:t>
      </w:r>
      <w:r>
        <w:t>Ask whether a goal remains achievable when a PEST factor changes, and what evidence would justify revision.</w:t>
      </w:r>
    </w:p>
    <w:p>
      <w:pPr>
        <w:pStyle w:val="RouteLabel"/>
        <w:spacing w:before="80"/>
      </w:pPr>
      <w:r>
        <w:t>CLASS ROUTES</w:t>
      </w:r>
    </w:p>
    <w:tbl>
      <w:tblPr>
        <w:tblW w:type="auto" w:w="0"/>
        <w:jc w:val="center"/>
        <w:tblLayout w:type="fixed"/>
        <w:tblLook w:firstColumn="1" w:firstRow="1" w:lastColumn="0" w:lastRow="0" w:noHBand="0" w:noVBand="1" w:val="04A0"/>
      </w:tblPr>
      <w:tblGrid>
        <w:gridCol w:w="1253"/>
        <w:gridCol w:w="8856"/>
      </w:tblGrid>
      <w:tr>
        <w:tc>
          <w:tcPr>
            <w:tcW w:type="dxa" w:w="5083"/>
            <w:vAlign w:val="center"/>
            <w:shd w:fill="EAF3F2"/>
            <w:tcMar>
              <w:top w:w="65" w:type="dxa"/>
              <w:left w:w="80" w:type="dxa"/>
              <w:bottom w:w="65" w:type="dxa"/>
              <w:right w:w="80" w:type="dxa"/>
            </w:tcMar>
          </w:tcPr>
          <w:p>
            <w:pPr>
              <w:spacing w:after="0"/>
            </w:pPr>
            <w:r>
              <w:rPr>
                <w:b/>
                <w:color w:val="0F676C"/>
                <w:sz w:val="20"/>
              </w:rPr>
              <w:t>BLOCK 1</w:t>
            </w:r>
          </w:p>
        </w:tc>
        <w:tc>
          <w:tcPr>
            <w:tcW w:type="dxa" w:w="5083"/>
            <w:vAlign w:val="center"/>
            <w:shd w:fill="F4F6F7"/>
            <w:tcMar>
              <w:top w:w="65" w:type="dxa"/>
              <w:left w:w="80" w:type="dxa"/>
              <w:bottom w:w="65" w:type="dxa"/>
              <w:right w:w="80" w:type="dxa"/>
            </w:tcMar>
          </w:tcPr>
          <w:p>
            <w:pPr>
              <w:spacing w:after="0"/>
            </w:pPr>
            <w:r>
              <w:rPr>
                <w:color w:val="1E3045"/>
                <w:sz w:val="20"/>
              </w:rPr>
              <w:t>If answers jump from an action to profit, ask whose want the action addresses and what business result will be measured. This is a conditional check from prior presentation evidence, not a fixed Block 1 need.</w:t>
            </w:r>
          </w:p>
        </w:tc>
      </w:tr>
      <w:tr>
        <w:tc>
          <w:tcPr>
            <w:tcW w:type="dxa" w:w="5083"/>
            <w:vAlign w:val="center"/>
            <w:shd w:fill="EAF3F2"/>
            <w:tcMar>
              <w:top w:w="65" w:type="dxa"/>
              <w:left w:w="80" w:type="dxa"/>
              <w:bottom w:w="65" w:type="dxa"/>
              <w:right w:w="80" w:type="dxa"/>
            </w:tcMar>
          </w:tcPr>
          <w:p>
            <w:pPr>
              <w:spacing w:after="0"/>
            </w:pPr>
            <w:r>
              <w:rPr>
                <w:b/>
                <w:color w:val="0F676C"/>
                <w:sz w:val="20"/>
              </w:rPr>
              <w:t>BLOCK 5</w:t>
            </w:r>
          </w:p>
        </w:tc>
        <w:tc>
          <w:tcPr>
            <w:tcW w:type="dxa" w:w="5083"/>
            <w:vAlign w:val="center"/>
            <w:shd w:fill="F4F6F7"/>
            <w:tcMar>
              <w:top w:w="65" w:type="dxa"/>
              <w:left w:w="80" w:type="dxa"/>
              <w:bottom w:w="65" w:type="dxa"/>
              <w:right w:w="80" w:type="dxa"/>
            </w:tcMar>
          </w:tcPr>
          <w:p>
            <w:pPr>
              <w:spacing w:after="0"/>
            </w:pPr>
            <w:r>
              <w:rPr>
                <w:color w:val="1E3045"/>
                <w:sz w:val="20"/>
              </w:rPr>
              <w:t>Shared SMART route — no distinct whole-class need is established. Ask the same customer/result question if responses show a gap.</w:t>
            </w:r>
          </w:p>
        </w:tc>
      </w:tr>
    </w:tbl>
    <w:p>
      <w:pPr>
        <w:spacing w:after="0"/>
      </w:pPr>
    </w:p>
    <w:p>
      <w:pPr>
        <w:spacing w:after="0"/>
      </w:pPr>
      <w:r>
        <w:rPr>
          <w:b/>
          <w:color w:val="0F676C"/>
        </w:rPr>
        <w:t xml:space="preserve">Stop and restart  </w:t>
      </w:r>
      <w:r>
        <w:t>Record the last section/Figure 2.2 reached and whether students produced a checkable revision.</w:t>
      </w:r>
    </w:p>
    <w:p>
      <w:r>
        <w:br w:type="page"/>
      </w:r>
    </w:p>
    <w:p>
      <w:pPr>
        <w:pStyle w:val="RouteLabel"/>
      </w:pPr>
      <w:r>
        <w:t>TEACHING SEGMENT 04  |  PRINTED PP. 22–23  |  FOUR MILESTONE STEPS, MARKET RESEARCH, TARGET MARKET</w:t>
      </w:r>
    </w:p>
    <w:p>
      <w:pPr>
        <w:pStyle w:val="Heading1"/>
      </w:pPr>
      <w:r>
        <w:t>Milestones and customer evidence</w:t>
      </w:r>
    </w:p>
    <w:p>
      <w:pPr>
        <w:spacing w:after="60"/>
      </w:pPr>
      <w:r>
        <w:rPr>
          <w:b/>
          <w:color w:val="0F676C"/>
        </w:rPr>
        <w:t xml:space="preserve">Learning target  </w:t>
      </w:r>
      <w:r>
        <w:t>Break a goal into monitored milestones and explain how research supports a target-market choice.</w:t>
      </w:r>
    </w:p>
    <w:tbl>
      <w:tblPr>
        <w:tblW w:type="auto" w:w="0"/>
        <w:jc w:val="center"/>
        <w:tblLook w:firstColumn="1" w:firstRow="1" w:lastColumn="0" w:lastRow="0" w:noHBand="0" w:noVBand="1" w:val="04A0"/>
      </w:tblPr>
      <w:tblGrid>
        <w:gridCol w:w="10166"/>
      </w:tblGrid>
      <w:tr>
        <w:tc>
          <w:tcPr>
            <w:tcW w:type="dxa" w:w="10166"/>
            <w:shd w:fill="EAF3F2"/>
            <w:tcMar>
              <w:top w:w="85" w:type="dxa"/>
              <w:left w:w="100" w:type="dxa"/>
              <w:bottom w:w="75" w:type="dxa"/>
              <w:right w:w="100" w:type="dxa"/>
            </w:tcMar>
          </w:tcPr>
          <w:p>
            <w:r>
              <w:rPr>
                <w:b/>
                <w:color w:val="1E3045"/>
                <w:sz w:val="21"/>
              </w:rPr>
              <w:t>ON THE BOARD  Today: Which smaller steps show progress?  Read pp. 22–23.  Mark a measure and a customer-data question.</w:t>
            </w:r>
          </w:p>
        </w:tc>
      </w:tr>
    </w:tbl>
    <w:p>
      <w:pPr>
        <w:spacing w:after="0"/>
      </w:pPr>
    </w:p>
    <w:p>
      <w:pPr>
        <w:spacing w:after="60"/>
      </w:pPr>
      <w:r>
        <w:rPr>
          <w:b/>
          <w:color w:val="0F676C"/>
        </w:rPr>
        <w:t xml:space="preserve">Ask first  </w:t>
      </w:r>
      <w:r>
        <w:t>Retrieve one student-created SMART goal. Ask what must happen before the final result; record suggestions without supplying the four-step list.</w:t>
      </w:r>
    </w:p>
    <w:p>
      <w:pPr>
        <w:spacing w:after="60"/>
      </w:pPr>
      <w:r>
        <w:rPr>
          <w:b/>
          <w:color w:val="0F676C"/>
        </w:rPr>
        <w:t xml:space="preserve">Students read and do  </w:t>
      </w:r>
      <w:r>
        <w:t>Read p. 22 steps 1–3 and p. 23 step 4, then Market Research and Target Market. Students mark one measurement, one reason to re-evaluate, and one customer-data question.</w:t>
      </w:r>
    </w:p>
    <w:p>
      <w:pPr>
        <w:spacing w:after="60"/>
      </w:pPr>
      <w:r>
        <w:rPr>
          <w:b/>
          <w:color w:val="0F676C"/>
        </w:rPr>
        <w:t xml:space="preserve">Hold back  </w:t>
      </w:r>
      <w:r>
        <w:t>Do not show a completed milestone timeline or the target group before students locate evidence and propose one.</w:t>
      </w:r>
    </w:p>
    <w:p>
      <w:pPr>
        <w:spacing w:after="60"/>
      </w:pPr>
      <w:r>
        <w:rPr>
          <w:b/>
          <w:color w:val="0F676C"/>
        </w:rPr>
        <w:t xml:space="preserve">After their attempt  </w:t>
      </w:r>
      <w:r>
        <w:t>Model how a milestone has an action, date and check. Ask pairs to suggest two steps toward their own goal and one kind of customer information that would affect the plan.</w:t>
      </w:r>
    </w:p>
    <w:p>
      <w:pPr>
        <w:spacing w:after="60"/>
      </w:pPr>
      <w:r>
        <w:rPr>
          <w:b/>
          <w:color w:val="0F676C"/>
        </w:rPr>
        <w:t xml:space="preserve">Quick evidence  </w:t>
      </w:r>
      <w:r>
        <w:t>“If the first milestone is missed, what evidence would you inspect, and what might you change?” Listen for measurement followed by re-evaluation, not a guess about motivation.</w:t>
      </w:r>
    </w:p>
    <w:p>
      <w:pPr>
        <w:spacing w:after="60"/>
      </w:pPr>
      <w:r>
        <w:rPr>
          <w:b/>
          <w:color w:val="0F676C"/>
        </w:rPr>
        <w:t xml:space="preserve">If understanding is weak  </w:t>
      </w:r>
      <w:r>
        <w:t>Point to p. 22 step headings; ask students to pair “step” with “how will we know?” Use a spoken or written response.</w:t>
      </w:r>
    </w:p>
    <w:p>
      <w:pPr>
        <w:spacing w:after="60"/>
      </w:pPr>
      <w:r>
        <w:rPr>
          <w:b/>
          <w:color w:val="0F676C"/>
        </w:rPr>
        <w:t xml:space="preserve">If ready to extend  </w:t>
      </w:r>
      <w:r>
        <w:t>Ask how a different customer group would alter the research question or the milestones.</w:t>
      </w:r>
    </w:p>
    <w:p>
      <w:pPr>
        <w:pStyle w:val="RouteLabel"/>
        <w:spacing w:before="80"/>
      </w:pPr>
      <w:r>
        <w:t>CLASS ROUTES</w:t>
      </w:r>
    </w:p>
    <w:tbl>
      <w:tblPr>
        <w:tblW w:type="auto" w:w="0"/>
        <w:jc w:val="center"/>
        <w:tblLayout w:type="fixed"/>
        <w:tblLook w:firstColumn="1" w:firstRow="1" w:lastColumn="0" w:lastRow="0" w:noHBand="0" w:noVBand="1" w:val="04A0"/>
      </w:tblPr>
      <w:tblGrid>
        <w:gridCol w:w="1253"/>
        <w:gridCol w:w="8856"/>
      </w:tblGrid>
      <w:tr>
        <w:tc>
          <w:tcPr>
            <w:tcW w:type="dxa" w:w="5083"/>
            <w:vAlign w:val="center"/>
            <w:shd w:fill="EAF3F2"/>
            <w:tcMar>
              <w:top w:w="65" w:type="dxa"/>
              <w:left w:w="80" w:type="dxa"/>
              <w:bottom w:w="65" w:type="dxa"/>
              <w:right w:w="80" w:type="dxa"/>
            </w:tcMar>
          </w:tcPr>
          <w:p>
            <w:pPr>
              <w:spacing w:after="0"/>
            </w:pPr>
            <w:r>
              <w:rPr>
                <w:b/>
                <w:color w:val="0F676C"/>
                <w:sz w:val="20"/>
              </w:rPr>
              <w:t>BLOCK 1</w:t>
            </w:r>
          </w:p>
        </w:tc>
        <w:tc>
          <w:tcPr>
            <w:tcW w:type="dxa" w:w="5083"/>
            <w:vAlign w:val="center"/>
            <w:shd w:fill="F4F6F7"/>
            <w:tcMar>
              <w:top w:w="65" w:type="dxa"/>
              <w:left w:w="80" w:type="dxa"/>
              <w:bottom w:w="65" w:type="dxa"/>
              <w:right w:w="80" w:type="dxa"/>
            </w:tcMar>
          </w:tcPr>
          <w:p>
            <w:pPr>
              <w:spacing w:after="0"/>
            </w:pPr>
            <w:r>
              <w:rPr>
                <w:color w:val="1E3045"/>
                <w:sz w:val="20"/>
              </w:rPr>
              <w:t>Optional familiar scenario from class evidence: a sports-shoe buyer comparing cushioning. Ask what preference data would guide the target group; use only after students propose their own research question.</w:t>
            </w:r>
          </w:p>
        </w:tc>
      </w:tr>
      <w:tr>
        <w:tc>
          <w:tcPr>
            <w:tcW w:type="dxa" w:w="5083"/>
            <w:vAlign w:val="center"/>
            <w:shd w:fill="EAF3F2"/>
            <w:tcMar>
              <w:top w:w="65" w:type="dxa"/>
              <w:left w:w="80" w:type="dxa"/>
              <w:bottom w:w="65" w:type="dxa"/>
              <w:right w:w="80" w:type="dxa"/>
            </w:tcMar>
          </w:tcPr>
          <w:p>
            <w:pPr>
              <w:spacing w:after="0"/>
            </w:pPr>
            <w:r>
              <w:rPr>
                <w:b/>
                <w:color w:val="0F676C"/>
                <w:sz w:val="20"/>
              </w:rPr>
              <w:t>BLOCK 5</w:t>
            </w:r>
          </w:p>
        </w:tc>
        <w:tc>
          <w:tcPr>
            <w:tcW w:type="dxa" w:w="5083"/>
            <w:vAlign w:val="center"/>
            <w:shd w:fill="F4F6F7"/>
            <w:tcMar>
              <w:top w:w="65" w:type="dxa"/>
              <w:left w:w="80" w:type="dxa"/>
              <w:bottom w:w="65" w:type="dxa"/>
              <w:right w:w="80" w:type="dxa"/>
            </w:tcMar>
          </w:tcPr>
          <w:p>
            <w:pPr>
              <w:spacing w:after="0"/>
            </w:pPr>
            <w:r>
              <w:rPr>
                <w:color w:val="1E3045"/>
                <w:sz w:val="20"/>
              </w:rPr>
              <w:t>Optional familiar scenario from class evidence: a store buying in bulk versus a person buying one item. Ask whether both belong in the same target group and what evidence would decide; do not assume the whole block shares this insight.</w:t>
            </w:r>
          </w:p>
        </w:tc>
      </w:tr>
    </w:tbl>
    <w:p>
      <w:pPr>
        <w:spacing w:after="0"/>
      </w:pPr>
    </w:p>
    <w:p>
      <w:pPr>
        <w:spacing w:after="0"/>
      </w:pPr>
      <w:r>
        <w:rPr>
          <w:b/>
          <w:color w:val="0F676C"/>
        </w:rPr>
        <w:t xml:space="preserve">Stop and restart  </w:t>
      </w:r>
      <w:r>
        <w:t>Record the exact milestone step and p. 23 heading reached; carry any unread portion forward.</w:t>
      </w:r>
    </w:p>
    <w:p>
      <w:r>
        <w:br w:type="page"/>
      </w:r>
    </w:p>
    <w:p>
      <w:pPr>
        <w:pStyle w:val="RouteLabel"/>
      </w:pPr>
      <w:r>
        <w:t>TEACHING SEGMENT 05  |  PRINTED P. 24  |  CUSTOMER PROFILE AND COMPETITIVE ANALYSIS</w:t>
      </w:r>
    </w:p>
    <w:p>
      <w:pPr>
        <w:pStyle w:val="Heading1"/>
      </w:pPr>
      <w:r>
        <w:t>Customer profile and competition</w:t>
      </w:r>
    </w:p>
    <w:p>
      <w:pPr>
        <w:spacing w:after="60"/>
      </w:pPr>
      <w:r>
        <w:rPr>
          <w:b/>
          <w:color w:val="0F676C"/>
        </w:rPr>
        <w:t xml:space="preserve">Learning target  </w:t>
      </w:r>
      <w:r>
        <w:t>Distinguish a target-market group from a report about a typical customer, then identify a useful competitor question.</w:t>
      </w:r>
    </w:p>
    <w:tbl>
      <w:tblPr>
        <w:tblW w:type="auto" w:w="0"/>
        <w:jc w:val="center"/>
        <w:tblLook w:firstColumn="1" w:firstRow="1" w:lastColumn="0" w:lastRow="0" w:noHBand="0" w:noVBand="1" w:val="04A0"/>
      </w:tblPr>
      <w:tblGrid>
        <w:gridCol w:w="10166"/>
      </w:tblGrid>
      <w:tr>
        <w:tc>
          <w:tcPr>
            <w:tcW w:type="dxa" w:w="10166"/>
            <w:shd w:fill="EAF3F2"/>
            <w:tcMar>
              <w:top w:w="85" w:type="dxa"/>
              <w:left w:w="100" w:type="dxa"/>
              <w:bottom w:w="75" w:type="dxa"/>
              <w:right w:w="100" w:type="dxa"/>
            </w:tcMar>
          </w:tcPr>
          <w:p>
            <w:r>
              <w:rPr>
                <w:b/>
                <w:color w:val="1E3045"/>
                <w:sz w:val="21"/>
              </w:rPr>
              <w:t>ON THE BOARD  Today: Group or typical customer?  Read p. 24.  Find one customer detail and one competitor question.</w:t>
            </w:r>
          </w:p>
        </w:tc>
      </w:tr>
    </w:tbl>
    <w:p>
      <w:pPr>
        <w:spacing w:after="0"/>
      </w:pPr>
    </w:p>
    <w:p>
      <w:pPr>
        <w:spacing w:after="60"/>
      </w:pPr>
      <w:r>
        <w:rPr>
          <w:b/>
          <w:color w:val="0F676C"/>
        </w:rPr>
        <w:t xml:space="preserve">Ask first  </w:t>
      </w:r>
      <w:r>
        <w:t>Ask students to recall the target market on p. 23. “Would a marketer need to know more than the group name?” Let them suggest useful details.</w:t>
      </w:r>
    </w:p>
    <w:p>
      <w:pPr>
        <w:spacing w:after="60"/>
      </w:pPr>
      <w:r>
        <w:rPr>
          <w:b/>
          <w:color w:val="0F676C"/>
        </w:rPr>
        <w:t xml:space="preserve">Students read and do  </w:t>
      </w:r>
      <w:r>
        <w:t>Students read both p. 24 sections. Have them underline what a customer profile reports and circle one question a competitive analysis asks.</w:t>
      </w:r>
    </w:p>
    <w:p>
      <w:pPr>
        <w:spacing w:after="60"/>
      </w:pPr>
      <w:r>
        <w:rPr>
          <w:b/>
          <w:color w:val="0F676C"/>
        </w:rPr>
        <w:t xml:space="preserve">Hold back  </w:t>
      </w:r>
      <w:r>
        <w:t>Do not put a completed fictional profile on the board before reading; avoid using students’ personal details as data.</w:t>
      </w:r>
    </w:p>
    <w:p>
      <w:pPr>
        <w:spacing w:after="60"/>
      </w:pPr>
      <w:r>
        <w:rPr>
          <w:b/>
          <w:color w:val="0F676C"/>
        </w:rPr>
        <w:t xml:space="preserve">After their attempt  </w:t>
      </w:r>
      <w:r>
        <w:t>Name customer profile as the next Terms card. With a fictional product, invite one profile detail and one competitor question; ask why each changes a decision.</w:t>
      </w:r>
    </w:p>
    <w:p>
      <w:pPr>
        <w:spacing w:after="60"/>
      </w:pPr>
      <w:r>
        <w:rPr>
          <w:b/>
          <w:color w:val="0F676C"/>
        </w:rPr>
        <w:t xml:space="preserve">Quick evidence  </w:t>
      </w:r>
      <w:r>
        <w:t>“Which is the group, and which is a report about a typical member? What would you compare with a competitor?” Listen for the distinction and a decision-relevant question.</w:t>
      </w:r>
    </w:p>
    <w:p>
      <w:pPr>
        <w:spacing w:after="60"/>
      </w:pPr>
      <w:r>
        <w:rPr>
          <w:b/>
          <w:color w:val="0F676C"/>
        </w:rPr>
        <w:t xml:space="preserve">If understanding is weak  </w:t>
      </w:r>
      <w:r>
        <w:t>Place the two textbook headings side by side. Ask students to point to the sentence that defines each before they speak or write.</w:t>
      </w:r>
    </w:p>
    <w:p>
      <w:pPr>
        <w:spacing w:after="60"/>
      </w:pPr>
      <w:r>
        <w:rPr>
          <w:b/>
          <w:color w:val="0F676C"/>
        </w:rPr>
        <w:t xml:space="preserve">If ready to extend  </w:t>
      </w:r>
      <w:r>
        <w:t>Ask how a competitor strength could change product, price, place, or promotion without changing who the target market is.</w:t>
      </w:r>
    </w:p>
    <w:p>
      <w:pPr>
        <w:pStyle w:val="RouteLabel"/>
        <w:spacing w:before="80"/>
      </w:pPr>
      <w:r>
        <w:t>CLASS ROUTES</w:t>
      </w:r>
    </w:p>
    <w:tbl>
      <w:tblPr>
        <w:tblW w:type="auto" w:w="0"/>
        <w:jc w:val="center"/>
        <w:tblLayout w:type="fixed"/>
        <w:tblLook w:firstColumn="1" w:firstRow="1" w:lastColumn="0" w:lastRow="0" w:noHBand="0" w:noVBand="1" w:val="04A0"/>
      </w:tblPr>
      <w:tblGrid>
        <w:gridCol w:w="1253"/>
        <w:gridCol w:w="8856"/>
      </w:tblGrid>
      <w:tr>
        <w:tc>
          <w:tcPr>
            <w:tcW w:type="dxa" w:w="5083"/>
            <w:vAlign w:val="center"/>
            <w:shd w:fill="EAF3F2"/>
            <w:tcMar>
              <w:top w:w="65" w:type="dxa"/>
              <w:left w:w="80" w:type="dxa"/>
              <w:bottom w:w="65" w:type="dxa"/>
              <w:right w:w="80" w:type="dxa"/>
            </w:tcMar>
          </w:tcPr>
          <w:p>
            <w:pPr>
              <w:spacing w:after="0"/>
            </w:pPr>
            <w:r>
              <w:rPr>
                <w:b/>
                <w:color w:val="0F676C"/>
                <w:sz w:val="20"/>
              </w:rPr>
              <w:t>BLOCK 1</w:t>
            </w:r>
          </w:p>
        </w:tc>
        <w:tc>
          <w:tcPr>
            <w:tcW w:type="dxa" w:w="5083"/>
            <w:vAlign w:val="center"/>
            <w:shd w:fill="F4F6F7"/>
            <w:tcMar>
              <w:top w:w="65" w:type="dxa"/>
              <w:left w:w="80" w:type="dxa"/>
              <w:bottom w:w="65" w:type="dxa"/>
              <w:right w:w="80" w:type="dxa"/>
            </w:tcMar>
          </w:tcPr>
          <w:p>
            <w:pPr>
              <w:spacing w:after="0"/>
            </w:pPr>
            <w:r>
              <w:rPr>
                <w:color w:val="1E3045"/>
                <w:sz w:val="20"/>
              </w:rPr>
              <w:t>If responses list data but no use, ask “What would the business decide differently because of that detail?” This is a conditional follow-up informed by prior work.</w:t>
            </w:r>
          </w:p>
        </w:tc>
      </w:tr>
      <w:tr>
        <w:tc>
          <w:tcPr>
            <w:tcW w:type="dxa" w:w="5083"/>
            <w:vAlign w:val="center"/>
            <w:shd w:fill="EAF3F2"/>
            <w:tcMar>
              <w:top w:w="65" w:type="dxa"/>
              <w:left w:w="80" w:type="dxa"/>
              <w:bottom w:w="65" w:type="dxa"/>
              <w:right w:w="80" w:type="dxa"/>
            </w:tcMar>
          </w:tcPr>
          <w:p>
            <w:pPr>
              <w:spacing w:after="0"/>
            </w:pPr>
            <w:r>
              <w:rPr>
                <w:b/>
                <w:color w:val="0F676C"/>
                <w:sz w:val="20"/>
              </w:rPr>
              <w:t>BLOCK 5</w:t>
            </w:r>
          </w:p>
        </w:tc>
        <w:tc>
          <w:tcPr>
            <w:tcW w:type="dxa" w:w="5083"/>
            <w:vAlign w:val="center"/>
            <w:shd w:fill="F4F6F7"/>
            <w:tcMar>
              <w:top w:w="65" w:type="dxa"/>
              <w:left w:w="80" w:type="dxa"/>
              <w:bottom w:w="65" w:type="dxa"/>
              <w:right w:w="80" w:type="dxa"/>
            </w:tcMar>
          </w:tcPr>
          <w:p>
            <w:pPr>
              <w:spacing w:after="0"/>
            </w:pPr>
            <w:r>
              <w:rPr>
                <w:color w:val="1E3045"/>
                <w:sz w:val="20"/>
              </w:rPr>
              <w:t>Use the bulk-buyer/one-item-buyer contrast only as an optional example after student thinking; ask which typical buyer a profile would portray. Otherwise use the shared route.</w:t>
            </w:r>
          </w:p>
        </w:tc>
      </w:tr>
    </w:tbl>
    <w:p>
      <w:pPr>
        <w:spacing w:after="0"/>
      </w:pPr>
    </w:p>
    <w:p>
      <w:pPr>
        <w:spacing w:after="0"/>
      </w:pPr>
      <w:r>
        <w:rPr>
          <w:b/>
          <w:color w:val="0F676C"/>
        </w:rPr>
        <w:t xml:space="preserve">Stop and restart  </w:t>
      </w:r>
      <w:r>
        <w:t>Record whether both p. 24 sections were read and whether profile/competition distinction is secure.</w:t>
      </w:r>
    </w:p>
    <w:p>
      <w:r>
        <w:br w:type="page"/>
      </w:r>
    </w:p>
    <w:p>
      <w:pPr>
        <w:pStyle w:val="RouteLabel"/>
      </w:pPr>
      <w:r>
        <w:t>TEACHING SEGMENT 06  |  PRINTED P. 25  |  MARKETING MIX AND POSITIONING, EXECUTION PLAN, BUDGET</w:t>
      </w:r>
    </w:p>
    <w:p>
      <w:pPr>
        <w:pStyle w:val="Heading1"/>
      </w:pPr>
      <w:r>
        <w:t>Positioning and a workable plan</w:t>
      </w:r>
    </w:p>
    <w:p>
      <w:pPr>
        <w:spacing w:after="60"/>
      </w:pPr>
      <w:r>
        <w:rPr>
          <w:b/>
          <w:color w:val="0F676C"/>
        </w:rPr>
        <w:t xml:space="preserve">Learning target  </w:t>
      </w:r>
      <w:r>
        <w:t>Explain how the four Ps support a position, then distinguish planned action and budget from the strategy itself.</w:t>
      </w:r>
    </w:p>
    <w:tbl>
      <w:tblPr>
        <w:tblW w:type="auto" w:w="0"/>
        <w:jc w:val="center"/>
        <w:tblLook w:firstColumn="1" w:firstRow="1" w:lastColumn="0" w:lastRow="0" w:noHBand="0" w:noVBand="1" w:val="04A0"/>
      </w:tblPr>
      <w:tblGrid>
        <w:gridCol w:w="10166"/>
      </w:tblGrid>
      <w:tr>
        <w:tc>
          <w:tcPr>
            <w:tcW w:type="dxa" w:w="10166"/>
            <w:shd w:fill="EAF3F2"/>
            <w:tcMar>
              <w:top w:w="85" w:type="dxa"/>
              <w:left w:w="100" w:type="dxa"/>
              <w:bottom w:w="75" w:type="dxa"/>
              <w:right w:w="100" w:type="dxa"/>
            </w:tcMar>
          </w:tcPr>
          <w:p>
            <w:r>
              <w:rPr>
                <w:b/>
                <w:color w:val="1E3045"/>
                <w:sz w:val="21"/>
              </w:rPr>
              <w:t>ON THE BOARD  Today: What promise will customers notice?  Read p. 25.  Link one P, one action and one cost.</w:t>
            </w:r>
          </w:p>
        </w:tc>
      </w:tr>
    </w:tbl>
    <w:p>
      <w:pPr>
        <w:spacing w:after="0"/>
      </w:pPr>
    </w:p>
    <w:p>
      <w:pPr>
        <w:spacing w:after="60"/>
      </w:pPr>
      <w:r>
        <w:rPr>
          <w:b/>
          <w:color w:val="0F676C"/>
        </w:rPr>
        <w:t xml:space="preserve">Ask first  </w:t>
      </w:r>
      <w:r>
        <w:t>Retrieve the four Ps from Chapter 1 without reteaching them. Ask which decisions must fit a business’s intended customer and promise.</w:t>
      </w:r>
    </w:p>
    <w:p>
      <w:pPr>
        <w:spacing w:after="60"/>
      </w:pPr>
      <w:r>
        <w:rPr>
          <w:b/>
          <w:color w:val="0F676C"/>
        </w:rPr>
        <w:t xml:space="preserve">Students read and do  </w:t>
      </w:r>
      <w:r>
        <w:t>Students read all three p. 25 sections. They locate the book’s positioning example, then identify an action needed to deliver that promise and a budget consideration.</w:t>
      </w:r>
    </w:p>
    <w:p>
      <w:pPr>
        <w:spacing w:after="60"/>
      </w:pPr>
      <w:r>
        <w:rPr>
          <w:b/>
          <w:color w:val="0F676C"/>
        </w:rPr>
        <w:t xml:space="preserve">Hold back  </w:t>
      </w:r>
      <w:r>
        <w:t>Do not build a complete marketing mix for students or turn the p. 25 example into an assigned new project.</w:t>
      </w:r>
    </w:p>
    <w:p>
      <w:pPr>
        <w:spacing w:after="60"/>
      </w:pPr>
      <w:r>
        <w:rPr>
          <w:b/>
          <w:color w:val="0F676C"/>
        </w:rPr>
        <w:t xml:space="preserve">After their attempt  </w:t>
      </w:r>
      <w:r>
        <w:t>Use a short source check: “Which product or price choice fits that position? What must happen? What might it cost?” Model the difference among promise, execution and budget only after student responses.</w:t>
      </w:r>
    </w:p>
    <w:p>
      <w:pPr>
        <w:spacing w:after="60"/>
      </w:pPr>
      <w:r>
        <w:rPr>
          <w:b/>
          <w:color w:val="0F676C"/>
        </w:rPr>
        <w:t xml:space="preserve">Quick evidence  </w:t>
      </w:r>
      <w:r>
        <w:t>“Why is a slogan or position not yet an execution plan? Why does a budget matter?” Listen for specific action, resources and alignment with target customers.</w:t>
      </w:r>
    </w:p>
    <w:p>
      <w:pPr>
        <w:spacing w:after="60"/>
      </w:pPr>
      <w:r>
        <w:rPr>
          <w:b/>
          <w:color w:val="0F676C"/>
        </w:rPr>
        <w:t xml:space="preserve">If understanding is weak  </w:t>
      </w:r>
      <w:r>
        <w:t>Three prompts on the board after reading: “promise / action / cost.” Students may point to a sentence, say a link or write one line.</w:t>
      </w:r>
    </w:p>
    <w:p>
      <w:pPr>
        <w:spacing w:after="60"/>
      </w:pPr>
      <w:r>
        <w:rPr>
          <w:b/>
          <w:color w:val="0F676C"/>
        </w:rPr>
        <w:t xml:space="preserve">If ready to extend  </w:t>
      </w:r>
      <w:r>
        <w:t>Change one P and ask whether the promise still holds. Require a reason tied to the target market.</w:t>
      </w:r>
    </w:p>
    <w:p>
      <w:pPr>
        <w:pStyle w:val="RouteLabel"/>
        <w:spacing w:before="80"/>
      </w:pPr>
      <w:r>
        <w:t>CLASS ROUTES</w:t>
      </w:r>
    </w:p>
    <w:tbl>
      <w:tblPr>
        <w:tblW w:type="auto" w:w="0"/>
        <w:jc w:val="center"/>
        <w:tblLayout w:type="fixed"/>
        <w:tblLook w:firstColumn="1" w:firstRow="1" w:lastColumn="0" w:lastRow="0" w:noHBand="0" w:noVBand="1" w:val="04A0"/>
      </w:tblPr>
      <w:tblGrid>
        <w:gridCol w:w="1253"/>
        <w:gridCol w:w="8856"/>
      </w:tblGrid>
      <w:tr>
        <w:tc>
          <w:tcPr>
            <w:tcW w:type="dxa" w:w="5083"/>
            <w:vAlign w:val="center"/>
            <w:shd w:fill="EAF3F2"/>
            <w:tcMar>
              <w:top w:w="65" w:type="dxa"/>
              <w:left w:w="80" w:type="dxa"/>
              <w:bottom w:w="65" w:type="dxa"/>
              <w:right w:w="80" w:type="dxa"/>
            </w:tcMar>
          </w:tcPr>
          <w:p>
            <w:pPr>
              <w:spacing w:after="0"/>
            </w:pPr>
            <w:r>
              <w:rPr>
                <w:b/>
                <w:color w:val="0F676C"/>
                <w:sz w:val="20"/>
              </w:rPr>
              <w:t>BLOCK 1</w:t>
            </w:r>
          </w:p>
        </w:tc>
        <w:tc>
          <w:tcPr>
            <w:tcW w:type="dxa" w:w="5083"/>
            <w:vAlign w:val="center"/>
            <w:shd w:fill="F4F6F7"/>
            <w:tcMar>
              <w:top w:w="65" w:type="dxa"/>
              <w:left w:w="80" w:type="dxa"/>
              <w:bottom w:w="65" w:type="dxa"/>
              <w:right w:w="80" w:type="dxa"/>
            </w:tcMar>
          </w:tcPr>
          <w:p>
            <w:pPr>
              <w:spacing w:after="0"/>
            </w:pPr>
            <w:r>
              <w:rPr>
                <w:color w:val="1E3045"/>
                <w:sz w:val="20"/>
              </w:rPr>
              <w:t>Conditional check from prior work: distinguish the whole plan from one promotional action. Ask what the other steps must do and who wants the product.</w:t>
            </w:r>
          </w:p>
        </w:tc>
      </w:tr>
      <w:tr>
        <w:tc>
          <w:tcPr>
            <w:tcW w:type="dxa" w:w="5083"/>
            <w:vAlign w:val="center"/>
            <w:shd w:fill="EAF3F2"/>
            <w:tcMar>
              <w:top w:w="65" w:type="dxa"/>
              <w:left w:w="80" w:type="dxa"/>
              <w:bottom w:w="65" w:type="dxa"/>
              <w:right w:w="80" w:type="dxa"/>
            </w:tcMar>
          </w:tcPr>
          <w:p>
            <w:pPr>
              <w:spacing w:after="0"/>
            </w:pPr>
            <w:r>
              <w:rPr>
                <w:b/>
                <w:color w:val="0F676C"/>
                <w:sz w:val="20"/>
              </w:rPr>
              <w:t>BLOCK 5</w:t>
            </w:r>
          </w:p>
        </w:tc>
        <w:tc>
          <w:tcPr>
            <w:tcW w:type="dxa" w:w="5083"/>
            <w:vAlign w:val="center"/>
            <w:shd w:fill="F4F6F7"/>
            <w:tcMar>
              <w:top w:w="65" w:type="dxa"/>
              <w:left w:w="80" w:type="dxa"/>
              <w:bottom w:w="65" w:type="dxa"/>
              <w:right w:w="80" w:type="dxa"/>
            </w:tcMar>
          </w:tcPr>
          <w:p>
            <w:pPr>
              <w:spacing w:after="0"/>
            </w:pPr>
            <w:r>
              <w:rPr>
                <w:color w:val="1E3045"/>
                <w:sz w:val="20"/>
              </w:rPr>
              <w:t>Conditional check from prior work: contrast how a product reaches a buyer (place/channel) with how a message attracts that buyer (promotion). Make both links visible when a student reasons about them accurately.</w:t>
            </w:r>
          </w:p>
        </w:tc>
      </w:tr>
    </w:tbl>
    <w:p>
      <w:pPr>
        <w:spacing w:after="0"/>
      </w:pPr>
    </w:p>
    <w:p>
      <w:pPr>
        <w:spacing w:after="0"/>
      </w:pPr>
      <w:r>
        <w:rPr>
          <w:b/>
          <w:color w:val="0F676C"/>
        </w:rPr>
        <w:t xml:space="preserve">Stop and restart  </w:t>
      </w:r>
      <w:r>
        <w:t>Record whether positioning, execution and budget were all read, and which distinction needs revisiting.</w:t>
      </w:r>
    </w:p>
    <w:p>
      <w:r>
        <w:br w:type="page"/>
      </w:r>
    </w:p>
    <w:p>
      <w:pPr>
        <w:pStyle w:val="RouteLabel"/>
      </w:pPr>
      <w:r>
        <w:t>TEACHING SEGMENT 07  |  PRINTED P. 26  |  METRICS, APPENDIX, BIBLIOGRAPHY AND MARKET THIS</w:t>
      </w:r>
    </w:p>
    <w:p>
      <w:pPr>
        <w:pStyle w:val="Heading1"/>
      </w:pPr>
      <w:r>
        <w:t>Measure results and use sources</w:t>
      </w:r>
    </w:p>
    <w:p>
      <w:pPr>
        <w:spacing w:after="60"/>
      </w:pPr>
      <w:r>
        <w:rPr>
          <w:b/>
          <w:color w:val="0F676C"/>
        </w:rPr>
        <w:t xml:space="preserve">Learning target  </w:t>
      </w:r>
      <w:r>
        <w:t>Match a measure to a goal and distinguish support material from works referred to in the plan.</w:t>
      </w:r>
    </w:p>
    <w:tbl>
      <w:tblPr>
        <w:tblW w:type="auto" w:w="0"/>
        <w:jc w:val="center"/>
        <w:tblLook w:firstColumn="1" w:firstRow="1" w:lastColumn="0" w:lastRow="0" w:noHBand="0" w:noVBand="1" w:val="04A0"/>
      </w:tblPr>
      <w:tblGrid>
        <w:gridCol w:w="10166"/>
      </w:tblGrid>
      <w:tr>
        <w:tc>
          <w:tcPr>
            <w:tcW w:type="dxa" w:w="10166"/>
            <w:shd w:fill="EAF3F2"/>
            <w:tcMar>
              <w:top w:w="85" w:type="dxa"/>
              <w:left w:w="100" w:type="dxa"/>
              <w:bottom w:w="75" w:type="dxa"/>
              <w:right w:w="100" w:type="dxa"/>
            </w:tcMar>
          </w:tcPr>
          <w:p>
            <w:r>
              <w:rPr>
                <w:b/>
                <w:color w:val="1E3045"/>
                <w:sz w:val="21"/>
              </w:rPr>
              <w:t>ON THE BOARD  Today: How would we know the plan worked?  Read p. 26.  Choose evidence for one goal.</w:t>
            </w:r>
          </w:p>
        </w:tc>
      </w:tr>
    </w:tbl>
    <w:p>
      <w:pPr>
        <w:spacing w:after="0"/>
      </w:pPr>
    </w:p>
    <w:p>
      <w:pPr>
        <w:spacing w:after="60"/>
      </w:pPr>
      <w:r>
        <w:rPr>
          <w:b/>
          <w:color w:val="0F676C"/>
        </w:rPr>
        <w:t xml:space="preserve">Ask first  </w:t>
      </w:r>
      <w:r>
        <w:t>Retrieve a goal from earlier work. Ask what result would show success; do not display a chosen KPI yet.</w:t>
      </w:r>
    </w:p>
    <w:p>
      <w:pPr>
        <w:spacing w:after="60"/>
      </w:pPr>
      <w:r>
        <w:rPr>
          <w:b/>
          <w:color w:val="0F676C"/>
        </w:rPr>
        <w:t xml:space="preserve">Students read and do  </w:t>
      </w:r>
      <w:r>
        <w:t>Students read Metrics and Appendix, then the engineering-firm Market This case. Ask them to mark a goal-measure link and list what they still need to know about the case.</w:t>
      </w:r>
    </w:p>
    <w:p>
      <w:pPr>
        <w:spacing w:after="60"/>
      </w:pPr>
      <w:r>
        <w:rPr>
          <w:b/>
          <w:color w:val="0F676C"/>
        </w:rPr>
        <w:t xml:space="preserve">Hold back  </w:t>
      </w:r>
      <w:r>
        <w:t>Do not solve the engineering firm’s global expansion problem or give its PEST answers before students propose evidence.</w:t>
      </w:r>
    </w:p>
    <w:p>
      <w:pPr>
        <w:spacing w:after="60"/>
      </w:pPr>
      <w:r>
        <w:rPr>
          <w:b/>
          <w:color w:val="0F676C"/>
        </w:rPr>
        <w:t xml:space="preserve">After their attempt  </w:t>
      </w:r>
      <w:r>
        <w:t>Add metrics and bibliography as the last Terms cards after reading. Model a goal-to-measure link and explain that the appendix may contain supporting charts while a bibliography lists referred-to works.</w:t>
      </w:r>
    </w:p>
    <w:p>
      <w:pPr>
        <w:spacing w:after="60"/>
      </w:pPr>
      <w:r>
        <w:rPr>
          <w:b/>
          <w:color w:val="0F676C"/>
        </w:rPr>
        <w:t xml:space="preserve">Quick evidence  </w:t>
      </w:r>
      <w:r>
        <w:t>“If the goal is more new customers, would ad views alone prove it? What would you count?” Listen for a measure tied to the goal and a reason.</w:t>
      </w:r>
    </w:p>
    <w:p>
      <w:pPr>
        <w:spacing w:after="60"/>
      </w:pPr>
      <w:r>
        <w:rPr>
          <w:b/>
          <w:color w:val="0F676C"/>
        </w:rPr>
        <w:t xml:space="preserve">If understanding is weak  </w:t>
      </w:r>
      <w:r>
        <w:t>Give two possible measures after the first attempt and ask which directly tests the stated goal. Offer a pointed, oral or written justification.</w:t>
      </w:r>
    </w:p>
    <w:p>
      <w:pPr>
        <w:spacing w:after="60"/>
      </w:pPr>
      <w:r>
        <w:rPr>
          <w:b/>
          <w:color w:val="0F676C"/>
        </w:rPr>
        <w:t xml:space="preserve">If ready to extend  </w:t>
      </w:r>
      <w:r>
        <w:t>Ask what additional market or competitor evidence the engineering firm needs before reallocating funds.</w:t>
      </w:r>
    </w:p>
    <w:p>
      <w:pPr>
        <w:pStyle w:val="RouteLabel"/>
        <w:spacing w:before="80"/>
      </w:pPr>
      <w:r>
        <w:t>CLASS ROUTES</w:t>
      </w:r>
    </w:p>
    <w:tbl>
      <w:tblPr>
        <w:tblW w:type="auto" w:w="0"/>
        <w:jc w:val="center"/>
        <w:tblLayout w:type="fixed"/>
        <w:tblLook w:firstColumn="1" w:firstRow="1" w:lastColumn="0" w:lastRow="0" w:noHBand="0" w:noVBand="1" w:val="04A0"/>
      </w:tblPr>
      <w:tblGrid>
        <w:gridCol w:w="1253"/>
        <w:gridCol w:w="8856"/>
      </w:tblGrid>
      <w:tr>
        <w:tc>
          <w:tcPr>
            <w:tcW w:type="dxa" w:w="5083"/>
            <w:vAlign w:val="center"/>
            <w:shd w:fill="EAF3F2"/>
            <w:tcMar>
              <w:top w:w="65" w:type="dxa"/>
              <w:left w:w="80" w:type="dxa"/>
              <w:bottom w:w="65" w:type="dxa"/>
              <w:right w:w="80" w:type="dxa"/>
            </w:tcMar>
          </w:tcPr>
          <w:p>
            <w:pPr>
              <w:spacing w:after="0"/>
            </w:pPr>
            <w:r>
              <w:rPr>
                <w:b/>
                <w:color w:val="0F676C"/>
                <w:sz w:val="20"/>
              </w:rPr>
              <w:t>BLOCK 1</w:t>
            </w:r>
          </w:p>
        </w:tc>
        <w:tc>
          <w:tcPr>
            <w:tcW w:type="dxa" w:w="5083"/>
            <w:vAlign w:val="center"/>
            <w:shd w:fill="F4F6F7"/>
            <w:tcMar>
              <w:top w:w="65" w:type="dxa"/>
              <w:left w:w="80" w:type="dxa"/>
              <w:bottom w:w="65" w:type="dxa"/>
              <w:right w:w="80" w:type="dxa"/>
            </w:tcMar>
          </w:tcPr>
          <w:p>
            <w:pPr>
              <w:spacing w:after="0"/>
            </w:pPr>
            <w:r>
              <w:rPr>
                <w:color w:val="1E3045"/>
                <w:sz w:val="20"/>
              </w:rPr>
              <w:t>If answers name promotional activities rather than a result, return to “goal -&gt; customer action -&gt; measure.” This check responds to a prior incomplete plan connection but is not a fixed class trait.</w:t>
            </w:r>
          </w:p>
        </w:tc>
      </w:tr>
      <w:tr>
        <w:tc>
          <w:tcPr>
            <w:tcW w:type="dxa" w:w="5083"/>
            <w:vAlign w:val="center"/>
            <w:shd w:fill="EAF3F2"/>
            <w:tcMar>
              <w:top w:w="65" w:type="dxa"/>
              <w:left w:w="80" w:type="dxa"/>
              <w:bottom w:w="65" w:type="dxa"/>
              <w:right w:w="80" w:type="dxa"/>
            </w:tcMar>
          </w:tcPr>
          <w:p>
            <w:pPr>
              <w:spacing w:after="0"/>
            </w:pPr>
            <w:r>
              <w:rPr>
                <w:b/>
                <w:color w:val="0F676C"/>
                <w:sz w:val="20"/>
              </w:rPr>
              <w:t>BLOCK 5</w:t>
            </w:r>
          </w:p>
        </w:tc>
        <w:tc>
          <w:tcPr>
            <w:tcW w:type="dxa" w:w="5083"/>
            <w:vAlign w:val="center"/>
            <w:shd w:fill="F4F6F7"/>
            <w:tcMar>
              <w:top w:w="65" w:type="dxa"/>
              <w:left w:w="80" w:type="dxa"/>
              <w:bottom w:w="65" w:type="dxa"/>
              <w:right w:w="80" w:type="dxa"/>
            </w:tcMar>
          </w:tcPr>
          <w:p>
            <w:pPr>
              <w:spacing w:after="0"/>
            </w:pPr>
            <w:r>
              <w:rPr>
                <w:color w:val="1E3045"/>
                <w:sz w:val="20"/>
              </w:rPr>
              <w:t>Shared route — no separate group-wide metric support is justified. If a pricing trade-off emerges, ask how revenue and customer response would be measured.</w:t>
            </w:r>
          </w:p>
        </w:tc>
      </w:tr>
    </w:tbl>
    <w:p>
      <w:pPr>
        <w:spacing w:after="0"/>
      </w:pPr>
    </w:p>
    <w:p>
      <w:pPr>
        <w:spacing w:after="0"/>
      </w:pPr>
      <w:r>
        <w:rPr>
          <w:b/>
          <w:color w:val="0F676C"/>
        </w:rPr>
        <w:t xml:space="preserve">Stop and restart  </w:t>
      </w:r>
      <w:r>
        <w:t>Record whether both source terms and the case were read; note any unanswered case question.</w:t>
      </w:r>
    </w:p>
    <w:p>
      <w:r>
        <w:br w:type="page"/>
      </w:r>
    </w:p>
    <w:p>
      <w:pPr>
        <w:pStyle w:val="RouteLabel"/>
      </w:pPr>
      <w:r>
        <w:t>TEACHING SEGMENT 08  |  PRINTED P. 27 CHAPTER REVIEW, WITH RETURN TO PP. 18–26</w:t>
      </w:r>
    </w:p>
    <w:p>
      <w:pPr>
        <w:pStyle w:val="Heading1"/>
      </w:pPr>
      <w:r>
        <w:t>Review and retrieve from the source</w:t>
      </w:r>
    </w:p>
    <w:p>
      <w:pPr>
        <w:spacing w:after="60"/>
      </w:pPr>
      <w:r>
        <w:rPr>
          <w:b/>
          <w:color w:val="0F676C"/>
        </w:rPr>
        <w:t xml:space="preserve">Learning target  </w:t>
      </w:r>
      <w:r>
        <w:t>Explain all six key terms and support a plan decision with the relevant source page.</w:t>
      </w:r>
    </w:p>
    <w:tbl>
      <w:tblPr>
        <w:tblW w:type="auto" w:w="0"/>
        <w:jc w:val="center"/>
        <w:tblLook w:firstColumn="1" w:firstRow="1" w:lastColumn="0" w:lastRow="0" w:noHBand="0" w:noVBand="1" w:val="04A0"/>
      </w:tblPr>
      <w:tblGrid>
        <w:gridCol w:w="10166"/>
      </w:tblGrid>
      <w:tr>
        <w:tc>
          <w:tcPr>
            <w:tcW w:type="dxa" w:w="10166"/>
            <w:shd w:fill="EAF3F2"/>
            <w:tcMar>
              <w:top w:w="85" w:type="dxa"/>
              <w:left w:w="100" w:type="dxa"/>
              <w:bottom w:w="75" w:type="dxa"/>
              <w:right w:w="100" w:type="dxa"/>
            </w:tcMar>
          </w:tcPr>
          <w:p>
            <w:r>
              <w:rPr>
                <w:b/>
                <w:color w:val="1E3045"/>
                <w:sz w:val="21"/>
              </w:rPr>
              <w:t>ON THE BOARD  Today: Six terms, one reason each.  Open p. 27 and return to the page that proves your answer.</w:t>
            </w:r>
          </w:p>
        </w:tc>
      </w:tr>
    </w:tbl>
    <w:p>
      <w:pPr>
        <w:spacing w:after="0"/>
      </w:pPr>
    </w:p>
    <w:p>
      <w:pPr>
        <w:spacing w:after="60"/>
      </w:pPr>
      <w:r>
        <w:rPr>
          <w:b/>
          <w:color w:val="0F676C"/>
        </w:rPr>
        <w:t xml:space="preserve">Ask first  </w:t>
      </w:r>
      <w:r>
        <w:t>Show six unlabeled clues in encounter order: chapter roadmap; four outside-condition categories; checkable goal; typical-customer report; measure of results; list of works referred to. Give 30–45 seconds of private recall, then reveal each term only after a student explanation.</w:t>
      </w:r>
    </w:p>
    <w:p>
      <w:pPr>
        <w:spacing w:after="60"/>
      </w:pPr>
      <w:r>
        <w:rPr>
          <w:b/>
          <w:color w:val="0F676C"/>
        </w:rPr>
        <w:t xml:space="preserve">Students read and do  </w:t>
      </w:r>
      <w:r>
        <w:t>Read p. 27 review directions, then let students return to the relevant source page or figure. The page names review categories; it does not print a separate worksheet’s question list.</w:t>
      </w:r>
    </w:p>
    <w:p>
      <w:pPr>
        <w:spacing w:after="60"/>
      </w:pPr>
      <w:r>
        <w:rPr>
          <w:b/>
          <w:color w:val="0F676C"/>
        </w:rPr>
        <w:t xml:space="preserve">Hold back  </w:t>
      </w:r>
      <w:r>
        <w:t>Do not supply a completed word bank, quiz answers or an unverified worksheet number before students retrieve from their reading.</w:t>
      </w:r>
    </w:p>
    <w:p>
      <w:pPr>
        <w:spacing w:after="60"/>
      </w:pPr>
      <w:r>
        <w:rPr>
          <w:b/>
          <w:color w:val="0F676C"/>
        </w:rPr>
        <w:t xml:space="preserve">After their attempt  </w:t>
      </w:r>
      <w:r>
        <w:t>Check one pair of easily confused ideas: target market vs customer profile, plan vs promotional action, or metric vs activity. Choose from actual responses. Give class time for approved Terms/review work.</w:t>
      </w:r>
    </w:p>
    <w:p>
      <w:pPr>
        <w:spacing w:after="60"/>
      </w:pPr>
      <w:r>
        <w:rPr>
          <w:b/>
          <w:color w:val="0F676C"/>
        </w:rPr>
        <w:t xml:space="preserve">Quick evidence  </w:t>
      </w:r>
      <w:r>
        <w:t>Ask each student for one term plus a source-backed explanation, spoken, written or pointed to the passage. Sample beyond the first volunteers; use errors to choose the next brief revisit.</w:t>
      </w:r>
    </w:p>
    <w:p>
      <w:pPr>
        <w:spacing w:after="60"/>
      </w:pPr>
      <w:r>
        <w:rPr>
          <w:b/>
          <w:color w:val="0F676C"/>
        </w:rPr>
        <w:t xml:space="preserve">If understanding is weak  </w:t>
      </w:r>
      <w:r>
        <w:t>Offer the correct page number first, then a two-choice meaning prompt if needed. Keep the same content target and retry.</w:t>
      </w:r>
    </w:p>
    <w:p>
      <w:pPr>
        <w:spacing w:after="60"/>
      </w:pPr>
      <w:r>
        <w:rPr>
          <w:b/>
          <w:color w:val="0F676C"/>
        </w:rPr>
        <w:t xml:space="preserve">If ready to extend  </w:t>
      </w:r>
      <w:r>
        <w:t>Ask students to connect two terms in one causal explanation, such as PEST condition -&gt; revised SMART goal -&gt; metric.</w:t>
      </w:r>
    </w:p>
    <w:p>
      <w:pPr>
        <w:pStyle w:val="RouteLabel"/>
        <w:spacing w:before="80"/>
      </w:pPr>
      <w:r>
        <w:t>CLASS ROUTES</w:t>
      </w:r>
    </w:p>
    <w:tbl>
      <w:tblPr>
        <w:tblW w:type="auto" w:w="0"/>
        <w:jc w:val="center"/>
        <w:tblLayout w:type="fixed"/>
        <w:tblLook w:firstColumn="1" w:firstRow="1" w:lastColumn="0" w:lastRow="0" w:noHBand="0" w:noVBand="1" w:val="04A0"/>
      </w:tblPr>
      <w:tblGrid>
        <w:gridCol w:w="1253"/>
        <w:gridCol w:w="8856"/>
      </w:tblGrid>
      <w:tr>
        <w:tc>
          <w:tcPr>
            <w:tcW w:type="dxa" w:w="5083"/>
            <w:vAlign w:val="center"/>
            <w:shd w:fill="EAF3F2"/>
            <w:tcMar>
              <w:top w:w="65" w:type="dxa"/>
              <w:left w:w="80" w:type="dxa"/>
              <w:bottom w:w="65" w:type="dxa"/>
              <w:right w:w="80" w:type="dxa"/>
            </w:tcMar>
          </w:tcPr>
          <w:p>
            <w:pPr>
              <w:spacing w:after="0"/>
            </w:pPr>
            <w:r>
              <w:rPr>
                <w:b/>
                <w:color w:val="0F676C"/>
                <w:sz w:val="20"/>
              </w:rPr>
              <w:t>BLOCK 1</w:t>
            </w:r>
          </w:p>
        </w:tc>
        <w:tc>
          <w:tcPr>
            <w:tcW w:type="dxa" w:w="5083"/>
            <w:vAlign w:val="center"/>
            <w:shd w:fill="F4F6F7"/>
            <w:tcMar>
              <w:top w:w="65" w:type="dxa"/>
              <w:left w:w="80" w:type="dxa"/>
              <w:bottom w:w="65" w:type="dxa"/>
              <w:right w:w="80" w:type="dxa"/>
            </w:tcMar>
          </w:tcPr>
          <w:p>
            <w:pPr>
              <w:spacing w:after="0"/>
            </w:pPr>
            <w:r>
              <w:rPr>
                <w:color w:val="1E3045"/>
                <w:sz w:val="20"/>
              </w:rPr>
              <w:t>Intentionally scan and invite a response from beyond the first ready voices, after think time. This follows SBTE feedback about a prior review interaction, not a permanent group label.</w:t>
            </w:r>
          </w:p>
        </w:tc>
      </w:tr>
      <w:tr>
        <w:tc>
          <w:tcPr>
            <w:tcW w:type="dxa" w:w="5083"/>
            <w:vAlign w:val="center"/>
            <w:shd w:fill="EAF3F2"/>
            <w:tcMar>
              <w:top w:w="65" w:type="dxa"/>
              <w:left w:w="80" w:type="dxa"/>
              <w:bottom w:w="65" w:type="dxa"/>
              <w:right w:w="80" w:type="dxa"/>
            </w:tcMar>
          </w:tcPr>
          <w:p>
            <w:pPr>
              <w:spacing w:after="0"/>
            </w:pPr>
            <w:r>
              <w:rPr>
                <w:b/>
                <w:color w:val="0F676C"/>
                <w:sz w:val="20"/>
              </w:rPr>
              <w:t>BLOCK 5</w:t>
            </w:r>
          </w:p>
        </w:tc>
        <w:tc>
          <w:tcPr>
            <w:tcW w:type="dxa" w:w="5083"/>
            <w:vAlign w:val="center"/>
            <w:shd w:fill="F4F6F7"/>
            <w:tcMar>
              <w:top w:w="65" w:type="dxa"/>
              <w:left w:w="80" w:type="dxa"/>
              <w:bottom w:w="65" w:type="dxa"/>
              <w:right w:w="80" w:type="dxa"/>
            </w:tcMar>
          </w:tcPr>
          <w:p>
            <w:pPr>
              <w:spacing w:after="0"/>
            </w:pPr>
            <w:r>
              <w:rPr>
                <w:color w:val="1E3045"/>
                <w:sz w:val="20"/>
              </w:rPr>
              <w:t>Shared equitable-participation route; no different whole-class review rule is established. Keep its Terms and reading stop separate.</w:t>
            </w:r>
          </w:p>
        </w:tc>
      </w:tr>
    </w:tbl>
    <w:p>
      <w:pPr>
        <w:spacing w:after="0"/>
      </w:pPr>
    </w:p>
    <w:p>
      <w:pPr>
        <w:spacing w:after="0"/>
      </w:pPr>
      <w:r>
        <w:rPr>
          <w:b/>
          <w:color w:val="0F676C"/>
        </w:rPr>
        <w:t xml:space="preserve">Stop and restart  </w:t>
      </w:r>
      <w:r>
        <w:t>Record terms still weak, exact source pages revisited and each block’s unfinished approved work.</w:t>
      </w:r>
    </w:p>
    <w:p>
      <w:r>
        <w:br w:type="page"/>
      </w:r>
    </w:p>
    <w:p>
      <w:pPr>
        <w:pStyle w:val="RouteLabel"/>
      </w:pPr>
      <w:r>
        <w:t>TEACHING SEGMENT 09  |  PRINTED P. 26 MARKET THIS AND P. 27 APPLICATION OPTIONS</w:t>
      </w:r>
    </w:p>
    <w:p>
      <w:pPr>
        <w:pStyle w:val="Heading1"/>
      </w:pPr>
      <w:r>
        <w:t>Apply without choosing the assignment</w:t>
      </w:r>
    </w:p>
    <w:p>
      <w:pPr>
        <w:spacing w:after="60"/>
      </w:pPr>
      <w:r>
        <w:rPr>
          <w:b/>
          <w:color w:val="0F676C"/>
        </w:rPr>
        <w:t xml:space="preserve">Learning target  </w:t>
      </w:r>
      <w:r>
        <w:t>Use chapter evidence to explain a planning choice while the graded application remains to be selected with the SBTE.</w:t>
      </w:r>
    </w:p>
    <w:tbl>
      <w:tblPr>
        <w:tblW w:type="auto" w:w="0"/>
        <w:jc w:val="center"/>
        <w:tblLook w:firstColumn="1" w:firstRow="1" w:lastColumn="0" w:lastRow="0" w:noHBand="0" w:noVBand="1" w:val="04A0"/>
      </w:tblPr>
      <w:tblGrid>
        <w:gridCol w:w="10166"/>
      </w:tblGrid>
      <w:tr>
        <w:tc>
          <w:tcPr>
            <w:tcW w:type="dxa" w:w="10166"/>
            <w:shd w:fill="EAF3F2"/>
            <w:tcMar>
              <w:top w:w="85" w:type="dxa"/>
              <w:left w:w="100" w:type="dxa"/>
              <w:bottom w:w="75" w:type="dxa"/>
              <w:right w:w="100" w:type="dxa"/>
            </w:tcMar>
          </w:tcPr>
          <w:p>
            <w:r>
              <w:rPr>
                <w:b/>
                <w:color w:val="1E3045"/>
                <w:sz w:val="21"/>
              </w:rPr>
              <w:t>ON THE BOARD  Today: What is known, what is missing, what would you check?  Re-read the p. 26 case.</w:t>
            </w:r>
          </w:p>
        </w:tc>
      </w:tr>
    </w:tbl>
    <w:p>
      <w:pPr>
        <w:spacing w:after="0"/>
      </w:pPr>
    </w:p>
    <w:p>
      <w:pPr>
        <w:spacing w:after="60"/>
      </w:pPr>
      <w:r>
        <w:rPr>
          <w:b/>
          <w:color w:val="0F676C"/>
        </w:rPr>
        <w:t xml:space="preserve">Ask first  </w:t>
      </w:r>
      <w:r>
        <w:t>Retrieve the last review gap. Ask: “What would you need to know before the engineering firm spends more marketing money?” Collect questions, not recommendations.</w:t>
      </w:r>
    </w:p>
    <w:p>
      <w:pPr>
        <w:spacing w:after="60"/>
      </w:pPr>
      <w:r>
        <w:rPr>
          <w:b/>
          <w:color w:val="0F676C"/>
        </w:rPr>
        <w:t xml:space="preserve">Students read and do  </w:t>
      </w:r>
      <w:r>
        <w:t>Students reread p. 26 Market This and inspect p. 27 options: Read and Write, Listen and Speak, Build It. Do not treat any option as assigned.</w:t>
      </w:r>
    </w:p>
    <w:p>
      <w:pPr>
        <w:spacing w:after="60"/>
      </w:pPr>
      <w:r>
        <w:rPr>
          <w:b/>
          <w:color w:val="0F676C"/>
        </w:rPr>
        <w:t xml:space="preserve">Hold back  </w:t>
      </w:r>
      <w:r>
        <w:t>Do not give a completed PEST analysis or announce an essay, presentation, project, rubric, due date, or grade before selection and confirmation.</w:t>
      </w:r>
    </w:p>
    <w:p>
      <w:pPr>
        <w:spacing w:after="60"/>
      </w:pPr>
      <w:r>
        <w:rPr>
          <w:b/>
          <w:color w:val="0F676C"/>
        </w:rPr>
        <w:t xml:space="preserve">After their attempt  </w:t>
      </w:r>
      <w:r>
        <w:t>Ungraded rehearsal if no option is confirmed: each student identifies one internal influence, one external influence, one data need and one possible metric, using the chapter pages to justify each. If an option is approved, use its exact authorized prompt instead.</w:t>
      </w:r>
    </w:p>
    <w:p>
      <w:pPr>
        <w:spacing w:after="60"/>
      </w:pPr>
      <w:r>
        <w:rPr>
          <w:b/>
          <w:color w:val="0F676C"/>
        </w:rPr>
        <w:t xml:space="preserve">Quick evidence  </w:t>
      </w:r>
      <w:r>
        <w:t>“Which claim is in the chapter, and which information is still missing from this case?” Listen for source/evidence distinction and a warranted next step.</w:t>
      </w:r>
    </w:p>
    <w:p>
      <w:pPr>
        <w:spacing w:after="60"/>
      </w:pPr>
      <w:r>
        <w:rPr>
          <w:b/>
          <w:color w:val="0F676C"/>
        </w:rPr>
        <w:t xml:space="preserve">If understanding is weak  </w:t>
      </w:r>
      <w:r>
        <w:t>Ask students to point to one line that states a known fact and phrase the unknown as a question. Offer oral or written reasoning.</w:t>
      </w:r>
    </w:p>
    <w:p>
      <w:pPr>
        <w:spacing w:after="60"/>
      </w:pPr>
      <w:r>
        <w:rPr>
          <w:b/>
          <w:color w:val="0F676C"/>
        </w:rPr>
        <w:t xml:space="preserve">If ready to extend  </w:t>
      </w:r>
      <w:r>
        <w:t>Compare two possible next steps, explaining which information would make one more defensible.</w:t>
      </w:r>
    </w:p>
    <w:p>
      <w:pPr>
        <w:pStyle w:val="RouteLabel"/>
        <w:spacing w:before="80"/>
      </w:pPr>
      <w:r>
        <w:t>CLASS ROUTES</w:t>
      </w:r>
    </w:p>
    <w:tbl>
      <w:tblPr>
        <w:tblW w:type="auto" w:w="0"/>
        <w:jc w:val="center"/>
        <w:tblLayout w:type="fixed"/>
        <w:tblLook w:firstColumn="1" w:firstRow="1" w:lastColumn="0" w:lastRow="0" w:noHBand="0" w:noVBand="1" w:val="04A0"/>
      </w:tblPr>
      <w:tblGrid>
        <w:gridCol w:w="1253"/>
        <w:gridCol w:w="8856"/>
      </w:tblGrid>
      <w:tr>
        <w:tc>
          <w:tcPr>
            <w:tcW w:type="dxa" w:w="5083"/>
            <w:vAlign w:val="center"/>
            <w:shd w:fill="EAF3F2"/>
            <w:tcMar>
              <w:top w:w="65" w:type="dxa"/>
              <w:left w:w="80" w:type="dxa"/>
              <w:bottom w:w="65" w:type="dxa"/>
              <w:right w:w="80" w:type="dxa"/>
            </w:tcMar>
          </w:tcPr>
          <w:p>
            <w:pPr>
              <w:spacing w:after="0"/>
            </w:pPr>
            <w:r>
              <w:rPr>
                <w:b/>
                <w:color w:val="0F676C"/>
                <w:sz w:val="20"/>
              </w:rPr>
              <w:t>BLOCK 1</w:t>
            </w:r>
          </w:p>
        </w:tc>
        <w:tc>
          <w:tcPr>
            <w:tcW w:type="dxa" w:w="5083"/>
            <w:vAlign w:val="center"/>
            <w:shd w:fill="F4F6F7"/>
            <w:tcMar>
              <w:top w:w="65" w:type="dxa"/>
              <w:left w:w="80" w:type="dxa"/>
              <w:bottom w:w="65" w:type="dxa"/>
              <w:right w:w="80" w:type="dxa"/>
            </w:tcMar>
          </w:tcPr>
          <w:p>
            <w:pPr>
              <w:spacing w:after="0"/>
            </w:pPr>
            <w:r>
              <w:rPr>
                <w:color w:val="1E3045"/>
                <w:sz w:val="20"/>
              </w:rPr>
              <w:t>Shared route — no class-specific application choice or pacing is established. Resume its own last gap before rehearsal.</w:t>
            </w:r>
          </w:p>
        </w:tc>
      </w:tr>
      <w:tr>
        <w:tc>
          <w:tcPr>
            <w:tcW w:type="dxa" w:w="5083"/>
            <w:vAlign w:val="center"/>
            <w:shd w:fill="EAF3F2"/>
            <w:tcMar>
              <w:top w:w="65" w:type="dxa"/>
              <w:left w:w="80" w:type="dxa"/>
              <w:bottom w:w="65" w:type="dxa"/>
              <w:right w:w="80" w:type="dxa"/>
            </w:tcMar>
          </w:tcPr>
          <w:p>
            <w:pPr>
              <w:spacing w:after="0"/>
            </w:pPr>
            <w:r>
              <w:rPr>
                <w:b/>
                <w:color w:val="0F676C"/>
                <w:sz w:val="20"/>
              </w:rPr>
              <w:t>BLOCK 5</w:t>
            </w:r>
          </w:p>
        </w:tc>
        <w:tc>
          <w:tcPr>
            <w:tcW w:type="dxa" w:w="5083"/>
            <w:vAlign w:val="center"/>
            <w:shd w:fill="F4F6F7"/>
            <w:tcMar>
              <w:top w:w="65" w:type="dxa"/>
              <w:left w:w="80" w:type="dxa"/>
              <w:bottom w:w="65" w:type="dxa"/>
              <w:right w:w="80" w:type="dxa"/>
            </w:tcMar>
          </w:tcPr>
          <w:p>
            <w:pPr>
              <w:spacing w:after="0"/>
            </w:pPr>
            <w:r>
              <w:rPr>
                <w:color w:val="1E3045"/>
                <w:sz w:val="20"/>
              </w:rPr>
              <w:t>Shared route — no class-specific application choice or pacing is established. Resume its own last gap before rehearsal.</w:t>
            </w:r>
          </w:p>
        </w:tc>
      </w:tr>
    </w:tbl>
    <w:p>
      <w:pPr>
        <w:spacing w:after="0"/>
      </w:pPr>
    </w:p>
    <w:p>
      <w:pPr>
        <w:spacing w:after="0"/>
      </w:pPr>
      <w:r>
        <w:rPr>
          <w:b/>
          <w:color w:val="0F676C"/>
        </w:rPr>
        <w:t xml:space="preserve">Stop and restart  </w:t>
      </w:r>
      <w:r>
        <w:t>Record what was discussed and any SBTE-confirmed application details. Never convert rehearsal into an unapproved grade.</w:t>
      </w:r>
    </w:p>
    <w:p>
      <w:r>
        <w:br w:type="page"/>
      </w:r>
    </w:p>
    <w:p>
      <w:pPr>
        <w:pStyle w:val="RouteLabel"/>
      </w:pPr>
      <w:r>
        <w:t>LIVE PLANNING RECORD  |  USE AFTER EVERY CLASS</w:t>
      </w:r>
    </w:p>
    <w:p>
      <w:pPr>
        <w:pStyle w:val="Heading1"/>
      </w:pPr>
      <w:r>
        <w:t>Record the actual stop</w:t>
      </w:r>
    </w:p>
    <w:p>
      <w:pPr>
        <w:spacing w:after="60"/>
      </w:pPr>
      <w:r>
        <w:rPr>
          <w:b/>
          <w:color w:val="0F676C"/>
        </w:rPr>
        <w:t xml:space="preserve">Before the next meeting  </w:t>
      </w:r>
      <w:r>
        <w:t>Write the printed page/heading and last question each block actually reached. Note whether Terms, notes and review are complete. Begin the next meeting there, even when the other block is ahead.</w:t>
      </w:r>
    </w:p>
    <w:tbl>
      <w:tblPr>
        <w:tblW w:type="auto" w:w="0"/>
        <w:tblLayout w:type="fixed"/>
        <w:tblLook w:firstColumn="1" w:firstRow="1" w:lastColumn="0" w:lastRow="0" w:noHBand="0" w:noVBand="1" w:val="04A0"/>
      </w:tblPr>
      <w:tblGrid>
        <w:gridCol w:w="1080"/>
        <w:gridCol w:w="4536"/>
        <w:gridCol w:w="4536"/>
      </w:tblGrid>
      <w:tr>
        <w:tc>
          <w:tcPr>
            <w:tcW w:type="dxa" w:w="3389"/>
            <w:shd w:fill="EAF3F2"/>
            <w:tcMar>
              <w:top w:w="85" w:type="dxa"/>
              <w:left w:w="100" w:type="dxa"/>
              <w:bottom w:w="75" w:type="dxa"/>
              <w:right w:w="100" w:type="dxa"/>
            </w:tcMar>
          </w:tcPr>
          <w:p>
            <w:r>
              <w:rPr>
                <w:b/>
                <w:sz w:val="18"/>
              </w:rPr>
              <w:t>Segment</w:t>
            </w:r>
          </w:p>
        </w:tc>
        <w:tc>
          <w:tcPr>
            <w:tcW w:type="dxa" w:w="3389"/>
            <w:shd w:fill="EAF3F2"/>
            <w:tcMar>
              <w:top w:w="85" w:type="dxa"/>
              <w:left w:w="100" w:type="dxa"/>
              <w:bottom w:w="75" w:type="dxa"/>
              <w:right w:w="100" w:type="dxa"/>
            </w:tcMar>
          </w:tcPr>
          <w:p>
            <w:r>
              <w:rPr>
                <w:b/>
                <w:sz w:val="18"/>
              </w:rPr>
              <w:t>Block 1  |  last page, work left, next start</w:t>
            </w:r>
          </w:p>
        </w:tc>
        <w:tc>
          <w:tcPr>
            <w:tcW w:type="dxa" w:w="3389"/>
            <w:shd w:fill="EAF3F2"/>
            <w:tcMar>
              <w:top w:w="85" w:type="dxa"/>
              <w:left w:w="100" w:type="dxa"/>
              <w:bottom w:w="75" w:type="dxa"/>
              <w:right w:w="100" w:type="dxa"/>
            </w:tcMar>
          </w:tcPr>
          <w:p>
            <w:r>
              <w:rPr>
                <w:b/>
                <w:sz w:val="18"/>
              </w:rPr>
              <w:t>Block 5  |  last page, work left, next start</w:t>
            </w:r>
          </w:p>
        </w:tc>
      </w:tr>
      <w:tr>
        <w:tc>
          <w:tcPr>
            <w:tcW w:type="dxa" w:w="1080"/>
            <w:tcMar>
              <w:top w:w="130" w:type="dxa"/>
              <w:left w:w="80" w:type="dxa"/>
              <w:bottom w:w="130" w:type="dxa"/>
              <w:right w:w="80" w:type="dxa"/>
            </w:tcMar>
          </w:tcPr>
          <w:p>
            <w:pPr>
              <w:spacing w:after="0"/>
            </w:pPr>
            <w:r>
              <w:t>1</w:t>
            </w:r>
          </w:p>
        </w:tc>
        <w:tc>
          <w:tcPr>
            <w:tcW w:type="dxa" w:w="4536"/>
            <w:tcMar>
              <w:top w:w="130" w:type="dxa"/>
              <w:left w:w="80" w:type="dxa"/>
              <w:bottom w:w="130" w:type="dxa"/>
              <w:right w:w="80" w:type="dxa"/>
            </w:tcMar>
          </w:tcPr>
          <w:p>
            <w:pPr>
              <w:spacing w:after="0"/>
            </w:pPr>
          </w:p>
        </w:tc>
        <w:tc>
          <w:tcPr>
            <w:tcW w:type="dxa" w:w="4536"/>
            <w:tcMar>
              <w:top w:w="130" w:type="dxa"/>
              <w:left w:w="80" w:type="dxa"/>
              <w:bottom w:w="130" w:type="dxa"/>
              <w:right w:w="80" w:type="dxa"/>
            </w:tcMar>
          </w:tcPr>
          <w:p>
            <w:pPr>
              <w:spacing w:after="0"/>
            </w:pPr>
          </w:p>
        </w:tc>
      </w:tr>
      <w:tr>
        <w:tc>
          <w:tcPr>
            <w:tcW w:type="dxa" w:w="1080"/>
            <w:tcMar>
              <w:top w:w="130" w:type="dxa"/>
              <w:left w:w="80" w:type="dxa"/>
              <w:bottom w:w="130" w:type="dxa"/>
              <w:right w:w="80" w:type="dxa"/>
            </w:tcMar>
          </w:tcPr>
          <w:p>
            <w:pPr>
              <w:spacing w:after="0"/>
            </w:pPr>
            <w:r>
              <w:t>2</w:t>
            </w:r>
          </w:p>
        </w:tc>
        <w:tc>
          <w:tcPr>
            <w:tcW w:type="dxa" w:w="4536"/>
            <w:tcMar>
              <w:top w:w="130" w:type="dxa"/>
              <w:left w:w="80" w:type="dxa"/>
              <w:bottom w:w="130" w:type="dxa"/>
              <w:right w:w="80" w:type="dxa"/>
            </w:tcMar>
          </w:tcPr>
          <w:p>
            <w:pPr>
              <w:spacing w:after="0"/>
            </w:pPr>
          </w:p>
        </w:tc>
        <w:tc>
          <w:tcPr>
            <w:tcW w:type="dxa" w:w="4536"/>
            <w:tcMar>
              <w:top w:w="130" w:type="dxa"/>
              <w:left w:w="80" w:type="dxa"/>
              <w:bottom w:w="130" w:type="dxa"/>
              <w:right w:w="80" w:type="dxa"/>
            </w:tcMar>
          </w:tcPr>
          <w:p>
            <w:pPr>
              <w:spacing w:after="0"/>
            </w:pPr>
          </w:p>
        </w:tc>
      </w:tr>
      <w:tr>
        <w:tc>
          <w:tcPr>
            <w:tcW w:type="dxa" w:w="1080"/>
            <w:tcMar>
              <w:top w:w="130" w:type="dxa"/>
              <w:left w:w="80" w:type="dxa"/>
              <w:bottom w:w="130" w:type="dxa"/>
              <w:right w:w="80" w:type="dxa"/>
            </w:tcMar>
          </w:tcPr>
          <w:p>
            <w:pPr>
              <w:spacing w:after="0"/>
            </w:pPr>
            <w:r>
              <w:t>3</w:t>
            </w:r>
          </w:p>
        </w:tc>
        <w:tc>
          <w:tcPr>
            <w:tcW w:type="dxa" w:w="4536"/>
            <w:tcMar>
              <w:top w:w="130" w:type="dxa"/>
              <w:left w:w="80" w:type="dxa"/>
              <w:bottom w:w="130" w:type="dxa"/>
              <w:right w:w="80" w:type="dxa"/>
            </w:tcMar>
          </w:tcPr>
          <w:p>
            <w:pPr>
              <w:spacing w:after="0"/>
            </w:pPr>
          </w:p>
        </w:tc>
        <w:tc>
          <w:tcPr>
            <w:tcW w:type="dxa" w:w="4536"/>
            <w:tcMar>
              <w:top w:w="130" w:type="dxa"/>
              <w:left w:w="80" w:type="dxa"/>
              <w:bottom w:w="130" w:type="dxa"/>
              <w:right w:w="80" w:type="dxa"/>
            </w:tcMar>
          </w:tcPr>
          <w:p>
            <w:pPr>
              <w:spacing w:after="0"/>
            </w:pPr>
          </w:p>
        </w:tc>
      </w:tr>
      <w:tr>
        <w:tc>
          <w:tcPr>
            <w:tcW w:type="dxa" w:w="1080"/>
            <w:tcMar>
              <w:top w:w="130" w:type="dxa"/>
              <w:left w:w="80" w:type="dxa"/>
              <w:bottom w:w="130" w:type="dxa"/>
              <w:right w:w="80" w:type="dxa"/>
            </w:tcMar>
          </w:tcPr>
          <w:p>
            <w:pPr>
              <w:spacing w:after="0"/>
            </w:pPr>
            <w:r>
              <w:t>4</w:t>
            </w:r>
          </w:p>
        </w:tc>
        <w:tc>
          <w:tcPr>
            <w:tcW w:type="dxa" w:w="4536"/>
            <w:tcMar>
              <w:top w:w="130" w:type="dxa"/>
              <w:left w:w="80" w:type="dxa"/>
              <w:bottom w:w="130" w:type="dxa"/>
              <w:right w:w="80" w:type="dxa"/>
            </w:tcMar>
          </w:tcPr>
          <w:p>
            <w:pPr>
              <w:spacing w:after="0"/>
            </w:pPr>
          </w:p>
        </w:tc>
        <w:tc>
          <w:tcPr>
            <w:tcW w:type="dxa" w:w="4536"/>
            <w:tcMar>
              <w:top w:w="130" w:type="dxa"/>
              <w:left w:w="80" w:type="dxa"/>
              <w:bottom w:w="130" w:type="dxa"/>
              <w:right w:w="80" w:type="dxa"/>
            </w:tcMar>
          </w:tcPr>
          <w:p>
            <w:pPr>
              <w:spacing w:after="0"/>
            </w:pPr>
          </w:p>
        </w:tc>
      </w:tr>
      <w:tr>
        <w:tc>
          <w:tcPr>
            <w:tcW w:type="dxa" w:w="1080"/>
            <w:tcMar>
              <w:top w:w="130" w:type="dxa"/>
              <w:left w:w="80" w:type="dxa"/>
              <w:bottom w:w="130" w:type="dxa"/>
              <w:right w:w="80" w:type="dxa"/>
            </w:tcMar>
          </w:tcPr>
          <w:p>
            <w:pPr>
              <w:spacing w:after="0"/>
            </w:pPr>
            <w:r>
              <w:t>5</w:t>
            </w:r>
          </w:p>
        </w:tc>
        <w:tc>
          <w:tcPr>
            <w:tcW w:type="dxa" w:w="4536"/>
            <w:tcMar>
              <w:top w:w="130" w:type="dxa"/>
              <w:left w:w="80" w:type="dxa"/>
              <w:bottom w:w="130" w:type="dxa"/>
              <w:right w:w="80" w:type="dxa"/>
            </w:tcMar>
          </w:tcPr>
          <w:p>
            <w:pPr>
              <w:spacing w:after="0"/>
            </w:pPr>
          </w:p>
        </w:tc>
        <w:tc>
          <w:tcPr>
            <w:tcW w:type="dxa" w:w="4536"/>
            <w:tcMar>
              <w:top w:w="130" w:type="dxa"/>
              <w:left w:w="80" w:type="dxa"/>
              <w:bottom w:w="130" w:type="dxa"/>
              <w:right w:w="80" w:type="dxa"/>
            </w:tcMar>
          </w:tcPr>
          <w:p>
            <w:pPr>
              <w:spacing w:after="0"/>
            </w:pPr>
          </w:p>
        </w:tc>
      </w:tr>
      <w:tr>
        <w:tc>
          <w:tcPr>
            <w:tcW w:type="dxa" w:w="1080"/>
            <w:tcMar>
              <w:top w:w="130" w:type="dxa"/>
              <w:left w:w="80" w:type="dxa"/>
              <w:bottom w:w="130" w:type="dxa"/>
              <w:right w:w="80" w:type="dxa"/>
            </w:tcMar>
          </w:tcPr>
          <w:p>
            <w:pPr>
              <w:spacing w:after="0"/>
            </w:pPr>
            <w:r>
              <w:t>6</w:t>
            </w:r>
          </w:p>
        </w:tc>
        <w:tc>
          <w:tcPr>
            <w:tcW w:type="dxa" w:w="4536"/>
            <w:tcMar>
              <w:top w:w="130" w:type="dxa"/>
              <w:left w:w="80" w:type="dxa"/>
              <w:bottom w:w="130" w:type="dxa"/>
              <w:right w:w="80" w:type="dxa"/>
            </w:tcMar>
          </w:tcPr>
          <w:p>
            <w:pPr>
              <w:spacing w:after="0"/>
            </w:pPr>
          </w:p>
        </w:tc>
        <w:tc>
          <w:tcPr>
            <w:tcW w:type="dxa" w:w="4536"/>
            <w:tcMar>
              <w:top w:w="130" w:type="dxa"/>
              <w:left w:w="80" w:type="dxa"/>
              <w:bottom w:w="130" w:type="dxa"/>
              <w:right w:w="80" w:type="dxa"/>
            </w:tcMar>
          </w:tcPr>
          <w:p>
            <w:pPr>
              <w:spacing w:after="0"/>
            </w:pPr>
          </w:p>
        </w:tc>
      </w:tr>
      <w:tr>
        <w:tc>
          <w:tcPr>
            <w:tcW w:type="dxa" w:w="1080"/>
            <w:tcMar>
              <w:top w:w="130" w:type="dxa"/>
              <w:left w:w="80" w:type="dxa"/>
              <w:bottom w:w="130" w:type="dxa"/>
              <w:right w:w="80" w:type="dxa"/>
            </w:tcMar>
          </w:tcPr>
          <w:p>
            <w:pPr>
              <w:spacing w:after="0"/>
            </w:pPr>
            <w:r>
              <w:t>7</w:t>
            </w:r>
          </w:p>
        </w:tc>
        <w:tc>
          <w:tcPr>
            <w:tcW w:type="dxa" w:w="4536"/>
            <w:tcMar>
              <w:top w:w="130" w:type="dxa"/>
              <w:left w:w="80" w:type="dxa"/>
              <w:bottom w:w="130" w:type="dxa"/>
              <w:right w:w="80" w:type="dxa"/>
            </w:tcMar>
          </w:tcPr>
          <w:p>
            <w:pPr>
              <w:spacing w:after="0"/>
            </w:pPr>
          </w:p>
        </w:tc>
        <w:tc>
          <w:tcPr>
            <w:tcW w:type="dxa" w:w="4536"/>
            <w:tcMar>
              <w:top w:w="130" w:type="dxa"/>
              <w:left w:w="80" w:type="dxa"/>
              <w:bottom w:w="130" w:type="dxa"/>
              <w:right w:w="80" w:type="dxa"/>
            </w:tcMar>
          </w:tcPr>
          <w:p>
            <w:pPr>
              <w:spacing w:after="0"/>
            </w:pPr>
          </w:p>
        </w:tc>
      </w:tr>
      <w:tr>
        <w:tc>
          <w:tcPr>
            <w:tcW w:type="dxa" w:w="1080"/>
            <w:tcMar>
              <w:top w:w="130" w:type="dxa"/>
              <w:left w:w="80" w:type="dxa"/>
              <w:bottom w:w="130" w:type="dxa"/>
              <w:right w:w="80" w:type="dxa"/>
            </w:tcMar>
          </w:tcPr>
          <w:p>
            <w:pPr>
              <w:spacing w:after="0"/>
            </w:pPr>
            <w:r>
              <w:t>8</w:t>
            </w:r>
          </w:p>
        </w:tc>
        <w:tc>
          <w:tcPr>
            <w:tcW w:type="dxa" w:w="4536"/>
            <w:tcMar>
              <w:top w:w="130" w:type="dxa"/>
              <w:left w:w="80" w:type="dxa"/>
              <w:bottom w:w="130" w:type="dxa"/>
              <w:right w:w="80" w:type="dxa"/>
            </w:tcMar>
          </w:tcPr>
          <w:p>
            <w:pPr>
              <w:spacing w:after="0"/>
            </w:pPr>
          </w:p>
        </w:tc>
        <w:tc>
          <w:tcPr>
            <w:tcW w:type="dxa" w:w="4536"/>
            <w:tcMar>
              <w:top w:w="130" w:type="dxa"/>
              <w:left w:w="80" w:type="dxa"/>
              <w:bottom w:w="130" w:type="dxa"/>
              <w:right w:w="80" w:type="dxa"/>
            </w:tcMar>
          </w:tcPr>
          <w:p>
            <w:pPr>
              <w:spacing w:after="0"/>
            </w:pPr>
          </w:p>
        </w:tc>
      </w:tr>
      <w:tr>
        <w:tc>
          <w:tcPr>
            <w:tcW w:type="dxa" w:w="1080"/>
            <w:tcMar>
              <w:top w:w="130" w:type="dxa"/>
              <w:left w:w="80" w:type="dxa"/>
              <w:bottom w:w="130" w:type="dxa"/>
              <w:right w:w="80" w:type="dxa"/>
            </w:tcMar>
          </w:tcPr>
          <w:p>
            <w:pPr>
              <w:spacing w:after="0"/>
            </w:pPr>
            <w:r>
              <w:t>9</w:t>
            </w:r>
          </w:p>
        </w:tc>
        <w:tc>
          <w:tcPr>
            <w:tcW w:type="dxa" w:w="4536"/>
            <w:tcMar>
              <w:top w:w="130" w:type="dxa"/>
              <w:left w:w="80" w:type="dxa"/>
              <w:bottom w:w="130" w:type="dxa"/>
              <w:right w:w="80" w:type="dxa"/>
            </w:tcMar>
          </w:tcPr>
          <w:p>
            <w:pPr>
              <w:spacing w:after="0"/>
            </w:pPr>
          </w:p>
        </w:tc>
        <w:tc>
          <w:tcPr>
            <w:tcW w:type="dxa" w:w="4536"/>
            <w:tcMar>
              <w:top w:w="130" w:type="dxa"/>
              <w:left w:w="80" w:type="dxa"/>
              <w:bottom w:w="130" w:type="dxa"/>
              <w:right w:w="80" w:type="dxa"/>
            </w:tcMar>
          </w:tcPr>
          <w:p>
            <w:pPr>
              <w:spacing w:after="0"/>
            </w:pPr>
          </w:p>
        </w:tc>
      </w:tr>
    </w:tbl>
    <w:p>
      <w:pPr>
        <w:pStyle w:val="Heading1"/>
      </w:pPr>
      <w:r>
        <w:t>Decisions to confirm with the SBTE</w:t>
      </w:r>
    </w:p>
    <w:p>
      <w:pPr>
        <w:spacing w:after="60"/>
      </w:pPr>
      <w:r>
        <w:rPr>
          <w:b/>
          <w:color w:val="0F676C"/>
        </w:rPr>
        <w:t xml:space="preserve">Planned, not scheduled  </w:t>
      </w:r>
      <w:r>
        <w:t>A Chapter 2 vocabulary quiz was discussed. Confirm date, term scope, delivery, Teams posting and grading mechanics.</w:t>
      </w:r>
    </w:p>
    <w:p>
      <w:pPr>
        <w:spacing w:after="60"/>
      </w:pPr>
      <w:r>
        <w:rPr>
          <w:b/>
          <w:color w:val="0F676C"/>
        </w:rPr>
        <w:t xml:space="preserve">Still open  </w:t>
      </w:r>
      <w:r>
        <w:t>Confirm approved Chapter 2 notes/Terms template, review worksheet and deadline, graded application choice, any presentation or project, rubric, chapter test timing and submission route. Chapter 1 practices do not authorize these automatically.</w:t>
      </w:r>
    </w:p>
    <w:p>
      <w:pPr>
        <w:spacing w:after="60"/>
      </w:pPr>
      <w:r>
        <w:rPr>
          <w:b/>
          <w:color w:val="0F676C"/>
        </w:rPr>
        <w:t xml:space="preserve">Do not infer  </w:t>
      </w:r>
      <w:r>
        <w:t>No current Chapter 2 stop is established for either block here. Recheck the live class record and current school schedule before teaching.</w:t>
      </w:r>
    </w:p>
    <w:p>
      <w:r>
        <w:br w:type="page"/>
      </w:r>
    </w:p>
    <w:p>
      <w:pPr>
        <w:pStyle w:val="RouteLabel"/>
      </w:pPr>
      <w:r>
        <w:t>DESIGN RATIONALE  |  FOR PITER AND INDEPENDENT REVIEW</w:t>
      </w:r>
    </w:p>
    <w:p>
      <w:pPr>
        <w:pStyle w:val="Heading1"/>
      </w:pPr>
      <w:r>
        <w:t>What changed from Phase 1</w:t>
      </w:r>
    </w:p>
    <w:tbl>
      <w:tblPr>
        <w:tblW w:type="auto" w:w="0"/>
        <w:tblLayout w:type="fixed"/>
        <w:tblLook w:firstColumn="1" w:firstRow="1" w:lastColumn="0" w:lastRow="0" w:noHBand="0" w:noVBand="1" w:val="04A0"/>
      </w:tblPr>
      <w:tblGrid>
        <w:gridCol w:w="3389"/>
        <w:gridCol w:w="3389"/>
        <w:gridCol w:w="3389"/>
      </w:tblGrid>
      <w:tr>
        <w:tc>
          <w:tcPr>
            <w:tcW w:type="dxa" w:w="3389"/>
            <w:shd w:fill="EAF3F2"/>
            <w:tcMar>
              <w:top w:w="85" w:type="dxa"/>
              <w:left w:w="100" w:type="dxa"/>
              <w:bottom w:w="75" w:type="dxa"/>
              <w:right w:w="100" w:type="dxa"/>
            </w:tcMar>
          </w:tcPr>
          <w:p>
            <w:r>
              <w:rPr>
                <w:b/>
                <w:sz w:val="18"/>
              </w:rPr>
              <w:t>Phase 1 baseline</w:t>
            </w:r>
          </w:p>
        </w:tc>
        <w:tc>
          <w:tcPr>
            <w:tcW w:type="dxa" w:w="3389"/>
            <w:shd w:fill="EAF3F2"/>
            <w:tcMar>
              <w:top w:w="85" w:type="dxa"/>
              <w:left w:w="100" w:type="dxa"/>
              <w:bottom w:w="75" w:type="dxa"/>
              <w:right w:w="100" w:type="dxa"/>
            </w:tcMar>
          </w:tcPr>
          <w:p>
            <w:r>
              <w:rPr>
                <w:b/>
                <w:sz w:val="18"/>
              </w:rPr>
              <w:t>Phase 2 improvement</w:t>
            </w:r>
          </w:p>
        </w:tc>
        <w:tc>
          <w:tcPr>
            <w:tcW w:type="dxa" w:w="3389"/>
            <w:shd w:fill="EAF3F2"/>
            <w:tcMar>
              <w:top w:w="85" w:type="dxa"/>
              <w:left w:w="100" w:type="dxa"/>
              <w:bottom w:w="75" w:type="dxa"/>
              <w:right w:w="100" w:type="dxa"/>
            </w:tcMar>
          </w:tcPr>
          <w:p>
            <w:r>
              <w:rPr>
                <w:b/>
                <w:sz w:val="18"/>
              </w:rPr>
              <w:t>Evidence and reason</w:t>
            </w:r>
          </w:p>
        </w:tc>
      </w:tr>
      <w:tr>
        <w:tc>
          <w:tcPr>
            <w:tcW w:type="dxa" w:w="3389"/>
            <w:tcMar>
              <w:top w:w="85" w:type="dxa"/>
              <w:left w:w="100" w:type="dxa"/>
              <w:bottom w:w="75" w:type="dxa"/>
              <w:right w:w="100" w:type="dxa"/>
            </w:tcMar>
          </w:tcPr>
          <w:p>
            <w:pPr>
              <w:spacing w:after="0"/>
            </w:pPr>
            <w:r>
              <w:rPr>
                <w:sz w:val="18"/>
              </w:rPr>
              <w:t>Nine source segments</w:t>
            </w:r>
          </w:p>
        </w:tc>
        <w:tc>
          <w:tcPr>
            <w:tcW w:type="dxa" w:w="3389"/>
            <w:tcMar>
              <w:top w:w="85" w:type="dxa"/>
              <w:left w:w="100" w:type="dxa"/>
              <w:bottom w:w="75" w:type="dxa"/>
              <w:right w:w="100" w:type="dxa"/>
            </w:tcMar>
          </w:tcPr>
          <w:p>
            <w:pPr>
              <w:spacing w:after="0"/>
            </w:pPr>
            <w:r>
              <w:rPr>
                <w:sz w:val="18"/>
              </w:rPr>
              <w:t>One teach-from-it page per segment with a board cue, first question, reading task, delayed model, check, support, extension and stop.</w:t>
            </w:r>
          </w:p>
        </w:tc>
        <w:tc>
          <w:tcPr>
            <w:tcW w:type="dxa" w:w="3389"/>
            <w:tcMar>
              <w:top w:w="85" w:type="dxa"/>
              <w:left w:w="100" w:type="dxa"/>
              <w:bottom w:w="75" w:type="dxa"/>
              <w:right w:w="100" w:type="dxa"/>
            </w:tcMar>
          </w:tcPr>
          <w:p>
            <w:pPr>
              <w:spacing w:after="0"/>
            </w:pPr>
            <w:r>
              <w:rPr>
                <w:sz w:val="18"/>
              </w:rPr>
              <w:t>Chapter 1 source-reading feedback; EDF447 access design; EDE498C/ED452B observable evidence.</w:t>
            </w:r>
          </w:p>
        </w:tc>
      </w:tr>
      <w:tr>
        <w:tc>
          <w:tcPr>
            <w:tcW w:type="dxa" w:w="3389"/>
            <w:tcMar>
              <w:top w:w="85" w:type="dxa"/>
              <w:left w:w="100" w:type="dxa"/>
              <w:bottom w:w="75" w:type="dxa"/>
              <w:right w:w="100" w:type="dxa"/>
            </w:tcMar>
          </w:tcPr>
          <w:p>
            <w:pPr>
              <w:spacing w:after="0"/>
            </w:pPr>
            <w:r>
              <w:rPr>
                <w:sz w:val="18"/>
              </w:rPr>
              <w:t>Same routine for both blocks</w:t>
            </w:r>
          </w:p>
        </w:tc>
        <w:tc>
          <w:tcPr>
            <w:tcW w:type="dxa" w:w="3389"/>
            <w:tcMar>
              <w:top w:w="85" w:type="dxa"/>
              <w:left w:w="100" w:type="dxa"/>
              <w:bottom w:w="75" w:type="dxa"/>
              <w:right w:w="100" w:type="dxa"/>
            </w:tcMar>
          </w:tcPr>
          <w:p>
            <w:pPr>
              <w:spacing w:after="0"/>
            </w:pPr>
            <w:r>
              <w:rPr>
                <w:sz w:val="18"/>
              </w:rPr>
              <w:t>One academic spine; Block 1 arrival bridge only when current arrangement applies; separate stops and conditional, de-identified class-origin examples.</w:t>
            </w:r>
          </w:p>
        </w:tc>
        <w:tc>
          <w:tcPr>
            <w:tcW w:type="dxa" w:w="3389"/>
            <w:tcMar>
              <w:top w:w="85" w:type="dxa"/>
              <w:left w:w="100" w:type="dxa"/>
              <w:bottom w:w="75" w:type="dxa"/>
              <w:right w:w="100" w:type="dxa"/>
            </w:tcMar>
          </w:tcPr>
          <w:p>
            <w:pPr>
              <w:spacing w:after="0"/>
            </w:pPr>
            <w:r>
              <w:rPr>
                <w:sz w:val="18"/>
              </w:rPr>
              <w:t>Early-block SBTE feedback and actual divergent stops; v4 reviews do not prove fixed group traits.</w:t>
            </w:r>
          </w:p>
        </w:tc>
      </w:tr>
      <w:tr>
        <w:tc>
          <w:tcPr>
            <w:tcW w:type="dxa" w:w="3389"/>
            <w:tcMar>
              <w:top w:w="85" w:type="dxa"/>
              <w:left w:w="100" w:type="dxa"/>
              <w:bottom w:w="75" w:type="dxa"/>
              <w:right w:w="100" w:type="dxa"/>
            </w:tcMar>
          </w:tcPr>
          <w:p>
            <w:pPr>
              <w:spacing w:after="0"/>
            </w:pPr>
            <w:r>
              <w:rPr>
                <w:sz w:val="18"/>
              </w:rPr>
              <w:t>General “quick check”</w:t>
            </w:r>
          </w:p>
        </w:tc>
        <w:tc>
          <w:tcPr>
            <w:tcW w:type="dxa" w:w="3389"/>
            <w:tcMar>
              <w:top w:w="85" w:type="dxa"/>
              <w:left w:w="100" w:type="dxa"/>
              <w:bottom w:w="75" w:type="dxa"/>
              <w:right w:w="100" w:type="dxa"/>
            </w:tcMar>
          </w:tcPr>
          <w:p>
            <w:pPr>
              <w:spacing w:after="0"/>
            </w:pPr>
            <w:r>
              <w:rPr>
                <w:sz w:val="18"/>
              </w:rPr>
              <w:t>Specify the evidence to listen for and what to do next if a response shows an access barrier or conceptual gap.</w:t>
            </w:r>
          </w:p>
        </w:tc>
        <w:tc>
          <w:tcPr>
            <w:tcW w:type="dxa" w:w="3389"/>
            <w:tcMar>
              <w:top w:w="85" w:type="dxa"/>
              <w:left w:w="100" w:type="dxa"/>
              <w:bottom w:w="75" w:type="dxa"/>
              <w:right w:w="100" w:type="dxa"/>
            </w:tcMar>
          </w:tcPr>
          <w:p>
            <w:pPr>
              <w:spacing w:after="0"/>
            </w:pPr>
            <w:r>
              <w:rPr>
                <w:sz w:val="18"/>
              </w:rPr>
              <w:t>Chapter 1 presentation follow-ups; ED452B and ED400A evidence-versus-completion distinction.</w:t>
            </w:r>
          </w:p>
        </w:tc>
      </w:tr>
      <w:tr>
        <w:tc>
          <w:tcPr>
            <w:tcW w:type="dxa" w:w="3389"/>
            <w:tcMar>
              <w:top w:w="85" w:type="dxa"/>
              <w:left w:w="100" w:type="dxa"/>
              <w:bottom w:w="75" w:type="dxa"/>
              <w:right w:w="100" w:type="dxa"/>
            </w:tcMar>
          </w:tcPr>
          <w:p>
            <w:pPr>
              <w:spacing w:after="0"/>
            </w:pPr>
            <w:r>
              <w:rPr>
                <w:sz w:val="18"/>
              </w:rPr>
              <w:t>Terms as a work item</w:t>
            </w:r>
          </w:p>
        </w:tc>
        <w:tc>
          <w:tcPr>
            <w:tcW w:type="dxa" w:w="3389"/>
            <w:tcMar>
              <w:top w:w="85" w:type="dxa"/>
              <w:left w:w="100" w:type="dxa"/>
              <w:bottom w:w="75" w:type="dxa"/>
              <w:right w:w="100" w:type="dxa"/>
            </w:tcMar>
          </w:tcPr>
          <w:p>
            <w:pPr>
              <w:spacing w:after="0"/>
            </w:pPr>
            <w:r>
              <w:rPr>
                <w:sz w:val="18"/>
              </w:rPr>
              <w:t>Keep the six terms in encounter order; cue, read, explain, then add the card. Multiple response modes do not replace source-grounded thinking.</w:t>
            </w:r>
          </w:p>
        </w:tc>
        <w:tc>
          <w:tcPr>
            <w:tcW w:type="dxa" w:w="3389"/>
            <w:tcMar>
              <w:top w:w="85" w:type="dxa"/>
              <w:left w:w="100" w:type="dxa"/>
              <w:bottom w:w="75" w:type="dxa"/>
              <w:right w:w="100" w:type="dxa"/>
            </w:tcMar>
          </w:tcPr>
          <w:p>
            <w:pPr>
              <w:spacing w:after="0"/>
            </w:pPr>
            <w:r>
              <w:rPr>
                <w:sz w:val="18"/>
              </w:rPr>
              <w:t>Chapter 1 card routine; EDF447 UDL seminar notes; Chapter 2 printed pages.</w:t>
            </w:r>
          </w:p>
        </w:tc>
      </w:tr>
      <w:tr>
        <w:tc>
          <w:tcPr>
            <w:tcW w:type="dxa" w:w="3389"/>
            <w:tcMar>
              <w:top w:w="85" w:type="dxa"/>
              <w:left w:w="100" w:type="dxa"/>
              <w:bottom w:w="75" w:type="dxa"/>
              <w:right w:w="100" w:type="dxa"/>
            </w:tcMar>
          </w:tcPr>
          <w:p>
            <w:pPr>
              <w:spacing w:after="0"/>
            </w:pPr>
            <w:r>
              <w:rPr>
                <w:sz w:val="18"/>
              </w:rPr>
              <w:t>P. 27 application gate</w:t>
            </w:r>
          </w:p>
        </w:tc>
        <w:tc>
          <w:tcPr>
            <w:tcW w:type="dxa" w:w="3389"/>
            <w:tcMar>
              <w:top w:w="85" w:type="dxa"/>
              <w:left w:w="100" w:type="dxa"/>
              <w:bottom w:w="75" w:type="dxa"/>
              <w:right w:w="100" w:type="dxa"/>
            </w:tcMar>
          </w:tcPr>
          <w:p>
            <w:pPr>
              <w:spacing w:after="0"/>
            </w:pPr>
            <w:r>
              <w:rPr>
                <w:sz w:val="18"/>
              </w:rPr>
              <w:t>Keep the engineering case as ungraded source rehearsal until one textbook option is selected and confirmed with the SBTE.</w:t>
            </w:r>
          </w:p>
        </w:tc>
        <w:tc>
          <w:tcPr>
            <w:tcW w:type="dxa" w:w="3389"/>
            <w:tcMar>
              <w:top w:w="85" w:type="dxa"/>
              <w:left w:w="100" w:type="dxa"/>
              <w:bottom w:w="75" w:type="dxa"/>
              <w:right w:w="100" w:type="dxa"/>
            </w:tcMar>
          </w:tcPr>
          <w:p>
            <w:pPr>
              <w:spacing w:after="0"/>
            </w:pPr>
            <w:r>
              <w:rPr>
                <w:sz w:val="18"/>
              </w:rPr>
              <w:t>September 30 co-planning; p. 27 options; no current assignment authorization.</w:t>
            </w:r>
          </w:p>
        </w:tc>
      </w:tr>
    </w:tbl>
    <w:p>
      <w:pPr>
        <w:pStyle w:val="Heading1"/>
      </w:pPr>
      <w:r>
        <w:t>Source and status note</w:t>
      </w:r>
    </w:p>
    <w:p>
      <w:pPr>
        <w:spacing w:after="60"/>
      </w:pPr>
      <w:r>
        <w:rPr>
          <w:b/>
          <w:color w:val="0F676C"/>
        </w:rPr>
        <w:t xml:space="preserve">Controlling content  </w:t>
      </w:r>
      <w:r>
        <w:t>Principles of Marketing, Chapter 2 Marketing Plan, printed pp. 17–27. The source is restricted and not reproduced in this public-safe guide.</w:t>
      </w:r>
    </w:p>
    <w:p>
      <w:pPr>
        <w:spacing w:after="60"/>
      </w:pPr>
      <w:r>
        <w:rPr>
          <w:b/>
          <w:color w:val="0F676C"/>
        </w:rPr>
        <w:t xml:space="preserve">Instructional evidence  </w:t>
      </w:r>
      <w:r>
        <w:t>Private second-placement transcript corpus and October 2 Block 1/5 reviews; full locators and decision categories are in the private Phase 2 evidence ledger. This guide contains no individual findings.</w:t>
      </w:r>
    </w:p>
    <w:p>
      <w:pPr>
        <w:spacing w:after="60"/>
      </w:pPr>
      <w:r>
        <w:rPr>
          <w:b/>
          <w:color w:val="0F676C"/>
        </w:rPr>
        <w:t xml:space="preserve">Improvement sources  </w:t>
      </w:r>
      <w:r>
        <w:t>Piter’s Warner/UofR artifacts in EDF447, EDE498C, ED452B and ED400A. They inform access, modeling, evidence collection and reflection; they are not SBTE policy.</w:t>
      </w:r>
    </w:p>
    <w:p>
      <w:pPr>
        <w:spacing w:after="60"/>
      </w:pPr>
      <w:r>
        <w:rPr>
          <w:b/>
          <w:color w:val="0F676C"/>
        </w:rPr>
        <w:t xml:space="preserve">Status  </w:t>
      </w:r>
      <w:r>
        <w:t>Recommended teacher-planning guide for independent review. No Teams, school OneDrive/SharePoint, email, official grade or student-facing assignment was changed to create it.</w:t>
      </w:r>
    </w:p>
    <w:sectPr w:rsidR="00FC693F" w:rsidRPr="0006063C" w:rsidSect="00034616">
      <w:footerReference w:type="default" r:id="rId9"/>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C565E"/>
        <w:sz w:val="16"/>
      </w:rPr>
      <w:t xml:space="preserve">Chapter 2  |  Evidence informed teacher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1E30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outeLabel">
    <w:name w:val="Route Label"/>
    <w:basedOn w:val="Normal"/>
    <w:pPr>
      <w:spacing w:after="60"/>
    </w:pPr>
    <w:rPr>
      <w:rFonts w:ascii="Aptos" w:hAnsi="Aptos"/>
      <w:b/>
      <w:color w:val="0F676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