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1B" w:rsidRDefault="00AE1C1B" w:rsidP="00AE1C1B">
      <w:pPr>
        <w:pStyle w:val="2"/>
        <w:numPr>
          <w:ilvl w:val="1"/>
          <w:numId w:val="0"/>
        </w:numPr>
        <w:spacing w:line="560" w:lineRule="exact"/>
        <w:ind w:left="576" w:hanging="576"/>
        <w:jc w:val="center"/>
        <w:rPr>
          <w:rFonts w:ascii="楷体" w:eastAsia="楷体" w:hAnsi="楷体" w:cs="楷体_GB2312"/>
          <w:b/>
          <w:bCs/>
          <w:sz w:val="32"/>
        </w:rPr>
      </w:pPr>
      <w:r>
        <w:rPr>
          <w:rFonts w:ascii="楷体" w:eastAsia="楷体" w:hAnsi="楷体" w:cs="楷体_GB2312" w:hint="eastAsia"/>
          <w:b/>
          <w:bCs/>
          <w:sz w:val="32"/>
        </w:rPr>
        <w:t>信息系统分类表</w:t>
      </w:r>
    </w:p>
    <w:p w:rsidR="00AE1C1B" w:rsidRPr="00AE1C1B" w:rsidRDefault="00AE1C1B" w:rsidP="00AE1C1B">
      <w:pPr>
        <w:rPr>
          <w:rFonts w:hint="eastAsia"/>
        </w:rPr>
      </w:pPr>
      <w:bookmarkStart w:id="0" w:name="_GoBack"/>
      <w:bookmarkEnd w:id="0"/>
    </w:p>
    <w:p w:rsidR="00353F11" w:rsidRDefault="00353F11" w:rsidP="00353F11">
      <w:pPr>
        <w:spacing w:line="560" w:lineRule="exact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表 2：学校信息系统分类表</w:t>
      </w:r>
    </w:p>
    <w:p w:rsidR="00353F11" w:rsidRDefault="00353F11" w:rsidP="00353F11">
      <w:pPr>
        <w:spacing w:line="560" w:lineRule="exact"/>
        <w:jc w:val="center"/>
        <w:rPr>
          <w:rFonts w:ascii="仿宋_GB2312" w:eastAsia="仿宋_GB2312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1406"/>
        <w:gridCol w:w="2676"/>
        <w:gridCol w:w="4990"/>
      </w:tblGrid>
      <w:tr w:rsidR="00353F11" w:rsidTr="00DC5178">
        <w:trPr>
          <w:trHeight w:val="439"/>
          <w:tblHeader/>
          <w:jc w:val="center"/>
        </w:trPr>
        <w:tc>
          <w:tcPr>
            <w:tcW w:w="531" w:type="dxa"/>
            <w:shd w:val="clear" w:color="auto" w:fill="CCCCCC"/>
          </w:tcPr>
          <w:p w:rsidR="00353F11" w:rsidRDefault="00353F11" w:rsidP="00DC51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1406" w:type="dxa"/>
            <w:shd w:val="clear" w:color="auto" w:fill="CCCCCC"/>
            <w:vAlign w:val="center"/>
          </w:tcPr>
          <w:p w:rsidR="00353F11" w:rsidRDefault="00353F11" w:rsidP="00DC51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分类</w:t>
            </w:r>
          </w:p>
        </w:tc>
        <w:tc>
          <w:tcPr>
            <w:tcW w:w="2676" w:type="dxa"/>
            <w:shd w:val="clear" w:color="auto" w:fill="CCCCCC"/>
            <w:vAlign w:val="center"/>
          </w:tcPr>
          <w:p w:rsidR="00353F11" w:rsidRDefault="00353F11" w:rsidP="00DC51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信息系统</w:t>
            </w:r>
          </w:p>
        </w:tc>
        <w:tc>
          <w:tcPr>
            <w:tcW w:w="4990" w:type="dxa"/>
            <w:shd w:val="clear" w:color="auto" w:fill="CCCCCC"/>
            <w:vAlign w:val="center"/>
          </w:tcPr>
          <w:p w:rsidR="00353F11" w:rsidRDefault="00353F11" w:rsidP="00DC517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业务描述</w:t>
            </w:r>
          </w:p>
        </w:tc>
      </w:tr>
      <w:tr w:rsidR="00353F11" w:rsidTr="00DC5178">
        <w:trPr>
          <w:trHeight w:val="434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 w:val="restart"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01</w:t>
            </w:r>
            <w:r>
              <w:rPr>
                <w:sz w:val="24"/>
              </w:rPr>
              <w:t>）</w:t>
            </w:r>
          </w:p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校务管理类</w:t>
            </w: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(01)</w:t>
            </w:r>
            <w:r>
              <w:rPr>
                <w:sz w:val="24"/>
              </w:rPr>
              <w:t>办公与事务处理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公文流转与日常办公事务处理等。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(02)</w:t>
            </w:r>
            <w:r>
              <w:rPr>
                <w:sz w:val="24"/>
              </w:rPr>
              <w:t>公文与信息交换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上下级教育行政部门和学校之间的文件传输、信息报送等。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(03)</w:t>
            </w:r>
            <w:r>
              <w:rPr>
                <w:sz w:val="24"/>
              </w:rPr>
              <w:t>人事管理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人力资源管理，如人员招聘、合同管理、工资管理、培训管理、绩效考核、奖惩管理等。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(04)</w:t>
            </w:r>
            <w:r>
              <w:rPr>
                <w:sz w:val="24"/>
              </w:rPr>
              <w:t>财务管理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会计核算、项目经费管理、财务信息发布等。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(05)</w:t>
            </w:r>
            <w:r>
              <w:rPr>
                <w:sz w:val="24"/>
              </w:rPr>
              <w:t>资产管理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固定资产、仪器设备、公房管理等。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(06)</w:t>
            </w:r>
            <w:r>
              <w:rPr>
                <w:sz w:val="24"/>
              </w:rPr>
              <w:t>后勤管理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后勤工作管理、后勤服务项目管理、后勤咨询投诉处理、能源使用管理等。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(07)</w:t>
            </w:r>
            <w:r>
              <w:rPr>
                <w:sz w:val="24"/>
              </w:rPr>
              <w:t>学生教育工作管理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各类学生迎新、学生评估、奖惩管理、助学贷款申请审核、离校管理等。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(08)</w:t>
            </w:r>
            <w:r>
              <w:rPr>
                <w:sz w:val="24"/>
              </w:rPr>
              <w:t>学生体质健康数据管理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各类学生体质健康数据采集、处理、查询等。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(09)</w:t>
            </w:r>
            <w:r>
              <w:rPr>
                <w:sz w:val="24"/>
              </w:rPr>
              <w:t>档案管理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档案采集、立卷、组卷、统计、查询等。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(10)</w:t>
            </w:r>
            <w:r>
              <w:rPr>
                <w:sz w:val="24"/>
              </w:rPr>
              <w:t>党务管理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党员个人基本信息管理、发展党员信息管理、党员进出情况信息管理、党员奖惩信息管理、党组织活动信息发布等。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 w:val="restart"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02</w:t>
            </w:r>
            <w:r>
              <w:rPr>
                <w:sz w:val="24"/>
              </w:rPr>
              <w:t>）</w:t>
            </w:r>
          </w:p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教学科研</w:t>
            </w:r>
            <w:r>
              <w:rPr>
                <w:sz w:val="24"/>
              </w:rPr>
              <w:lastRenderedPageBreak/>
              <w:t>类</w:t>
            </w: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(01)</w:t>
            </w:r>
            <w:r>
              <w:rPr>
                <w:sz w:val="24"/>
              </w:rPr>
              <w:t>教学改革管理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教改项目申报、政策与标准发布、教学状态数据库管理等。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(02)</w:t>
            </w:r>
            <w:r>
              <w:rPr>
                <w:sz w:val="24"/>
              </w:rPr>
              <w:t>学科、专业管理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学科和专业的申报、建设、评估等。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(03)</w:t>
            </w:r>
            <w:r>
              <w:rPr>
                <w:sz w:val="24"/>
              </w:rPr>
              <w:t>教务教学管理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各类学生教育管理、学生学籍管理、教学计划管理、选课管理、成绩管理、学分转移与互认、教学实践管理、实训管理、教室管理、毕业管理、学位管理等。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(04)</w:t>
            </w:r>
            <w:r>
              <w:rPr>
                <w:sz w:val="24"/>
              </w:rPr>
              <w:t>教学资源管理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互动教学平台、教育教学资源制作、发布、共享及教学活动组织管理等。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(05)</w:t>
            </w:r>
            <w:r>
              <w:rPr>
                <w:sz w:val="24"/>
              </w:rPr>
              <w:t>教学质量评估与保障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学校教学能力、教学水平、教学过程、教学效果评测与保障等。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(06)</w:t>
            </w:r>
            <w:r>
              <w:rPr>
                <w:sz w:val="24"/>
              </w:rPr>
              <w:t>科研项目管理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科研项目申报、过程管理、经费管理、结果评估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科研与实验的协同、资源共享管理等。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(07)</w:t>
            </w:r>
            <w:r>
              <w:rPr>
                <w:sz w:val="24"/>
              </w:rPr>
              <w:t>科研情报管理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各种科研情报获取、共享与管理等。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 w:val="restart"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03</w:t>
            </w:r>
            <w:r>
              <w:rPr>
                <w:sz w:val="24"/>
              </w:rPr>
              <w:t>）</w:t>
            </w:r>
          </w:p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招生就业类</w:t>
            </w: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  <w:highlight w:val="yellow"/>
              </w:rPr>
            </w:pPr>
            <w:r>
              <w:rPr>
                <w:sz w:val="24"/>
              </w:rPr>
              <w:t>(01)</w:t>
            </w:r>
            <w:r>
              <w:rPr>
                <w:sz w:val="24"/>
              </w:rPr>
              <w:t>招生</w:t>
            </w:r>
            <w:r>
              <w:rPr>
                <w:rFonts w:hint="eastAsia"/>
                <w:sz w:val="24"/>
              </w:rPr>
              <w:t>录取</w:t>
            </w:r>
            <w:r>
              <w:rPr>
                <w:sz w:val="24"/>
              </w:rPr>
              <w:t>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  <w:highlight w:val="yellow"/>
              </w:rPr>
            </w:pPr>
            <w:r>
              <w:rPr>
                <w:sz w:val="24"/>
              </w:rPr>
              <w:t>招生信息发布、网上报名、招生、录取管理等。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  <w:highlight w:val="yellow"/>
              </w:rPr>
            </w:pPr>
            <w:r>
              <w:rPr>
                <w:sz w:val="24"/>
              </w:rPr>
              <w:t>(02)</w:t>
            </w:r>
            <w:r>
              <w:rPr>
                <w:sz w:val="24"/>
              </w:rPr>
              <w:t>学生就业管理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  <w:highlight w:val="yellow"/>
              </w:rPr>
            </w:pPr>
            <w:r>
              <w:rPr>
                <w:sz w:val="24"/>
              </w:rPr>
              <w:t>学生就业信息发布、就业管理、就业数据分析、就业指导等。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 w:val="restart"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04</w:t>
            </w:r>
            <w:r>
              <w:rPr>
                <w:sz w:val="24"/>
              </w:rPr>
              <w:t>）</w:t>
            </w:r>
          </w:p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综合服务类</w:t>
            </w: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(01)</w:t>
            </w:r>
            <w:r>
              <w:rPr>
                <w:sz w:val="24"/>
              </w:rPr>
              <w:t>门户网站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官方信息发布、校务公开、政策咨询、社会服务等。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(02)</w:t>
            </w:r>
            <w:r>
              <w:rPr>
                <w:sz w:val="24"/>
              </w:rPr>
              <w:t>论坛、社区类网站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即时消息、在线交互、论坛、博客、微博、</w:t>
            </w:r>
            <w:r>
              <w:rPr>
                <w:sz w:val="24"/>
              </w:rPr>
              <w:t>BBS</w:t>
            </w:r>
            <w:r>
              <w:rPr>
                <w:sz w:val="24"/>
              </w:rPr>
              <w:t>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(03)</w:t>
            </w:r>
            <w:r>
              <w:rPr>
                <w:sz w:val="24"/>
              </w:rPr>
              <w:t>数字图书馆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馆藏书目信息维护及查询、图书借阅管理、电子期刊数据查询等。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(04)</w:t>
            </w:r>
            <w:r>
              <w:rPr>
                <w:sz w:val="24"/>
              </w:rPr>
              <w:t>电子邮件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电子邮件发送、接收、查询等。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(05)</w:t>
            </w:r>
            <w:r>
              <w:rPr>
                <w:sz w:val="24"/>
              </w:rPr>
              <w:t>视频服务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在线声音、影像及文件资料的即时共享、视频</w:t>
            </w:r>
            <w:r>
              <w:rPr>
                <w:sz w:val="24"/>
              </w:rPr>
              <w:lastRenderedPageBreak/>
              <w:t>会议、视频点播直播等。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(06)</w:t>
            </w:r>
            <w:r>
              <w:rPr>
                <w:sz w:val="24"/>
              </w:rPr>
              <w:t>安防监控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重要场所远程监控、安全预警等。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(07)</w:t>
            </w:r>
            <w:r>
              <w:rPr>
                <w:sz w:val="24"/>
              </w:rPr>
              <w:t>校园一卡通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饭卡、学生证、工作证、医疗卡、上机卡、考勤卡、门禁卡等应用项目的统一认证管理服务等。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(08)</w:t>
            </w:r>
            <w:r>
              <w:rPr>
                <w:sz w:val="24"/>
              </w:rPr>
              <w:t>内网门户与身份认证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信息聚合与展现、身份认证、单点登录、权限控制、</w:t>
            </w:r>
            <w:r>
              <w:rPr>
                <w:sz w:val="24"/>
              </w:rPr>
              <w:t>CA</w:t>
            </w:r>
            <w:r>
              <w:rPr>
                <w:sz w:val="24"/>
              </w:rPr>
              <w:t>证书管理等。</w:t>
            </w:r>
          </w:p>
        </w:tc>
      </w:tr>
      <w:tr w:rsidR="00353F11" w:rsidTr="00DC5178">
        <w:trPr>
          <w:trHeight w:val="397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(09)</w:t>
            </w:r>
            <w:r>
              <w:rPr>
                <w:sz w:val="24"/>
              </w:rPr>
              <w:t>公共数据库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数据共享交换、数据分析、综合查询等。</w:t>
            </w:r>
          </w:p>
        </w:tc>
      </w:tr>
      <w:tr w:rsidR="00353F11" w:rsidTr="00DC5178">
        <w:trPr>
          <w:trHeight w:val="503"/>
          <w:jc w:val="center"/>
        </w:trPr>
        <w:tc>
          <w:tcPr>
            <w:tcW w:w="531" w:type="dxa"/>
          </w:tcPr>
          <w:p w:rsidR="00353F11" w:rsidRDefault="00353F11" w:rsidP="00353F11">
            <w:pPr>
              <w:numPr>
                <w:ilvl w:val="0"/>
                <w:numId w:val="2"/>
              </w:num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1406" w:type="dxa"/>
            <w:vMerge/>
            <w:vAlign w:val="center"/>
          </w:tcPr>
          <w:p w:rsidR="00353F11" w:rsidRDefault="00353F11" w:rsidP="00DC5178">
            <w:pPr>
              <w:spacing w:line="560" w:lineRule="exact"/>
              <w:jc w:val="center"/>
              <w:rPr>
                <w:sz w:val="24"/>
              </w:rPr>
            </w:pPr>
          </w:p>
        </w:tc>
        <w:tc>
          <w:tcPr>
            <w:tcW w:w="2676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(10)</w:t>
            </w:r>
            <w:r>
              <w:rPr>
                <w:sz w:val="24"/>
              </w:rPr>
              <w:t>运维管理</w:t>
            </w:r>
          </w:p>
        </w:tc>
        <w:tc>
          <w:tcPr>
            <w:tcW w:w="4990" w:type="dxa"/>
            <w:vAlign w:val="center"/>
          </w:tcPr>
          <w:p w:rsidR="00353F11" w:rsidRDefault="00353F11" w:rsidP="00DC5178">
            <w:pPr>
              <w:spacing w:line="560" w:lineRule="exact"/>
              <w:rPr>
                <w:sz w:val="24"/>
              </w:rPr>
            </w:pPr>
            <w:r>
              <w:rPr>
                <w:sz w:val="24"/>
              </w:rPr>
              <w:t>校园网运行监控、设备管理、维护、计费等。</w:t>
            </w:r>
          </w:p>
        </w:tc>
      </w:tr>
    </w:tbl>
    <w:p w:rsidR="00353F11" w:rsidRDefault="00353F11" w:rsidP="00353F11">
      <w:pPr>
        <w:pStyle w:val="2"/>
        <w:numPr>
          <w:ilvl w:val="1"/>
          <w:numId w:val="0"/>
        </w:numPr>
        <w:spacing w:line="560" w:lineRule="exact"/>
        <w:ind w:left="576" w:hanging="576"/>
        <w:rPr>
          <w:rFonts w:ascii="楷体_GB2312" w:eastAsia="楷体_GB2312" w:hAnsi="楷体_GB2312" w:cs="楷体_GB2312"/>
          <w:b/>
          <w:bCs/>
          <w:sz w:val="32"/>
        </w:rPr>
      </w:pPr>
    </w:p>
    <w:p w:rsidR="00D33D90" w:rsidRPr="00353F11" w:rsidRDefault="00D33D90"/>
    <w:sectPr w:rsidR="00D33D90" w:rsidRPr="0035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81" w:rsidRDefault="00BC3981" w:rsidP="00AE1C1B">
      <w:r>
        <w:separator/>
      </w:r>
    </w:p>
  </w:endnote>
  <w:endnote w:type="continuationSeparator" w:id="0">
    <w:p w:rsidR="00BC3981" w:rsidRDefault="00BC3981" w:rsidP="00AE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81" w:rsidRDefault="00BC3981" w:rsidP="00AE1C1B">
      <w:r>
        <w:separator/>
      </w:r>
    </w:p>
  </w:footnote>
  <w:footnote w:type="continuationSeparator" w:id="0">
    <w:p w:rsidR="00BC3981" w:rsidRDefault="00BC3981" w:rsidP="00AE1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F1B1D"/>
    <w:multiLevelType w:val="multilevel"/>
    <w:tmpl w:val="691F1B1D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 Unicode MS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 Unicode MS" w:hAnsi="Arial" w:cs="Aria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11"/>
    <w:rsid w:val="00353F11"/>
    <w:rsid w:val="00AE1C1B"/>
    <w:rsid w:val="00BC3981"/>
    <w:rsid w:val="00D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EA7B"/>
  <w15:chartTrackingRefBased/>
  <w15:docId w15:val="{A2EE443F-6C2D-4794-80A4-A31086C7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1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qFormat/>
    <w:rsid w:val="00353F11"/>
    <w:pPr>
      <w:keepNext/>
      <w:keepLines/>
      <w:numPr>
        <w:ilvl w:val="1"/>
        <w:numId w:val="1"/>
      </w:numPr>
      <w:spacing w:before="240" w:line="360" w:lineRule="auto"/>
      <w:outlineLvl w:val="1"/>
    </w:pPr>
    <w:rPr>
      <w:rFonts w:eastAsia="黑体"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53F11"/>
    <w:rPr>
      <w:rFonts w:ascii="Times New Roman" w:eastAsia="黑体" w:hAnsi="Times New Roman" w:cs="Times New Roman"/>
      <w:kern w:val="0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E1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C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C1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1107</Characters>
  <Application>Microsoft Office Word</Application>
  <DocSecurity>0</DocSecurity>
  <Lines>9</Lines>
  <Paragraphs>2</Paragraphs>
  <ScaleCrop>false</ScaleCrop>
  <Company>福州大学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2</cp:revision>
  <dcterms:created xsi:type="dcterms:W3CDTF">2016-06-28T01:35:00Z</dcterms:created>
  <dcterms:modified xsi:type="dcterms:W3CDTF">2016-06-28T01:36:00Z</dcterms:modified>
</cp:coreProperties>
</file>