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Tomcat-manage管理</w:t>
      </w:r>
    </w:p>
    <w:p>
      <w:pPr>
        <w:rPr>
          <w:rFonts w:hint="default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808605"/>
            <wp:effectExtent l="0" t="0" r="7620" b="10795"/>
            <wp:docPr id="1" name="图片 1" descr="Snipaste_2019-10-21_15-01-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nipaste_2019-10-21_15-01-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选择取消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2300605"/>
            <wp:effectExtent l="0" t="0" r="8255" b="4445"/>
            <wp:docPr id="3" name="图片 3" descr="Snipaste_2019-10-21_15-01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nipaste_2019-10-21_15-01-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找到对应配置文件进行相应的配置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4457700"/>
            <wp:effectExtent l="0" t="0" r="444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选择登录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808605"/>
            <wp:effectExtent l="0" t="0" r="7620" b="10795"/>
            <wp:docPr id="4" name="图片 4" descr="Snipaste_2019-10-21_15-02-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nipaste_2019-10-21_15-02-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634BD"/>
    <w:rsid w:val="21E6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2019-10-21T07:03:00Z</dcterms:created>
  <dc:creator>若水行兰</dc:creator>
  <cp:lastModifiedBy>若水行兰</cp:lastModifiedBy>
  <dcterms:modified xsi:type="dcterms:W3CDTF">2019-10-21T07:06:24Z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