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2E7D32"/>
          <w:sz w:val="56"/>
          <w:szCs w:val="56"/>
        </w:rPr>
        <w:t>SolarGap Brasil</w:t>
      </w:r>
    </w:p>
    <w:p>
      <w:pPr>
        <w:pStyle w:val="Normal"/>
        <w:spacing w:before="0" w:after="40"/>
        <w:jc w:val="center"/>
        <w:rPr/>
      </w:pPr>
      <w:r>
        <w:rPr>
          <w:i/>
          <w:iCs/>
          <w:color w:val="F9A825"/>
          <w:sz w:val="26"/>
          <w:szCs w:val="26"/>
        </w:rPr>
        <w:t>Onde está o próximo mercado solar?</w:t>
      </w:r>
    </w:p>
    <w:p>
      <w:pPr>
        <w:pStyle w:val="Normal"/>
        <w:spacing w:before="0" w:after="60"/>
        <w:jc w:val="center"/>
        <w:rPr/>
      </w:pPr>
      <w:r>
        <w:rPr>
          <w:color w:val="595959"/>
          <w:sz w:val="30"/>
          <w:szCs w:val="30"/>
        </w:rPr>
        <w:t>Project Charter</w:t>
      </w:r>
    </w:p>
    <w:p>
      <w:pPr>
        <w:pStyle w:val="Normal"/>
        <w:spacing w:before="0" w:after="400"/>
        <w:jc w:val="center"/>
        <w:rPr/>
      </w:pPr>
      <w:r>
        <w:rPr>
          <w:color w:val="595959"/>
          <w:sz w:val="18"/>
          <w:szCs w:val="18"/>
        </w:rPr>
        <w:t>TP2 — Inteligência Artificial Aplicada à Ciência de Dados  |  Pâmela Lima Ziliotto  |  Atualizado em 22/09/2026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1. Contexto e Justificativa do Negócio</w:t>
      </w:r>
    </w:p>
    <w:p>
      <w:pPr>
        <w:pStyle w:val="Heading3"/>
        <w:rPr>
          <w:color w:val="2E7D32"/>
        </w:rPr>
      </w:pPr>
      <w:r>
        <w:rPr>
          <w:color w:val="2E7D32"/>
        </w:rPr>
        <w:t>1.1 Motivação e Inspiração</w:t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A ideia do SolarGap Brasil surgiu de conversas recorrentes com um amigo que atua há anos no setor de energia solar. Um aspecto dessas conversas sempre chamou atenção: uma empresa de pequeno porte, sediada no interior do Rio Grande do Sul, atende clientes em todo o país. Esse alcance sugere que a demanda por geração solar distribuída não segue necessariamente a geografia dos grandes centros e que pode haver mercados pouco explorados em regiões que raramente aparecem no debate.</w:t>
      </w:r>
    </w:p>
    <w:p>
      <w:pPr>
        <w:pStyle w:val="Normal"/>
        <w:spacing w:lineRule="auto" w:line="300"/>
        <w:rPr>
          <w:sz w:val="6"/>
          <w:szCs w:val="6"/>
        </w:rPr>
      </w:pPr>
      <w:r>
        <w:rPr>
          <w:sz w:val="6"/>
          <w:szCs w:val="6"/>
        </w:rPr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O tema também se conecta ao ODS 7 (Energia Limpa e Acessível), um dos eixos propostos pela disciplina e detalhado na seção 4. Outra influência vem de um período vivendo na Europa, onde é comum ver propriedades fora das grandes cidades com geração solar própria. Nesse contexto, discussões como a da iniciativa Desertec, que propôs grandes usinas solares no Saara, ilustram um ponto central para este projeto: abundância de sol e viabilidade técnica não bastam. A expansão da energia limpa depende de planejamento, infraestrutura e de onde a demanda efetivamente está.</w:t>
      </w:r>
    </w:p>
    <w:p>
      <w:pPr>
        <w:pStyle w:val="Normal"/>
        <w:spacing w:lineRule="auto" w:line="30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O projeto parte da premissa de que políticas públicas isoladas têm alcance limitado. A adoção em escala se sustenta quando a energia limpa também é economicamente atrativa para empresas e consumidores. Por isso, o SolarGap Brasil busca identificar lacunas regionais na adoção de geração solar distribuída. Essa informação pode ajudar a direcionar incentivos governamentais e também mostrar ao mercado onde há espaço para crescer.</w:t>
      </w:r>
    </w:p>
    <w:p>
      <w:pPr>
        <w:pStyle w:val="Heading3"/>
        <w:rPr/>
      </w:pPr>
      <w:r>
        <w:rPr>
          <w:color w:val="2E7D32"/>
        </w:rPr>
        <w:t>1.2 Contexto</w:t>
      </w:r>
    </w:p>
    <w:p>
      <w:pPr>
        <w:pStyle w:val="Normal"/>
        <w:spacing w:lineRule="auto" w:line="300" w:before="0" w:after="160"/>
        <w:rPr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Desde a promulgação da Lei 14.300/2022 (Marco Legal da Geração Distribuída), a geração distribuída de energia solar cresceu de forma acentuada no Brasil. No entanto, há indícios de que esse crescimento não se distribui de forma equânime entre os estados — o que pode aprofundar desigualdades regionais de acesso à transição energética.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O SolarGap Brasil propõe mapear e quantificar essa disparidade, transformando dados públicos da ANEEL e do IBGE em um painel interativo capaz de identificar quais estados estão liderando e quais estão ficando para trás na adoção de energia solar distribuída — revelando, ao mesmo tempo, onde estão as oportunidades ainda não exploradas pelo mercado solar.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2. Objetivos do Projeto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Mapear e quantificar a disparidade regional na adoção de geração solar distribuída nos 27 estados brasileiros, normalizada por população, identificando os estados que lideram, os que ficam para trás e aqueles com potencial de mercado ainda não explorado.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No TP2, esse objetivo foi atingido para o recorte estadual: o dashboard apresenta o ranking das 27 UFs em quatro métricas, com os dados tratados, corrigidos e validados contra o painel oficial da ANEEL. O pipeline é reprodutível de ponta a ponta: cada nova publicação mensal da ANEEL é incorporada executando novamente os scripts de coleta e das camadas Silver e Gold.</w:t>
      </w:r>
    </w:p>
    <w:p>
      <w:pPr>
        <w:pStyle w:val="Heading2"/>
        <w:spacing w:before="240" w:after="120"/>
        <w:rPr/>
      </w:pPr>
      <w:r>
        <w:rPr>
          <w:color w:val="595959"/>
        </w:rPr>
        <w:t>Indicadores de Sucesso (KPIs)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2400"/>
        <w:gridCol w:w="4560"/>
        <w:gridCol w:w="2400"/>
      </w:tblGrid>
      <w:tr>
        <w:trPr>
          <w:tblHeader w:val="true"/>
          <w:cantSplit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Indicador</w:t>
            </w:r>
          </w:p>
        </w:tc>
        <w:tc>
          <w:tcPr>
            <w:tcW w:w="4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Definição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Situação no TP2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Watts por habitante</w:t>
            </w:r>
          </w:p>
        </w:tc>
        <w:tc>
          <w:tcPr>
            <w:tcW w:w="4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Potência solar instalada (W) dividida pela população do Censo 2022, por estado. Métrica per capita principal.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Implementado — aba Panorama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Empreendimentos por 100 mil habitantes</w:t>
            </w:r>
          </w:p>
        </w:tc>
        <w:tc>
          <w:tcPr>
            <w:tcW w:w="4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Sistemas conectados por 100 mil habitantes. Mede difusão; a potência mede volume investido.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Implementado — aba Panorama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Ranking de disparidade</w:t>
            </w:r>
          </w:p>
        </w:tc>
        <w:tc>
          <w:tcPr>
            <w:tcW w:w="4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Posição das 27 UFs em cada métrica, com a média nacional como referência e destaque de uma UF escolhida pelo usuário.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Implementado — aba Panorama</w:t>
            </w:r>
          </w:p>
        </w:tc>
      </w:tr>
      <w:tr>
        <w:trPr>
          <w:cantSplit w:val="true"/>
        </w:trPr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Taxa de crescimento anual</w:t>
            </w:r>
          </w:p>
        </w:tc>
        <w:tc>
          <w:tcPr>
            <w:tcW w:w="4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Variação percentual ano a ano da potência instalada, por estado.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Parcial — série anual na aba Evolução; cálculo da variação previsto para o TP3</w:t>
            </w:r>
          </w:p>
        </w:tc>
      </w:tr>
    </w:tbl>
    <w:p>
      <w:pPr>
        <w:pStyle w:val="Normal"/>
        <w:spacing w:lineRule="auto" w:line="300" w:before="160" w:after="80"/>
        <w:rPr/>
      </w:pPr>
      <w:r>
        <w:rPr>
          <w:i w:val="false"/>
          <w:iCs w:val="false"/>
          <w:sz w:val="22"/>
          <w:szCs w:val="22"/>
        </w:rPr>
        <w:t xml:space="preserve">A métrica definida no TP1 (MW por 100 mil habitantes) foi substituída por watts por habitante. É a mesma razão em outra escala (1 MW por 100 mil habitantes equivale a 10 W por habitante), com ordem de grandeza mais legível e unidade usual no setor.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3. Escopo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Dashboard interativo em Streamlit exibindo a distribuição estadual de potência instalada em geração solar distribuída, normalizada por população, com identificação de disparidades regionais. Ao longo do curso, o projeto evolui incorporando web scraping (contexto qualitativo de notícias e incentivos estaduais), uma API própria em FastAPI, processamento de linguagem natural com um modelo de IA local, e, na etapa final, um agente inteligente de recomendação.</w:t>
      </w:r>
    </w:p>
    <w:p>
      <w:pPr>
        <w:pStyle w:val="Heading2"/>
        <w:spacing w:before="240" w:after="120"/>
        <w:rPr/>
      </w:pPr>
      <w:r>
        <w:rPr>
          <w:color w:val="595959"/>
        </w:rPr>
        <w:t>Entregas do TP2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Camadas Silver e Gold implementadas, com critérios de exclusão, correções documentadas e validação contra o painel oficial da ANEEL. Coleta de 114 notícias da Agência Brasil por web scraping com BeautifulSoup. Dashboard com quatro abas (Panorama, Evolução, Notícias e Dados), filtros por visão dos dados, métrica, período e classe de consumo, cache, estado de sessão e serviço de upload e download de CSV.</w:t>
      </w:r>
    </w:p>
    <w:p>
      <w:pPr>
        <w:pStyle w:val="Heading2"/>
        <w:spacing w:before="240" w:after="120"/>
        <w:rPr/>
      </w:pPr>
      <w:r>
        <w:rPr>
          <w:color w:val="595959"/>
        </w:rPr>
        <w:t>Ajustes de escopo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A coleta da adesão estadual ao Convênio ICMS 16/2015 (CONFAZ), inicialmente considerada para o TP2, foi transferida para o TP3, etapa em que a revisão das fontes de dados faz parte do enunciado. A camada Gold já está preparada para receber essa informação sem alteração de esquema.</w:t>
      </w:r>
    </w:p>
    <w:p>
      <w:pPr>
        <w:pStyle w:val="Heading2"/>
        <w:spacing w:before="240" w:after="120"/>
        <w:rPr/>
      </w:pPr>
      <w:r>
        <w:rPr>
          <w:color w:val="595959"/>
        </w:rPr>
        <w:t>Fora do escopo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Previsão de adoção futura, análise de viabilidade financeira de projetos individuais e dados de geração centralizada (grandes usinas conectadas ao Sistema Interligado Nacional).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4. Objetivos de Desenvolvimento Sustentável (ODS)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2600"/>
        <w:gridCol w:w="1400"/>
        <w:gridCol w:w="5360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ODS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Papel</w:t>
            </w:r>
          </w:p>
        </w:tc>
        <w:tc>
          <w:tcPr>
            <w:tcW w:w="5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Justificativa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ODS 7 — Energia Limpa e Acessível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Principal</w:t>
            </w:r>
          </w:p>
        </w:tc>
        <w:tc>
          <w:tcPr>
            <w:tcW w:w="5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 projeto trata diretamente da meta 7.2 (ampliar a participação de renováveis na matriz energética) e 7.b (expandir e modernizar infraestrutura de energia sustentável).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ODS 10 — Redução das Desigualdades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Secundário</w:t>
            </w:r>
          </w:p>
        </w:tc>
        <w:tc>
          <w:tcPr>
            <w:tcW w:w="5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 recorte central do projeto é a disparidade regional de adoção, dialogando com a meta 10.2 (promover inclusão socioeconômica independentemente da localização geográfica).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5. Público-Alvo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Formuladores de política energética estadual (secretarias de energia e meio ambiente)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Empresas do setor solar avaliando onde expandir operação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ONGs de justiça e transição energética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Pesquisadores e jornalistas de dados cobrindo o tema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6. Stakeholders do Projeto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Stakeholder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Papel no Projeto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Professor / avaliador do curso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Avalia entregas técnicas e documentação em cada TP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Pâmela Lima Ziliotto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Desenvolvedora e responsável pelo projeto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Usuário final (políticas públicas / setor solar)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Consome os insights do dashboard para decisão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7. Cronograma Macro (TDSP)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200"/>
        <w:gridCol w:w="6060"/>
        <w:gridCol w:w="21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Etapa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Foco Principal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Situação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TP1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Fundação: problema de negócio, dados ANEEL/IBGE, demo Streamlit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Concluído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TP2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Camadas Silver e Gold, web scraping (BeautifulSoup), dashboard interativo com cache, estado de sessão e upload/download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Concluído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TP3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Múltiplas páginas, adesão ao ICMS (CONFAZ), scraping dinâmico se necessário (Selenium), API própria (FastAPI)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Planejado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TP4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LLM local via HuggingFace/Transformers: resumo e sentimento do corpus de notícias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Planejado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TP5</w:t>
            </w:r>
          </w:p>
        </w:tc>
        <w:tc>
          <w:tcPr>
            <w:tcW w:w="6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Agente inteligente de recomendação + dashboard final consolidado</w:t>
            </w:r>
          </w:p>
        </w:tc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Planejado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8. Principais Decisões e Riscos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2800"/>
        <w:gridCol w:w="1400"/>
        <w:gridCol w:w="5160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Tratamento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Registros do Maranhão sem fonte de geração (73 mil)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Decisão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Imputados como solares, com marcação. O dashboard alterna entre a visão corrigida e o critério ANEEL (Data Summary Report, seções 3.4 e 3.6).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Divergência de potência com o painel oficial (6,3%)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Risco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Registrada como pendência. A contagem de empreendimentos, com diferença de 1,2%, valida o pipeline.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Bloqueio geográfico do portal da ANEEL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Risco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Camada Gold versionada: o dashboard roda sem a base completa.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Dependência de site externo no web scraping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Risco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HTML salvo em cache local e extração independente das classes CSS do site.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Dados pessoais na base da ANEEL</w:t>
            </w:r>
          </w:p>
        </w:tc>
        <w:tc>
          <w:tcPr>
            <w:tcW w:w="1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Governança</w:t>
            </w:r>
          </w:p>
        </w:tc>
        <w:tc>
          <w:tcPr>
            <w:tcW w:w="5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CPF/CNPJ e nome do titular excluídos na leitura; nunca carregados em memória.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9. Fontes de Dados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 xml:space="preserve">ANEEL — Relação de Empreendimentos de Micro e Minigeração Distribuída; IBGE — Censo Demográfico 2022 (população por UF e por município); Agência Brasil — notícias sobre energia solar e geração distribuída, coletadas por web scraping. O detalhamento de formatos, tratamentos, validações e licenças está no Data Summary Report que acompanha este documento.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6"/>
        <w:szCs w:val="16"/>
      </w:rPr>
      <w:t xml:space="preserve">Página </w:t>
    </w:r>
    <w:r>
      <w:rPr>
        <w:i w:val="false"/>
        <w:iCs w:val="false"/>
        <w:sz w:val="22"/>
        <w:szCs w:val="22"/>
      </w:rPr>
      <w:fldChar w:fldCharType="begin"/>
    </w:r>
    <w:r>
      <w:rPr>
        <w:i w:val="false"/>
        <w:iCs w:val="false"/>
        <w:sz w:val="22"/>
        <w:szCs w:val="22"/>
      </w:rPr>
      <w:instrText xml:space="preserve"> PAGE </w:instrText>
    </w:r>
    <w:r>
      <w:rPr>
        <w:i w:val="false"/>
        <w:iCs w:val="false"/>
        <w:sz w:val="22"/>
        <w:szCs w:val="22"/>
      </w:rPr>
      <w:fldChar w:fldCharType="separate"/>
    </w:r>
    <w:r>
      <w:rPr>
        <w:i w:val="false"/>
        <w:iCs w:val="false"/>
        <w:sz w:val="22"/>
        <w:szCs w:val="22"/>
      </w:rPr>
      <w:t>3</w:t>
    </w:r>
    <w:r>
      <w:rPr>
        <w:i w:val="false"/>
        <w:iCs w:val="false"/>
        <w:sz w:val="22"/>
        <w:szCs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6"/>
        <w:szCs w:val="16"/>
      </w:rPr>
      <w:t xml:space="preserve">Página </w:t>
    </w:r>
    <w:r>
      <w:rPr>
        <w:i w:val="false"/>
        <w:iCs w:val="false"/>
        <w:sz w:val="22"/>
        <w:szCs w:val="22"/>
      </w:rPr>
      <w:fldChar w:fldCharType="begin"/>
    </w:r>
    <w:r>
      <w:rPr>
        <w:i w:val="false"/>
        <w:iCs w:val="false"/>
        <w:sz w:val="22"/>
        <w:szCs w:val="22"/>
      </w:rPr>
      <w:instrText xml:space="preserve"> PAGE </w:instrText>
    </w:r>
    <w:r>
      <w:rPr>
        <w:i w:val="false"/>
        <w:iCs w:val="false"/>
        <w:sz w:val="22"/>
        <w:szCs w:val="22"/>
      </w:rPr>
      <w:fldChar w:fldCharType="separate"/>
    </w:r>
    <w:r>
      <w:rPr>
        <w:i w:val="false"/>
        <w:iCs w:val="false"/>
        <w:sz w:val="22"/>
        <w:szCs w:val="22"/>
      </w:rPr>
      <w:t>3</w:t>
    </w:r>
    <w:r>
      <w:rPr>
        <w:i w:val="false"/>
        <w:iCs w:val="false"/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95959"/>
        <w:sz w:val="16"/>
        <w:szCs w:val="16"/>
      </w:rPr>
      <w:t>SolarGap Brasil — Project Charter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95959"/>
        <w:sz w:val="16"/>
        <w:szCs w:val="16"/>
      </w:rPr>
      <w:t>SolarGap Brasil — Project Charter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pt-BR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LibreOffice/26.2.0.3$Windows_X86_64 LibreOffice_project/620$Build-3</Application>
  <AppVersion>15.0000</AppVersion>
  <Pages>3</Pages>
  <Words>764</Words>
  <Characters>4335</Characters>
  <CharactersWithSpaces>5040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2026-08-17T21:30:09Z</dcterms:created>
  <dc:creator>Un-named</dc:creator>
  <dc:description/>
  <dc:language>pt-BR</dc:language>
  <cp:lastModifiedBy/>
  <dcterms:modified xsi:type="dcterms:W3CDTF">2026-09-20T13:04:51Z</dcterms:modified>
  <cp:revision>3</cp:revision>
  <dc:subject/>
  <dc:title/>
</cp:coreProperties>
</file>