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2E7D32"/>
          <w:sz w:val="56"/>
          <w:szCs w:val="56"/>
        </w:rPr>
        <w:t>SolarGap Brasil</w:t>
      </w:r>
    </w:p>
    <w:p>
      <w:pPr>
        <w:pStyle w:val="Normal"/>
        <w:spacing w:before="0" w:after="40"/>
        <w:jc w:val="center"/>
        <w:rPr/>
      </w:pPr>
      <w:r>
        <w:rPr>
          <w:i/>
          <w:iCs/>
          <w:color w:val="F9A825"/>
          <w:sz w:val="26"/>
          <w:szCs w:val="26"/>
        </w:rPr>
        <w:t>Onde está o próximo mercado solar?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30"/>
          <w:szCs w:val="30"/>
        </w:rPr>
        <w:t>Project Charter</w:t>
      </w:r>
    </w:p>
    <w:p>
      <w:pPr>
        <w:pStyle w:val="Normal"/>
        <w:spacing w:before="0" w:after="400"/>
        <w:jc w:val="center"/>
        <w:rPr/>
      </w:pPr>
      <w:r>
        <w:rPr>
          <w:color w:val="595959"/>
          <w:sz w:val="18"/>
          <w:szCs w:val="18"/>
        </w:rPr>
        <w:t>TP3 — Inteligência Artificial Aplicada à Ciência de Dados  |  Pâmela Lima Ziliotto  |  Atualizado em 21/10/2026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1. Contexto e Justificativa do Negócio</w:t>
      </w:r>
    </w:p>
    <w:p>
      <w:pPr>
        <w:pStyle w:val="Heading3"/>
        <w:rPr>
          <w:color w:val="2E7D32"/>
        </w:rPr>
      </w:pPr>
      <w:r>
        <w:rPr>
          <w:color w:val="2E7D32"/>
        </w:rPr>
        <w:t>1.1 Motivação e Inspiração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>A ideia do SolarGap Brasil surgiu de conversas recorrentes com um amigo que atua há anos no setor de energia solar. Um aspecto dessas conversas sempre chamou atenção: uma empresa de pequeno porte, sediada no interior do Rio Grande do Sul, atende clientes em todo o país. Esse alcance sugere que a demanda por geração solar distribuída não segue necessariamente a geografia dos grandes centros e que pode haver mercados pouco explorados em regiões que raramente aparecem no debate.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>O tema também se conecta ao ODS 7 (Energia Limpa e Acessível), um dos eixos propostos pela disciplina e detalhado na seção 4. Outra influência vem de um período vivendo na Europa, onde é comum ver propriedades fora das grandes cidades com geração solar própria. Nesse contexto, discussões como a da iniciativa Desertec, que propôs grandes usinas solares no Saara, ilustram um ponto central para este projeto: abundância de sol e viabilidade técnica não bastam. A expansão da energia limpa depende de planejamento, infraestrutura e de onde a demanda efetivamente está.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>O projeto parte da premissa de que políticas públicas isoladas têm alcance limitado. A adoção em escala se sustenta quando a energia limpa também é economicamente atrativa para empresas e consumidores. Por isso, o SolarGap Brasil busca identificar lacunas regionais na adoção de geração solar distribuída. Essa informação pode ajudar a direcionar incentivos governamentais e também mostrar ao mercado onde há espaço para crescer.</w:t>
      </w:r>
    </w:p>
    <w:p>
      <w:pPr>
        <w:pStyle w:val="Heading3"/>
        <w:rPr>
          <w:color w:val="2E7D32"/>
        </w:rPr>
      </w:pPr>
      <w:r>
        <w:rPr>
          <w:color w:val="2E7D32"/>
        </w:rPr>
        <w:t>1.2 Contexto</w:t>
      </w:r>
    </w:p>
    <w:p>
      <w:pPr>
        <w:pStyle w:val="Normal"/>
        <w:spacing w:lineRule="auto" w:line="300" w:before="0" w:after="160"/>
        <w:rPr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Desde a promulgação da Lei 14.300/2022 (Marco Legal da Geração Distribuída), a geração distribuída de energia solar cresceu de forma acentuada no Brasil. No entanto, há indícios de que esse crescimento não se distribui de forma equânime entre os estados — o que pode aprofundar desigualdades regionais de acesso à transição energética.</w:t>
      </w:r>
    </w:p>
    <w:p>
      <w:pPr>
        <w:pStyle w:val="Normal"/>
        <w:spacing w:lineRule="auto" w:line="300" w:before="0" w:after="160"/>
        <w:rPr/>
      </w:pPr>
      <w:r>
        <w:rPr>
          <w:i w:val="false"/>
          <w:iCs w:val="false"/>
          <w:sz w:val="22"/>
          <w:szCs w:val="22"/>
        </w:rPr>
        <w:t>O SolarGap Brasil propõe mapear e quantificar essa disparidade, transformando dados públicos da ANEEL e do IBGE em um painel interativo capaz de identificar quais estados estão liderando e quais estão ficando para trás na adoção de energia solar distribuída — revelando, ao mesmo tempo, onde estão as oportunidades ainda não exploradas pelo mercado solar.</w:t>
      </w:r>
    </w:p>
    <w:p>
      <w:pPr>
        <w:pStyle w:val="Heading3"/>
        <w:rPr>
          <w:color w:val="2E7D32"/>
        </w:rPr>
      </w:pPr>
      <w:r>
        <w:rPr>
          <w:color w:val="2E7D32"/>
        </w:rPr>
        <w:t>1.3 Revisão do problema no TP3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O enunciado do TP3 pede que o problema de negócio seja reavaliado à luz das novas ferramentas. O problema permanece o mesmo: a adoção de geração solar distribuída é desigual entre os estados. O que mudou foi a capacidade de responder à pergunta do projeto de forma acionável.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Do descritivo ao acionável. </w:t>
      </w:r>
      <w:r>
        <w:rPr>
          <w:sz w:val="22"/>
          <w:szCs w:val="22"/>
        </w:rPr>
        <w:t xml:space="preserve">Até o TP2, o painel descrevia quem adota mais e quem adota menos. No TP3, o cruzamento da adoção com o crescimento do parque classifica cada estado em um de quatro quadrantes. Os mercados emergentes respondem à pergunta comercial (onde está o próximo mercado solar?) e as lacunas persistentes, à pergunta de política pública (quem está ficando para trás?). A adesão estadual à isenção de ICMS foi incorporada como variável de política.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Novas ferramentas. </w:t>
      </w:r>
      <w:r>
        <w:rPr>
          <w:sz w:val="22"/>
          <w:szCs w:val="22"/>
        </w:rPr>
        <w:t xml:space="preserve">A FastAPI transforma a análise em serviço. Uma empresa do setor pode, por exemplo, enviar sua carteira de clientes por estado e receber a comparação com a adoção, sem abrir o painel. A mesma API será a camada de ferramentas do agente inteligente do TP5. O Selenium foi avaliado e descartado, porque nenhuma fonte viável exige renderização por JavaScript.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2. Objetivos do Projeto</w:t>
      </w:r>
    </w:p>
    <w:p>
      <w:pPr>
        <w:pStyle w:val="Normal"/>
        <w:spacing w:lineRule="auto" w:line="300" w:before="0" w:after="160"/>
        <w:rPr/>
      </w:pPr>
      <w:r>
        <w:rPr>
          <w:i w:val="false"/>
          <w:iCs w:val="false"/>
          <w:sz w:val="22"/>
          <w:szCs w:val="22"/>
        </w:rPr>
        <w:t xml:space="preserve">Mapear e quantificar a disparidade regional na adoção de geração solar distribuída nos 27 estados brasileiros, normalizada por população, identificando os estados que lideram, os que ficam para trás e aqueles com potencial de mercado ainda não explorado.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No TP3, o objetivo foi atingido para o recorte estadual e ampliado. Os quatro indicadores estão implementados no painel e na API. O parque solar distribuído cresceu 37,5% ao ano entre 2022 e 2025. Dez estados foram identificados como mercados emergentes (RR, AL, AC, BA, PA, AM, CE, PE, SP e SE) e três como lacunas persistentes (RJ, DF e PB). O momento de adesão à isenção de ICMS não apresentou relação com a adoção (correlação de Spearman de −0,06).</w:t>
      </w:r>
    </w:p>
    <w:p>
      <w:pPr>
        <w:pStyle w:val="Heading2"/>
        <w:spacing w:before="240" w:after="120"/>
        <w:rPr/>
      </w:pPr>
      <w:r>
        <w:rPr>
          <w:color w:val="595959"/>
        </w:rPr>
        <w:t>Indicadores de Sucesso (KPIs)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400"/>
        <w:gridCol w:w="4560"/>
        <w:gridCol w:w="2400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Indicador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Situação no TP3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Watts por habitante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Potência solar instalada (W) dividida pela população do Censo 2022, por estado. Métrica per capita principal.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Implementado — páginas Panorama e Oportunidades; rotas /ranking e /ufs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Empreendimentos por 100 mil habitantes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Sistemas conectados por 100 mil habitantes. Mede difusão; a potência mede volume investido.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Implementado — página Panorama; rota /ranking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Ranking de disparidade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Posição das 27 UFs em cada métrica, com a média nacional como referência.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Implementado — página Panorama; rotas /ranking e /ufs/{sigla}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Taxa de crescimento anual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Crescimento do parque instalado (potência acumulada) ano a ano e CAGR por UF. Janela padrão: 2022–2025.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 no TP3 — página Evolução e crescimento; rotas /series e /oportunidades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Matriz de oportunidade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Quadrante de cada UF: adoção per capita x crescimento do parque, com referências nacionais.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Novo no TP3 — página Oportunidades; rota /oportunidades</w:t>
            </w:r>
          </w:p>
        </w:tc>
      </w:tr>
    </w:tbl>
    <w:p>
      <w:pPr>
        <w:pStyle w:val="Normal"/>
        <w:spacing w:before="0" w:after="120"/>
        <w:rPr/>
      </w:pP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A métrica definida no TP1 (MW por 100 mil habitantes) foi substituída no TP2 por watts por habitante. É a mesma razão em outra escala (1 MW por 100 mil habitantes equivale a 10 W por habitante), com ordem de grandeza mais legível e unidade usual no setor. O crescimento é medido sobre o parque acumulado, e não sobre as conexões de cada ano: em 2023 entraram menos sistemas que em 2022, mas o parque continuou crescendo.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3. Escopo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Dashboard interativo em Streamlit e API em FastAPI com a distribuição estadual da potência instalada em geração solar distribuída, normalizada por população, com identificação de disparidades e oportunidades regionais. Ao longo do curso, o projeto incorpora web scraping, uma API própria, processamento de linguagem natural com um modelo de IA local e, na etapa final, um agente inteligente de recomendação.</w:t>
      </w:r>
    </w:p>
    <w:p>
      <w:pPr>
        <w:pStyle w:val="Heading2"/>
        <w:spacing w:before="240" w:after="120"/>
        <w:rPr/>
      </w:pPr>
      <w:r>
        <w:rPr>
          <w:color w:val="595959"/>
        </w:rPr>
        <w:t>Entregas do TP3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Dashboard multipáginas: </w:t>
      </w:r>
      <w:r>
        <w:rPr>
          <w:sz w:val="22"/>
          <w:szCs w:val="22"/>
        </w:rPr>
        <w:t xml:space="preserve">sete páginas com menu de navegação em seções (Início, Panorama, Evolução e crescimento, Oportunidades, Notícias, Dados e API), com filtros que persistem entre páginas.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API FastAPI: </w:t>
      </w:r>
      <w:r>
        <w:rPr>
          <w:sz w:val="22"/>
          <w:szCs w:val="22"/>
        </w:rPr>
        <w:t xml:space="preserve">13 rotas, com consultas (GET) e envio de dados (POST /noticias e POST /comparacoes), modelos Pydantic de entrada e resposta, tratamento de erros HTTP (400, 404, 409, 422, 503) e documentação em /docs e docs/api.md.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Camada de serviços: </w:t>
      </w:r>
      <w:r>
        <w:rPr>
          <w:sz w:val="22"/>
          <w:szCs w:val="22"/>
        </w:rPr>
        <w:t xml:space="preserve">regra de negócio única, usada pelo painel e pela API, para que os números nunca divirjam.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Novas fontes: </w:t>
      </w:r>
      <w:r>
        <w:rPr>
          <w:sz w:val="22"/>
          <w:szCs w:val="22"/>
        </w:rPr>
        <w:t xml:space="preserve">Agência Gov (notícias do governo federal, com licença aberta) e adesão ao Convênio ICMS 16/15 (CONFAZ).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Coleta: </w:t>
      </w:r>
      <w:r>
        <w:rPr>
          <w:sz w:val="22"/>
          <w:szCs w:val="22"/>
        </w:rPr>
        <w:t xml:space="preserve">scraper de notícias reestruturado em pacote multifonte, com fontes declaradas em configuração e mescla incremental que preserva as saídas do futuro modelo de linguagem.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  <w:sz w:val="22"/>
          <w:szCs w:val="22"/>
        </w:rPr>
        <w:t xml:space="preserve">Qualidade: </w:t>
      </w:r>
      <w:r>
        <w:rPr>
          <w:sz w:val="22"/>
          <w:szCs w:val="22"/>
        </w:rPr>
        <w:t xml:space="preserve">67 testes automatizados (serviços, API, scrapers, ICMS, Gold, upload e todas as páginas do painel).</w:t>
      </w:r>
    </w:p>
    <w:p>
      <w:pPr>
        <w:pStyle w:val="Heading2"/>
        <w:spacing w:before="240" w:after="120"/>
        <w:rPr/>
      </w:pPr>
      <w:r>
        <w:rPr>
          <w:color w:val="595959"/>
        </w:rPr>
        <w:t>Ajustes de escopo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Fontes de notícias. </w:t>
      </w:r>
      <w:r>
        <w:rPr>
          <w:sz w:val="22"/>
          <w:szCs w:val="22"/>
        </w:rPr>
        <w:t xml:space="preserve">Foram avaliados g1/Globo, CNN Brasil, Portal R7, CanalEnergia, MegaWhat e eixos (antiga epbr). Nenhum foi incluído: os motivos foram termos de uso que restringem a cópia ou a coleta automatizada, modelo de assinatura ou termos não localizados. Em seu lugar entrou a Agência Gov, que autoriza a reprodução com citação. O mecanismo de coleta só de metadados (título, data e link) está implementado e desabilitado, à espera de autorização dos veículos.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ICMS. </w:t>
      </w:r>
      <w:r>
        <w:rPr>
          <w:sz w:val="22"/>
          <w:szCs w:val="22"/>
        </w:rPr>
        <w:t xml:space="preserve">A coleta prevista desde o TP2 foi concluída. O robots.txt do CONFAZ bloqueou o acesso automatizado; o coletor respeita essa regra e usa uma cópia de referência do texto oficial (ato oficial, sem proteção autoral). A tabela virou uma dimensão própria da camada Gold, em vez de uma coluna da tabela por UF.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Selenium. </w:t>
      </w:r>
      <w:r>
        <w:rPr>
          <w:sz w:val="22"/>
          <w:szCs w:val="22"/>
        </w:rPr>
        <w:t xml:space="preserve">Avaliado e não utilizado, conforme a orientação do enunciado de manter a simplicidade quando possível.</w:t>
      </w:r>
    </w:p>
    <w:p>
      <w:pPr>
        <w:pStyle w:val="Heading2"/>
        <w:spacing w:before="240" w:after="120"/>
        <w:rPr/>
      </w:pPr>
      <w:r>
        <w:rPr>
          <w:color w:val="595959"/>
        </w:rPr>
        <w:t>Fora do escopo</w:t>
      </w:r>
    </w:p>
    <w:p>
      <w:pPr>
        <w:pStyle w:val="Normal"/>
        <w:spacing w:lineRule="auto" w:line="300" w:before="0" w:after="160"/>
        <w:rPr/>
      </w:pPr>
      <w:r>
        <w:rPr>
          <w:i w:val="false"/>
          <w:iCs w:val="false"/>
          <w:sz w:val="22"/>
          <w:szCs w:val="22"/>
        </w:rPr>
        <w:t xml:space="preserve">Previsão de adoção futura, análise de viabilidade financeira de projetos individuais e dados de geração centralizada (grandes usinas conectadas ao Sistema Interligado Nacional).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4. Objetivos de Desenvolvimento Sustentável (ODS)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600"/>
        <w:gridCol w:w="1400"/>
        <w:gridCol w:w="5360"/>
      </w:tblGrid>
      <w:tr>
        <w:trPr>
          <w:tblHeader w:val="true"/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ODS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Papel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Justificativa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ODS 7 — Energia Limpa e Acessível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Principal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O projeto trata diretamente da meta 7.2 (ampliar a participação de renováveis na matriz energética) e 7.b (expandir e modernizar infraestrutura de energia sustentável).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ODS 10 — Redução das Desigualdades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Secundário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>O recorte central do projeto é a disparidade regional de adoção, dialogando com a meta 10.2 (promover inclusão socioeconômica independentemente da localização geográfica).</w:t>
            </w:r>
          </w:p>
        </w:tc>
      </w:tr>
    </w:tbl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5. Público-Alvo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 xml:space="preserve">Formuladores de política energética estadual (secretarias de energia e meio ambiente)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 xml:space="preserve">Empresas do setor solar avaliando onde expandir operação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 xml:space="preserve">ONGs de justiça e transição energética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 xml:space="preserve">Pesquisadores e jornalistas de dados cobrindo o tema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No TP3, o público do setor solar ganhou um segundo canal: a API permite integrar os indicadores aos sistemas da própria empresa. Um exemplo é comparar a carteira de clientes com a adoção por estado (POST /comparacoes).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6. Stakeholders do Projeto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Stakeholder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Papel no Projeto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Professor / avaliador do curso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 entregas técnicas e documentação em cada TP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Pâmela Lima Ziliotto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Desenvolvedora e responsável pelo projeto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Usuário final (políticas públicas / setor solar)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Consome os insights do dashboard e da API para decisão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Provedores de dados (ANEEL, IBGE, EBC, CONFAZ)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Fornecem os dados. Licenças, termos de uso e robots.txt delimitam o que o projeto pode coletar e guardar</w:t>
            </w:r>
          </w:p>
        </w:tc>
      </w:tr>
    </w:tbl>
    <w:p>
      <w:pPr>
        <w:pStyle w:val="Normal"/>
        <w:spacing w:before="0" w:after="120"/>
        <w:rPr/>
      </w:pP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7. Cronograma Macro (TDSP)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200"/>
        <w:gridCol w:w="6060"/>
        <w:gridCol w:w="2100"/>
      </w:tblGrid>
      <w:tr>
        <w:trPr>
          <w:tblHeader w:val="true"/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Foco Principal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Situação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TP1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Fundação: problema de negócio, dados ANEEL/IBGE, demo Streamlit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TP2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Camadas Silver e Gold, web scraping (BeautifulSoup), dashboard interativo com cache, estado de sessão e upload/download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TP3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 multipáginas, API FastAPI, camada de serviços, Agência Gov e ICMS (CONFAZ), KPI de crescimento, matriz de oportunidade, testes automatizados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TP4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LLM local via HuggingFace/Transformers: resumo e sentimento do corpus; rota POST /processar_texto com modelos de resposta e erros HTTP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TP5</w:t>
            </w:r>
          </w:p>
        </w:tc>
        <w:tc>
          <w:tcPr>
            <w:tcW w:w="6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Agente inteligente de recomendação usando a API como ferramenta + dashboard final consolidado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</w:tbl>
    <w:p>
      <w:pPr>
        <w:pStyle w:val="Normal"/>
        <w:spacing w:before="0" w:after="120"/>
        <w:rPr/>
      </w:pP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8. Dados, IA e Preparação para LLM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O TP3 pede que os dados coletados sejam pensados para as tarefas com modelos de linguagem das próximas etapas. O mapeamento: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400"/>
        <w:gridCol w:w="3480"/>
        <w:gridCol w:w="3480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Tarefa de LLM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Dados disponíveis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Aplicação no SolarGap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Classificação de sentimentos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Corpus multifonte (títulos, linhas finas e textos)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Tom das notícias sobre geração distribuída por estado, comparado à adoção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Resumo de textos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Textos integrais da Agência Brasil e da Agência Gov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Resumo de cada notícia na página Notícias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Perguntas e respostas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Gold, corpus e ICMS, expostos pela API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Base do agente do TP5, ex.: "por que o RJ é lacuna persistente?"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Geração de texto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Ficha da UF (rota /ufs/{sigla})</w:t>
            </w:r>
          </w:p>
        </w:tc>
        <w:tc>
          <w:tcPr>
            <w:tcW w:w="3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Relatório descritivo automático por estado</w:t>
            </w:r>
          </w:p>
        </w:tc>
      </w:tr>
    </w:tbl>
    <w:p>
      <w:pPr>
        <w:pStyle w:val="Normal"/>
        <w:spacing w:before="0" w:after="120"/>
        <w:rPr/>
      </w:pPr>
    </w:p>
    <w:p>
      <w:pPr>
        <w:pStyle w:val="Normal"/>
        <w:spacing w:lineRule="auto" w:line="3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O que já está pronto. </w:t>
      </w:r>
      <w:r>
        <w:rPr>
          <w:sz w:val="22"/>
          <w:szCs w:val="22"/>
        </w:rPr>
        <w:t xml:space="preserve">As colunas resumo e sentimento já existem no esquema do corpus, e uma nova coleta nunca apaga o que o modelo preencher. A entrada do modelo (texto_para_modelo) já é montada respeitando a licença de cada fonte e um limite de tamanho compatível com modelos locais. A API já segue o padrão de modelos de resposta e erros HTTP que o TP4 exige.</w:t>
      </w: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9. Principais Decisões e Riscos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00"/>
        <w:gridCol w:w="1400"/>
        <w:gridCol w:w="5160"/>
      </w:tblGrid>
      <w:tr>
        <w:trPr>
          <w:tblHeader w:val="true"/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D32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Tratamento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Registros do Maranhão sem fonte de geração (73 mil)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Decisão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Imputados como solares, com marcação. Muda a classificação do MA: líder em expansão na visão corrigida, lacuna persistente no critério ANEEL. Painel e API oferecem as duas visões.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Divergência de potência com o painel oficial (6,3%)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Risco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Registrada como pendência. A contagem de empreendimentos, com diferença de 1,2%, valida o pipeline.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Mesmo cálculo no painel e na API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Decisão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de serviços única; testes garantem que os indicadores reproduzem a camada Gold.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Termos de uso de veículos privados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Governança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Fontes sem autorização de reprodução ficam fora do corpus; nível "metadados" só mediante autorização.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robots.txt do CONFAZ bloqueia acesso automatizado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Risco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Coletor respeita a regra e usa cópia de referência do texto oficial, com a origem registrada em cada linha.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Inclusão inferida de PB, PI, RO e SE no Convênio 16/15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Risco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Sinalizada na tabela; confirmação manual no texto consolidado atual do CONFAZ.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Bloqueio geográfico do portal da ANEEL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Risco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Gold versionada: painel e API rodam sem a base completa.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Dados pessoais na base da ANEEL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Governança</w:t>
            </w:r>
          </w:p>
        </w:tc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CPF/CNPJ e nome do titular excluídos na leitura; nunca carregados em memória.</w:t>
            </w:r>
          </w:p>
        </w:tc>
      </w:tr>
    </w:tbl>
    <w:p>
      <w:pPr>
        <w:pStyle w:val="Normal"/>
        <w:spacing w:before="0" w:after="120"/>
        <w:rPr/>
      </w:pPr>
    </w:p>
    <w:p>
      <w:pPr>
        <w:pStyle w:val="Heading1"/>
        <w:pBdr>
          <w:bottom w:val="single" w:sz="6" w:space="4" w:color="2E7D32"/>
        </w:pBdr>
        <w:spacing w:before="320" w:after="160"/>
        <w:rPr/>
      </w:pPr>
      <w:r>
        <w:rPr>
          <w:color w:val="2E7D32"/>
        </w:rPr>
        <w:t>10. Fontes de Dados</w:t>
      </w:r>
    </w:p>
    <w:p>
      <w:pPr>
        <w:pStyle w:val="Normal"/>
        <w:spacing w:lineRule="auto" w:line="300"/>
        <w:rPr>
          <w:sz w:val="22"/>
          <w:szCs w:val="22"/>
        </w:rPr>
      </w:pPr>
      <w:r>
        <w:rPr>
          <w:sz w:val="22"/>
          <w:szCs w:val="22"/>
        </w:rPr>
        <w:t xml:space="preserve">ANEEL — Relação de Empreendimentos de Micro e Minigeração Distribuída; IBGE — Censo Demográfico 2022 (população por UF e por município); Agência Brasil e Agência Gov (EBC) — notícias sobre energia solar e geração distribuída, coletadas por web scraping; CONFAZ — Convênio ICMS 16/15, adesão das UFs à isenção de ICMS. O detalhamento de formatos, tratamentos, validações, avaliação de fontes e licenças está no Data Summary Report que acompanha este documento.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Página </w:t>
    </w:r>
    <w:r>
      <w:rPr>
        <w:i w:val="false"/>
        <w:iCs w:val="false"/>
        <w:sz w:val="22"/>
        <w:szCs w:val="22"/>
      </w:rPr>
      <w:fldChar w:fldCharType="begin"/>
    </w:r>
    <w:r>
      <w:rPr>
        <w:i w:val="false"/>
        <w:iCs w:val="false"/>
        <w:sz w:val="22"/>
        <w:szCs w:val="22"/>
      </w:rPr>
      <w:instrText xml:space="preserve"> PAGE </w:instrText>
    </w:r>
    <w:r>
      <w:rPr>
        <w:i w:val="false"/>
        <w:iCs w:val="false"/>
        <w:sz w:val="22"/>
        <w:szCs w:val="22"/>
      </w:rPr>
      <w:fldChar w:fldCharType="separate"/>
    </w:r>
    <w:r>
      <w:rPr>
        <w:i w:val="false"/>
        <w:iCs w:val="false"/>
        <w:sz w:val="22"/>
        <w:szCs w:val="22"/>
      </w:rPr>
      <w:t>3</w:t>
    </w:r>
    <w:r>
      <w:rPr>
        <w:i w:val="false"/>
        <w:iCs w:val="false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Página </w:t>
    </w:r>
    <w:r>
      <w:rPr>
        <w:i w:val="false"/>
        <w:iCs w:val="false"/>
        <w:sz w:val="22"/>
        <w:szCs w:val="22"/>
      </w:rPr>
      <w:fldChar w:fldCharType="begin"/>
    </w:r>
    <w:r>
      <w:rPr>
        <w:i w:val="false"/>
        <w:iCs w:val="false"/>
        <w:sz w:val="22"/>
        <w:szCs w:val="22"/>
      </w:rPr>
      <w:instrText xml:space="preserve"> PAGE </w:instrText>
    </w:r>
    <w:r>
      <w:rPr>
        <w:i w:val="false"/>
        <w:iCs w:val="false"/>
        <w:sz w:val="22"/>
        <w:szCs w:val="22"/>
      </w:rPr>
      <w:fldChar w:fldCharType="separate"/>
    </w:r>
    <w:r>
      <w:rPr>
        <w:i w:val="false"/>
        <w:iCs w:val="false"/>
        <w:sz w:val="22"/>
        <w:szCs w:val="22"/>
      </w:rPr>
      <w:t>3</w:t>
    </w:r>
    <w:r>
      <w:rPr>
        <w:i w:val="false"/>
        <w:iCs w:val="false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595959"/>
        <w:sz w:val="16"/>
        <w:szCs w:val="16"/>
      </w:rPr>
      <w:t>SolarGap Brasil — Project Charter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595959"/>
        <w:sz w:val="16"/>
        <w:szCs w:val="16"/>
      </w:rPr>
      <w:t>SolarGap Brasil — Project Charter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LibreOffice/26.2.0.3$Windows_X86_64 LibreOffice_project/620$Build-3</Application>
  <AppVersion>15.0000</AppVersion>
  <Pages>3</Pages>
  <Words>764</Words>
  <Characters>4335</Characters>
  <CharactersWithSpaces>5040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2026-08-17T21:30:09Z</dcterms:created>
  <dc:creator>Un-named</dc:creator>
  <dc:description/>
  <dc:language>pt-BR</dc:language>
  <cp:lastModifiedBy/>
  <dcterms:modified xsi:type="dcterms:W3CDTF">2026-09-20T13:04:51Z</dcterms:modified>
  <cp:revision>3</cp:revision>
  <dc:subject/>
  <dc:title/>
</cp:coreProperties>
</file>