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E7D32"/>
          <w:sz w:val="56"/>
          <w:szCs w:val="56"/>
        </w:rPr>
        <w:t xml:space="preserve">SolarGap Brasil</w:t>
      </w:r>
    </w:p>
    <w:p>
      <w:pPr>
        <w:spacing w:after="40"/>
        <w:jc w:val="center"/>
      </w:pPr>
      <w:r>
        <w:rPr>
          <w:i/>
          <w:iCs/>
          <w:color w:val="F9A825"/>
          <w:sz w:val="26"/>
          <w:szCs w:val="26"/>
        </w:rPr>
        <w:t xml:space="preserve">Onde está o próximo mercado solar?</w:t>
      </w:r>
    </w:p>
    <w:p>
      <w:pPr>
        <w:spacing w:after="60"/>
        <w:jc w:val="center"/>
      </w:pPr>
      <w:r>
        <w:rPr>
          <w:color w:val="595959"/>
          <w:sz w:val="30"/>
          <w:szCs w:val="30"/>
        </w:rPr>
        <w:t xml:space="preserve">Project Charter</w:t>
      </w:r>
    </w:p>
    <w:p>
      <w:pPr>
        <w:spacing w:after="400"/>
        <w:jc w:val="center"/>
      </w:pPr>
      <w:r>
        <w:rPr>
          <w:color w:val="595959"/>
          <w:sz w:val="18"/>
          <w:szCs w:val="18"/>
        </w:rPr>
        <w:t xml:space="preserve">TP1 — Inteligência Artificial Aplicada à Ciência de Dados  |  Pâmela Lima Ziliotto  |  17/08/2026</w:t>
      </w:r>
    </w:p>
    <w:p>
      <w:pPr>
        <w:pStyle w:val="Heading1"/>
        <w:pBdr>
          <w:bottom w:val="single" w:color="2E7D32" w:sz="6" w:space="4"/>
        </w:pBdr>
        <w:spacing w:after="160" w:before="320"/>
      </w:pPr>
      <w:r>
        <w:rPr>
          <w:color w:val="2E7D32"/>
        </w:rPr>
        <w:t xml:space="preserve">1. Contexto e Justificativa do Negócio</w:t>
      </w:r>
    </w:p>
    <w:p>
      <w:pPr>
        <w:spacing w:after="160" w:line="300"/>
      </w:pPr>
      <w:r>
        <w:rPr>
          <w:i w:val="false"/>
          <w:iCs w:val="false"/>
          <w:sz w:val="22"/>
          <w:szCs w:val="22"/>
        </w:rPr>
        <w:t xml:space="preserve">Desde a promulgação da Lei 14.300/2022 (Marco Legal da Geração Distribuída), a geração distribuída de energia solar cresceu de forma acentuada no Brasil. No entanto, há indícios de que esse crescimento não se distribui de forma equânime entre os estados — o que pode aprofundar desigualdades regionais de acesso à transição energética.</w:t>
      </w:r>
    </w:p>
    <w:p>
      <w:pPr>
        <w:spacing w:after="160" w:line="300"/>
      </w:pPr>
      <w:r>
        <w:rPr>
          <w:i w:val="false"/>
          <w:iCs w:val="false"/>
          <w:sz w:val="22"/>
          <w:szCs w:val="22"/>
        </w:rPr>
        <w:t xml:space="preserve">O SolarGap Brasil propõe mapear e quantificar essa disparidade, transformando dados públicos da ANEEL e do IBGE em um painel interativo capaz de identificar quais estados estão liderando e quais estão ficando para trás na adoção de energia solar distribuída — revelando, ao mesmo tempo, onde estão as oportunidades ainda não exploradas pelo mercado solar.</w:t>
      </w:r>
    </w:p>
    <w:p>
      <w:pPr>
        <w:pStyle w:val="Heading1"/>
        <w:pBdr>
          <w:bottom w:val="single" w:color="2E7D32" w:sz="6" w:space="4"/>
        </w:pBdr>
        <w:spacing w:after="160" w:before="320"/>
      </w:pPr>
      <w:r>
        <w:rPr>
          <w:color w:val="2E7D32"/>
        </w:rPr>
        <w:t xml:space="preserve">2. Objetivos do Projeto</w:t>
      </w:r>
    </w:p>
    <w:p>
      <w:pPr>
        <w:spacing w:after="160" w:line="300"/>
      </w:pPr>
      <w:r>
        <w:rPr>
          <w:i w:val="false"/>
          <w:iCs w:val="false"/>
          <w:sz w:val="22"/>
          <w:szCs w:val="22"/>
        </w:rPr>
        <w:t xml:space="preserve">Até o fim do TP1, mapear a distribuição de potência instalada em geração distribuída solar nos 27 estados brasileiros, normalizada por população, identificando os 5 estados com menor taxa de adoção per capita — com atualização dos dados em base mensal ao longo do semestre.</w:t>
      </w:r>
    </w:p>
    <w:p>
      <w:pPr>
        <w:pStyle w:val="Heading2"/>
        <w:spacing w:after="120" w:before="240"/>
      </w:pPr>
      <w:r>
        <w:rPr>
          <w:color w:val="595959"/>
        </w:rPr>
        <w:t xml:space="preserve">Indicadores de Sucesso (KPIs)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120"/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Indicador</w:t>
            </w:r>
          </w:p>
        </w:tc>
        <w:tc>
          <w:tcPr>
            <w:tcW w:type="dxa" w:w="6240"/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Definição</w:t>
            </w:r>
          </w:p>
        </w:tc>
      </w:tr>
      <w:tr>
        <w:trPr>
          <w:cantSplit/>
        </w:trPr>
        <w:tc>
          <w:tcPr>
            <w:tcW w:type="dxa" w:w="312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Potência instalada per capita</w:t>
            </w:r>
          </w:p>
        </w:tc>
        <w:tc>
          <w:tcPr>
            <w:tcW w:type="dxa" w:w="624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MW de MMGD instalados por 100 mil habitantes, por estado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Taxa de crescimento anual</w:t>
            </w:r>
          </w:p>
        </w:tc>
        <w:tc>
          <w:tcPr>
            <w:tcW w:type="dxa" w:w="6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Variação percentual ano a ano da potência instalada, por estado</w:t>
            </w:r>
          </w:p>
        </w:tc>
      </w:tr>
      <w:tr>
        <w:trPr>
          <w:cantSplit/>
        </w:trPr>
        <w:tc>
          <w:tcPr>
            <w:tcW w:type="dxa" w:w="312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Ranking de disparidade</w:t>
            </w:r>
          </w:p>
        </w:tc>
        <w:tc>
          <w:tcPr>
            <w:tcW w:type="dxa" w:w="624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Os 5 estados com maior e os 5 com menor adoção per capita</w:t>
            </w:r>
          </w:p>
        </w:tc>
      </w:tr>
    </w:tbl>
    <w:p>
      <w:pPr>
        <w:pStyle w:val="Heading1"/>
        <w:pBdr>
          <w:bottom w:val="single" w:color="2E7D32" w:sz="6" w:space="4"/>
        </w:pBdr>
        <w:spacing w:after="160" w:before="320"/>
      </w:pPr>
      <w:r>
        <w:rPr>
          <w:color w:val="2E7D32"/>
        </w:rPr>
        <w:t xml:space="preserve">3. Escopo</w:t>
      </w:r>
    </w:p>
    <w:p>
      <w:pPr>
        <w:spacing w:after="160" w:line="300"/>
      </w:pPr>
      <w:r>
        <w:rPr>
          <w:i w:val="false"/>
          <w:iCs w:val="false"/>
          <w:sz w:val="22"/>
          <w:szCs w:val="22"/>
        </w:rPr>
        <w:t xml:space="preserve">Dashboard interativo em Streamlit exibindo a distribuição estadual de potência instalada em geração solar distribuída, normalizada por população, com identificação de disparidades regionais. Ao longo do curso, o projeto evolui incorporando web scraping (contexto qualitativo de notícias e incentivos estaduais), uma API própria em FastAPI, processamento de linguagem natural com um modelo de IA local, e, na etapa final, um agente inteligente de recomendação.</w:t>
      </w:r>
    </w:p>
    <w:p>
      <w:pPr>
        <w:pStyle w:val="Heading1"/>
        <w:pBdr>
          <w:bottom w:val="single" w:color="2E7D32" w:sz="6" w:space="4"/>
        </w:pBdr>
        <w:spacing w:after="160" w:before="320"/>
      </w:pPr>
      <w:r>
        <w:rPr>
          <w:color w:val="2E7D32"/>
        </w:rPr>
        <w:t xml:space="preserve">4. Objetivos de Desenvolvimento Sustentável (ODS)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800"/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ODS</w:t>
            </w:r>
          </w:p>
        </w:tc>
        <w:tc>
          <w:tcPr>
            <w:tcW w:type="dxa" w:w="1800"/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Papel</w:t>
            </w:r>
          </w:p>
        </w:tc>
        <w:tc>
          <w:tcPr>
            <w:tcW w:type="dxa" w:w="5760"/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Justificativa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ODS 7 — Energia Limpa e Acessível</w:t>
            </w:r>
          </w:p>
        </w:tc>
        <w:tc>
          <w:tcPr>
            <w:tcW w:type="dxa" w:w="180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Principal</w:t>
            </w:r>
          </w:p>
        </w:tc>
        <w:tc>
          <w:tcPr>
            <w:tcW w:type="dxa" w:w="576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O projeto trata diretamente da meta 7.2 (ampliar a participação de renováveis na matriz energética) e 7.b (expandir e modernizar infraestrutura de energia sustentável).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ODS 10 — Redução das Desigualdades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Secundário</w:t>
            </w:r>
          </w:p>
        </w:tc>
        <w:tc>
          <w:tcPr>
            <w:tcW w:type="dxa" w:w="57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O recorte central do projeto é a disparidade regional de adoção, dialogando com a meta 10.2 (promover inclusão socioeconômica independentemente da localização geográfica).</w:t>
            </w:r>
          </w:p>
        </w:tc>
      </w:tr>
    </w:tbl>
    <w:p>
      <w:pPr>
        <w:pStyle w:val="Heading1"/>
        <w:pBdr>
          <w:bottom w:val="single" w:color="2E7D32" w:sz="6" w:space="4"/>
        </w:pBdr>
        <w:spacing w:after="160" w:before="320"/>
      </w:pPr>
      <w:r>
        <w:rPr>
          <w:color w:val="2E7D32"/>
        </w:rPr>
        <w:t xml:space="preserve">5. Público-Alvo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Formuladores de política energética estadual (secretarias de energia e meio ambiente)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Empresas do setor solar avaliando onde expandir operação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ONGs de justiça e transição energética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Pesquisadores e jornalistas de dados cobrindo o tema</w:t>
      </w:r>
    </w:p>
    <w:p>
      <w:pPr>
        <w:pStyle w:val="Heading1"/>
        <w:pBdr>
          <w:bottom w:val="single" w:color="2E7D32" w:sz="6" w:space="4"/>
        </w:pBdr>
        <w:spacing w:after="160" w:before="320"/>
      </w:pPr>
      <w:r>
        <w:rPr>
          <w:color w:val="2E7D32"/>
        </w:rPr>
        <w:t xml:space="preserve">6. Stakeholders do Projeto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120"/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Stakeholder</w:t>
            </w:r>
          </w:p>
        </w:tc>
        <w:tc>
          <w:tcPr>
            <w:tcW w:type="dxa" w:w="6240"/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Papel no Projeto</w:t>
            </w:r>
          </w:p>
        </w:tc>
      </w:tr>
      <w:tr>
        <w:trPr>
          <w:cantSplit/>
        </w:trPr>
        <w:tc>
          <w:tcPr>
            <w:tcW w:type="dxa" w:w="312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Professor / avaliador do curso</w:t>
            </w:r>
          </w:p>
        </w:tc>
        <w:tc>
          <w:tcPr>
            <w:tcW w:type="dxa" w:w="624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Avalia entregas técnicas e documentação em cada TP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Pâmela Lima Ziliotto</w:t>
            </w:r>
          </w:p>
        </w:tc>
        <w:tc>
          <w:tcPr>
            <w:tcW w:type="dxa" w:w="6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Desenvolvedora e responsável pelo projeto</w:t>
            </w:r>
          </w:p>
        </w:tc>
      </w:tr>
      <w:tr>
        <w:trPr>
          <w:cantSplit/>
        </w:trPr>
        <w:tc>
          <w:tcPr>
            <w:tcW w:type="dxa" w:w="312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Usuário final (políticas públicas / setor solar)</w:t>
            </w:r>
          </w:p>
        </w:tc>
        <w:tc>
          <w:tcPr>
            <w:tcW w:type="dxa" w:w="624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Consome os insights do dashboard para decisão</w:t>
            </w:r>
          </w:p>
        </w:tc>
      </w:tr>
    </w:tbl>
    <w:p>
      <w:pPr>
        <w:pStyle w:val="Heading1"/>
        <w:pBdr>
          <w:bottom w:val="single" w:color="2E7D32" w:sz="6" w:space="4"/>
        </w:pBdr>
        <w:spacing w:after="160" w:before="320"/>
      </w:pPr>
      <w:r>
        <w:rPr>
          <w:color w:val="2E7D32"/>
        </w:rPr>
        <w:t xml:space="preserve">7. Cronograma Macro (TDSP)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1800"/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Etapa</w:t>
            </w:r>
          </w:p>
        </w:tc>
        <w:tc>
          <w:tcPr>
            <w:tcW w:type="dxa" w:w="7560"/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Foco Principal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TP1</w:t>
            </w:r>
          </w:p>
        </w:tc>
        <w:tc>
          <w:tcPr>
            <w:tcW w:type="dxa" w:w="756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Fundação: problema de negócio, dados ANEEL/IBGE, demo Streamlit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TP2</w:t>
            </w:r>
          </w:p>
        </w:tc>
        <w:tc>
          <w:tcPr>
            <w:tcW w:type="dxa" w:w="7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Interatividade, web scraping (BeautifulSoup), cache e upload de dados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TP3</w:t>
            </w:r>
          </w:p>
        </w:tc>
        <w:tc>
          <w:tcPr>
            <w:tcW w:type="dxa" w:w="756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Múltiplas páginas, scraping dinâmico (Selenium), API própria (FastAPI)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TP4</w:t>
            </w:r>
          </w:p>
        </w:tc>
        <w:tc>
          <w:tcPr>
            <w:tcW w:type="dxa" w:w="7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Integração de LLM local via HuggingFace/Transformers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TP5</w:t>
            </w:r>
          </w:p>
        </w:tc>
        <w:tc>
          <w:tcPr>
            <w:tcW w:type="dxa" w:w="756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Agente inteligente de recomendação + dashboard final consolidado</w:t>
            </w:r>
          </w:p>
        </w:tc>
      </w:tr>
    </w:tbl>
    <w:p>
      <w:pPr>
        <w:pStyle w:val="Heading1"/>
        <w:pBdr>
          <w:bottom w:val="single" w:color="2E7D32" w:sz="6" w:space="4"/>
        </w:pBdr>
        <w:spacing w:after="160" w:before="320"/>
      </w:pPr>
      <w:r>
        <w:rPr>
          <w:color w:val="2E7D32"/>
        </w:rPr>
        <w:t xml:space="preserve">8. Fontes de Dados</w:t>
      </w:r>
    </w:p>
    <w:p>
      <w:pPr>
        <w:spacing w:after="160" w:line="300"/>
      </w:pPr>
      <w:r>
        <w:rPr>
          <w:i w:val="false"/>
          <w:iCs w:val="false"/>
          <w:sz w:val="22"/>
          <w:szCs w:val="22"/>
        </w:rPr>
        <w:t xml:space="preserve">Detalhamento completo das fontes, formatos e finalidade de uso disponível no Data Summary Report que acompanha este documento.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SolarGap Brasil — Project Charter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2026-08-17T21:30:09.693Z</dcterms:created>
  <dcterms:modified xsi:type="dcterms:W3CDTF">2026-08-17T21:30:09.693Z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