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b/>
          <w:bCs/>
          <w:color w:val="2E7D32"/>
          <w:sz w:val="56"/>
          <w:szCs w:val="56"/>
        </w:rPr>
        <w:t>SolarGap Brasil</w:t>
      </w:r>
    </w:p>
    <w:p>
      <w:pPr>
        <w:pStyle w:val="Normal"/>
        <w:spacing w:before="0" w:after="40"/>
        <w:jc w:val="center"/>
        <w:rPr/>
      </w:pPr>
      <w:r>
        <w:rPr>
          <w:i/>
          <w:iCs/>
          <w:color w:val="F9A825"/>
          <w:sz w:val="26"/>
          <w:szCs w:val="26"/>
        </w:rPr>
        <w:t>Onde está o próximo mercado solar?</w:t>
      </w:r>
    </w:p>
    <w:p>
      <w:pPr>
        <w:pStyle w:val="Normal"/>
        <w:spacing w:before="0" w:after="60"/>
        <w:jc w:val="center"/>
        <w:rPr/>
      </w:pPr>
      <w:r>
        <w:rPr>
          <w:color w:val="595959"/>
          <w:sz w:val="30"/>
          <w:szCs w:val="30"/>
        </w:rPr>
        <w:t>Project Charter</w:t>
      </w:r>
    </w:p>
    <w:p>
      <w:pPr>
        <w:pStyle w:val="Normal"/>
        <w:spacing w:before="0" w:after="400"/>
        <w:jc w:val="center"/>
        <w:rPr/>
      </w:pPr>
      <w:r>
        <w:rPr>
          <w:color w:val="595959"/>
          <w:sz w:val="18"/>
          <w:szCs w:val="18"/>
        </w:rPr>
        <w:t>TP1 — Inteligência Artificial Aplicada à Ciência de Dados  |  Pâmela Lima Ziliotto  |  17/08/2026</w:t>
      </w:r>
    </w:p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1. Contexto e Justificativa do Negócio</w:t>
      </w:r>
    </w:p>
    <w:p>
      <w:pPr>
        <w:pStyle w:val="Heading3"/>
        <w:rPr>
          <w:color w:val="2E7D32"/>
        </w:rPr>
      </w:pPr>
      <w:r>
        <w:rPr>
          <w:color w:val="2E7D32"/>
        </w:rPr>
        <w:t>1.1 Motivação e Inspiração</w:t>
      </w:r>
    </w:p>
    <w:p>
      <w:pPr>
        <w:pStyle w:val="Normal"/>
        <w:spacing w:lineRule="auto" w:line="300"/>
        <w:rPr>
          <w:sz w:val="22"/>
          <w:szCs w:val="22"/>
        </w:rPr>
      </w:pPr>
      <w:r>
        <w:rPr>
          <w:sz w:val="22"/>
          <w:szCs w:val="22"/>
        </w:rPr>
        <w:t>A ideia do SolarGab Brasil surgiu de conversas recorrentes com um amigo que atua há anos no setor de energia solar. Um aspecto dessas conversas sempre chamou atenção: uma empresa de pequeno porte, sediada no interior do Rio Grande do Sul, atende clientes em todo o país. Esse alcance sugere que a demanda por geração solar distribuída não segue necessariamente a geografia dos grandes centros e que pode haver mercados pouco explorados em regiões que raramente aparecerem no debate.</w:t>
      </w:r>
    </w:p>
    <w:p>
      <w:pPr>
        <w:pStyle w:val="Normal"/>
        <w:spacing w:lineRule="auto" w:line="300"/>
        <w:rPr>
          <w:sz w:val="6"/>
          <w:szCs w:val="6"/>
        </w:rPr>
      </w:pPr>
      <w:r>
        <w:rPr>
          <w:sz w:val="6"/>
          <w:szCs w:val="6"/>
        </w:rPr>
      </w:r>
    </w:p>
    <w:p>
      <w:pPr>
        <w:pStyle w:val="Normal"/>
        <w:spacing w:lineRule="auto" w:line="300"/>
        <w:rPr>
          <w:sz w:val="22"/>
          <w:szCs w:val="22"/>
        </w:rPr>
      </w:pPr>
      <w:r>
        <w:rPr>
          <w:sz w:val="22"/>
          <w:szCs w:val="22"/>
        </w:rPr>
        <w:t>O tema também se conectar ao ODS 7 (Energia Limpa e Acessível), um dos eixos propostos pela disciplina. Outra influência vem de um período vivendo na Europa, onde é comum ver propriedades fora das grandes cidades com geração solar própria. Nesse contexto, discussões como a da iniciativa Desertec, que propôs grandes usinas solares no Saara, ilustram um ponto central para este projeto: abundância de sol e viabilidade técnica não bastam. A expansão da energia limpa depende de planejamento, infraestrutura e de onde a demanda efetivamente está.</w:t>
      </w:r>
    </w:p>
    <w:p>
      <w:pPr>
        <w:pStyle w:val="Normal"/>
        <w:spacing w:lineRule="auto" w:line="300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spacing w:lineRule="auto" w:line="300"/>
        <w:rPr>
          <w:sz w:val="22"/>
          <w:szCs w:val="22"/>
        </w:rPr>
      </w:pPr>
      <w:r>
        <w:rPr>
          <w:sz w:val="22"/>
          <w:szCs w:val="22"/>
        </w:rPr>
        <w:t>O projeto parte da premissa de que políticas públicas isoladas têm alcance limitado. A adoção em escala se sustenta quando a energia limpa também é economicamente atrativa para empresas e consumidores. Por isso o SolarGab Brasil busca identificar lacunas regionais na adoção de geração solar distribuída. Essa informação pode ajudar a direcionar incentivos governamentais e também mostrar ao mercado onde há espaço para crescer.</w:t>
      </w:r>
    </w:p>
    <w:p>
      <w:pPr>
        <w:pStyle w:val="Heading3"/>
        <w:rPr/>
      </w:pPr>
      <w:r>
        <w:rPr>
          <w:color w:val="2E7D32"/>
        </w:rPr>
        <w:t>1.2 Contexto</w:t>
      </w:r>
    </w:p>
    <w:p>
      <w:pPr>
        <w:pStyle w:val="Normal"/>
        <w:spacing w:lineRule="auto" w:line="300" w:before="0" w:after="160"/>
        <w:rPr>
          <w:i w:val="false"/>
          <w:iCs w:val="false"/>
          <w:sz w:val="22"/>
          <w:szCs w:val="22"/>
        </w:rPr>
      </w:pPr>
      <w:r>
        <w:rPr>
          <w:i w:val="false"/>
          <w:iCs w:val="false"/>
          <w:sz w:val="22"/>
          <w:szCs w:val="22"/>
        </w:rPr>
        <w:t>Desde a promulgação da Lei 14.300/2022 (Marco Legal da Geração Distribuída), a geração distribuída de energia solar cresceu de forma acentuada no Brasil. No entanto, há indícios de que esse crescimento não se distribui de forma equânime entre os estados — o que pode aprofundar desigualdades regionais de acesso à transição energética.</w:t>
      </w:r>
    </w:p>
    <w:p>
      <w:pPr>
        <w:pStyle w:val="Normal"/>
        <w:spacing w:lineRule="auto" w:line="300" w:before="0" w:after="160"/>
        <w:rPr/>
      </w:pPr>
      <w:r>
        <w:rPr>
          <w:i w:val="false"/>
          <w:iCs w:val="false"/>
          <w:sz w:val="22"/>
          <w:szCs w:val="22"/>
        </w:rPr>
        <w:t>O SolarGap Brasil propõe mapear e quantificar essa disparidade, transformando dados públicos da ANEEL e do IBGE em um painel interativo capaz de identificar quais estados estão liderando e quais estão ficando para trás na adoção de energia solar distribuída — revelando, ao mesmo tempo, onde estão as oportunidades ainda não exploradas pelo mercado solar.</w:t>
      </w:r>
    </w:p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2. Objetivos do Projeto</w:t>
      </w:r>
    </w:p>
    <w:p>
      <w:pPr>
        <w:pStyle w:val="Normal"/>
        <w:spacing w:lineRule="auto" w:line="300" w:before="0" w:after="160"/>
        <w:rPr/>
      </w:pPr>
      <w:r>
        <w:rPr>
          <w:i w:val="false"/>
          <w:iCs w:val="false"/>
          <w:sz w:val="22"/>
          <w:szCs w:val="22"/>
        </w:rPr>
        <w:t>Até o fim do TP1, mapear a distribuição de potência instalada em geração distribuída solar nos 27 estados brasileiros, normalizada por população, identificando os 5 estados com menor taxa de adoção per capita — com atualização dos dados em base mensal ao longo do semestre.</w:t>
      </w:r>
    </w:p>
    <w:p>
      <w:pPr>
        <w:pStyle w:val="Heading2"/>
        <w:spacing w:before="240" w:after="120"/>
        <w:rPr/>
      </w:pPr>
      <w:r>
        <w:rPr>
          <w:color w:val="595959"/>
        </w:rPr>
        <w:t>Indicadores de Sucesso (KPIs)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Indicador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Definição</w:t>
            </w:r>
          </w:p>
        </w:tc>
      </w:tr>
      <w:tr>
        <w:trPr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Potência instalada per capita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MW de MMGD instalados por 100 mil habitantes, por estado</w:t>
            </w:r>
          </w:p>
        </w:tc>
      </w:tr>
      <w:tr>
        <w:trPr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Taxa de crescimento anual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Variação percentual ano a ano da potência instalada, por estado</w:t>
            </w:r>
          </w:p>
        </w:tc>
      </w:tr>
      <w:tr>
        <w:trPr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Ranking de disparidade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Os 5 estados com maior e os 5 com menor adoção per capita</w:t>
            </w:r>
          </w:p>
        </w:tc>
      </w:tr>
    </w:tbl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3. Escopo</w:t>
      </w:r>
    </w:p>
    <w:p>
      <w:pPr>
        <w:pStyle w:val="Normal"/>
        <w:spacing w:lineRule="auto" w:line="300" w:before="0" w:after="160"/>
        <w:rPr/>
      </w:pPr>
      <w:r>
        <w:rPr>
          <w:i w:val="false"/>
          <w:iCs w:val="false"/>
          <w:sz w:val="22"/>
          <w:szCs w:val="22"/>
        </w:rPr>
        <w:t>Dashboard interativo em Streamlit exibindo a distribuição estadual de potência instalada em geração solar distribuída, normalizada por população, com identificação de disparidades regionais. Ao longo do curso, o projeto evolui incorporando web scraping (contexto qualitativo de notícias e incentivos estaduais), uma API própria em FastAPI, processamento de linguagem natural com um modelo de IA local, e, na etapa final, um agente inteligente de recomendação.</w:t>
      </w:r>
    </w:p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4. Objetivos de Desenvolvimento Sustentável (ODS)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ODS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Papel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Justificativa</w:t>
            </w:r>
          </w:p>
        </w:tc>
      </w:tr>
      <w:tr>
        <w:trPr>
          <w:cantSplit w:val="true"/>
        </w:trPr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ODS 7 — Energia Limpa e Acessível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Principal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O projeto trata diretamente da meta 7.2 (ampliar a participação de renováveis na matriz energética) e 7.b (expandir e modernizar infraestrutura de energia sustentável).</w:t>
            </w:r>
          </w:p>
        </w:tc>
      </w:tr>
      <w:tr>
        <w:trPr>
          <w:cantSplit w:val="true"/>
        </w:trPr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ODS 10 — Redução das Desigualdades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Secundário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O recorte central do projeto é a disparidade regional de adoção, dialogando com a meta 10.2 (promover inclusão socioeconômica independentemente da localização geográfica).</w:t>
            </w:r>
          </w:p>
        </w:tc>
      </w:tr>
    </w:tbl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5. Público-Alvo</w:t>
      </w:r>
    </w:p>
    <w:p>
      <w:pPr>
        <w:pStyle w:val="ListParagraph"/>
        <w:numPr>
          <w:ilvl w:val="0"/>
          <w:numId w:val="3"/>
        </w:numPr>
        <w:spacing w:before="0" w:after="80"/>
        <w:rPr/>
      </w:pPr>
      <w:r>
        <w:rPr>
          <w:sz w:val="22"/>
          <w:szCs w:val="22"/>
        </w:rPr>
        <w:t>Formuladores de política energética estadual (secretarias de energia e meio ambiente)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sz w:val="22"/>
          <w:szCs w:val="22"/>
        </w:rPr>
        <w:t>Empresas do setor solar avaliando onde expandir operação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sz w:val="22"/>
          <w:szCs w:val="22"/>
        </w:rPr>
        <w:t>ONGs de justiça e transição energética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sz w:val="22"/>
          <w:szCs w:val="22"/>
        </w:rPr>
        <w:t>Pesquisadores e jornalistas de dados cobrindo o tema</w:t>
      </w:r>
    </w:p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6. Stakeholders do Projeto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Stakeholder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Papel no Projeto</w:t>
            </w:r>
          </w:p>
        </w:tc>
      </w:tr>
      <w:tr>
        <w:trPr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Professor / avaliador do curso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Avalia entregas técnicas e documentação em cada TP</w:t>
            </w:r>
          </w:p>
        </w:tc>
      </w:tr>
      <w:tr>
        <w:trPr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Pâmela Lima Ziliotto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Desenvolvedora e responsável pelo projeto</w:t>
            </w:r>
          </w:p>
        </w:tc>
      </w:tr>
      <w:tr>
        <w:trPr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Usuário final (políticas públicas / setor solar)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Consome os insights do dashboard para decisão</w:t>
            </w:r>
          </w:p>
        </w:tc>
      </w:tr>
    </w:tbl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7. Cronograma Macro (TDSP)</w:t>
      </w:r>
    </w:p>
    <w:tbl>
      <w:tblPr>
        <w:tblW w:w="9360" w:type="dxa"/>
        <w:jc w:val="start"/>
        <w:tblInd w:w="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680"/>
        <w:gridCol w:w="4680"/>
      </w:tblGrid>
      <w:tr>
        <w:trPr>
          <w:tblHeader w:val="true"/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Etapa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E7D32" w:val="clea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color w:val="FFFFFF"/>
                <w:sz w:val="21"/>
                <w:szCs w:val="21"/>
              </w:rPr>
              <w:t>Foco Principal</w:t>
            </w:r>
          </w:p>
        </w:tc>
      </w:tr>
      <w:tr>
        <w:trPr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TP1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Fundação: problema de negócio, dados ANEEL/IBGE, demo Streamlit</w:t>
            </w:r>
          </w:p>
        </w:tc>
      </w:tr>
      <w:tr>
        <w:trPr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TP2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Interatividade, web scraping (BeautifulSoup), cache e upload de dados</w:t>
            </w:r>
          </w:p>
        </w:tc>
      </w:tr>
      <w:tr>
        <w:trPr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TP3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Múltiplas páginas, scraping dinâmico (Selenium), API própria (FastAPI)</w:t>
            </w:r>
          </w:p>
        </w:tc>
      </w:tr>
      <w:tr>
        <w:trPr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TP4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Integração de LLM local via HuggingFace/Transformers</w:t>
            </w:r>
          </w:p>
        </w:tc>
      </w:tr>
      <w:tr>
        <w:trPr>
          <w:cantSplit w:val="true"/>
        </w:trPr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TP5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2F2F2" w:val="clea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color w:val="000000"/>
                <w:sz w:val="21"/>
                <w:szCs w:val="21"/>
              </w:rPr>
              <w:t>Agente inteligente de recomendação + dashboard final consolidado</w:t>
            </w:r>
          </w:p>
        </w:tc>
      </w:tr>
    </w:tbl>
    <w:p>
      <w:pPr>
        <w:pStyle w:val="Heading1"/>
        <w:pBdr>
          <w:bottom w:val="single" w:sz="6" w:space="4" w:color="2E7D32"/>
        </w:pBdr>
        <w:spacing w:before="320" w:after="160"/>
        <w:rPr/>
      </w:pPr>
      <w:r>
        <w:rPr>
          <w:color w:val="2E7D32"/>
        </w:rPr>
        <w:t>8. Fontes de Dados</w:t>
      </w:r>
    </w:p>
    <w:p>
      <w:pPr>
        <w:pStyle w:val="Normal"/>
        <w:spacing w:lineRule="auto" w:line="300" w:before="0" w:after="160"/>
        <w:rPr/>
      </w:pPr>
      <w:r>
        <w:rPr>
          <w:i w:val="false"/>
          <w:iCs w:val="false"/>
          <w:sz w:val="22"/>
          <w:szCs w:val="22"/>
        </w:rPr>
        <w:t>Detalhamento completo das fontes, formatos e finalidade de uso disponível no Data Summary Report que acompanha este documento.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595959"/>
        <w:sz w:val="16"/>
        <w:szCs w:val="16"/>
      </w:rPr>
      <w:t xml:space="preserve">Página </w:t>
    </w:r>
    <w:r>
      <w:rPr>
        <w:i w:val="false"/>
        <w:iCs w:val="false"/>
        <w:sz w:val="22"/>
        <w:szCs w:val="22"/>
      </w:rPr>
      <w:fldChar w:fldCharType="begin"/>
    </w:r>
    <w:r>
      <w:rPr>
        <w:i w:val="false"/>
        <w:iCs w:val="false"/>
        <w:sz w:val="22"/>
        <w:szCs w:val="22"/>
      </w:rPr>
      <w:instrText xml:space="preserve"> PAGE </w:instrText>
    </w:r>
    <w:r>
      <w:rPr>
        <w:i w:val="false"/>
        <w:iCs w:val="false"/>
        <w:sz w:val="22"/>
        <w:szCs w:val="22"/>
      </w:rPr>
      <w:fldChar w:fldCharType="separate"/>
    </w:r>
    <w:r>
      <w:rPr>
        <w:i w:val="false"/>
        <w:iCs w:val="false"/>
        <w:sz w:val="22"/>
        <w:szCs w:val="22"/>
      </w:rPr>
      <w:t>3</w:t>
    </w:r>
    <w:r>
      <w:rPr>
        <w:i w:val="false"/>
        <w:iCs w:val="false"/>
        <w:sz w:val="22"/>
        <w:szCs w:val="22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595959"/>
        <w:sz w:val="16"/>
        <w:szCs w:val="16"/>
      </w:rPr>
      <w:t xml:space="preserve">Página </w:t>
    </w:r>
    <w:r>
      <w:rPr>
        <w:i w:val="false"/>
        <w:iCs w:val="false"/>
        <w:sz w:val="22"/>
        <w:szCs w:val="22"/>
      </w:rPr>
      <w:fldChar w:fldCharType="begin"/>
    </w:r>
    <w:r>
      <w:rPr>
        <w:i w:val="false"/>
        <w:iCs w:val="false"/>
        <w:sz w:val="22"/>
        <w:szCs w:val="22"/>
      </w:rPr>
      <w:instrText xml:space="preserve"> PAGE </w:instrText>
    </w:r>
    <w:r>
      <w:rPr>
        <w:i w:val="false"/>
        <w:iCs w:val="false"/>
        <w:sz w:val="22"/>
        <w:szCs w:val="22"/>
      </w:rPr>
      <w:fldChar w:fldCharType="separate"/>
    </w:r>
    <w:r>
      <w:rPr>
        <w:i w:val="false"/>
        <w:iCs w:val="false"/>
        <w:sz w:val="22"/>
        <w:szCs w:val="22"/>
      </w:rPr>
      <w:t>3</w:t>
    </w:r>
    <w:r>
      <w:rPr>
        <w:i w:val="false"/>
        <w:iCs w:val="false"/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color w:val="595959"/>
        <w:sz w:val="16"/>
        <w:szCs w:val="16"/>
      </w:rPr>
      <w:t>SolarGap Brasil — Project Charter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color w:val="595959"/>
        <w:sz w:val="16"/>
        <w:szCs w:val="16"/>
      </w:rPr>
      <w:t>SolarGap Brasil — Project Charter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pt-BR" w:eastAsia="zh-CN" w:bidi="hi-IN"/>
    </w:rPr>
  </w:style>
  <w:style w:type="paragraph" w:styleId="Heading1">
    <w:name w:val="heading 1"/>
    <w:basedOn w:val="Ttulo"/>
    <w:qFormat/>
    <w:pPr/>
    <w:rPr>
      <w:color w:val="2E74B5"/>
      <w:sz w:val="32"/>
      <w:szCs w:val="32"/>
    </w:rPr>
  </w:style>
  <w:style w:type="paragraph" w:styleId="Heading2">
    <w:name w:val="heading 2"/>
    <w:basedOn w:val="Ttulo"/>
    <w:qFormat/>
    <w:pPr/>
    <w:rPr>
      <w:color w:val="2E74B5"/>
      <w:sz w:val="26"/>
      <w:szCs w:val="26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Cabealhoerodap"/>
    <w:pPr/>
    <w:rPr/>
  </w:style>
  <w:style w:type="paragraph" w:styleId="Footer">
    <w:name w:val="footer"/>
    <w:basedOn w:val="Cabealhoerodap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</TotalTime>
  <Application>LibreOffice/26.2.0.3$Windows_X86_64 LibreOffice_project/620$Build-3</Application>
  <AppVersion>15.0000</AppVersion>
  <Pages>3</Pages>
  <Words>764</Words>
  <Characters>4335</Characters>
  <CharactersWithSpaces>5040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2026-08-17T21:30:09Z</dcterms:created>
  <dc:creator>Un-named</dc:creator>
  <dc:description/>
  <dc:language>pt-BR</dc:language>
  <cp:lastModifiedBy/>
  <dcterms:modified xsi:type="dcterms:W3CDTF">2026-09-20T13:04:51Z</dcterms:modified>
  <cp:revision>3</cp:revision>
  <dc:subject/>
  <dc:title/>
</cp:coreProperties>
</file>