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8.png" ContentType="image/png"/>
  <Override PartName="/word/media/rId41.png" ContentType="image/png"/>
  <Override PartName="/word/media/rId38.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2" w:name="system-design-and-principles"/>
    <w:p>
      <w:pPr>
        <w:pStyle w:val="Heading1"/>
      </w:pPr>
      <w:r>
        <w:t xml:space="preserve">System Design and Principles</w:t>
      </w:r>
    </w:p>
    <w:p>
      <w:pPr>
        <w:pStyle w:val="BlockText"/>
      </w:pPr>
      <w:r>
        <w:t xml:space="preserve">PanZhiQing</w:t>
      </w:r>
    </w:p>
    <w:bookmarkStart w:id="32" w:name="principles"/>
    <w:p>
      <w:pPr>
        <w:pStyle w:val="Heading2"/>
      </w:pPr>
      <w:r>
        <w:t xml:space="preserve">1. Principles</w:t>
      </w:r>
    </w:p>
    <w:bookmarkStart w:id="23" w:name="very-long-baseline-interferometry-vlbi"/>
    <w:p>
      <w:pPr>
        <w:pStyle w:val="Heading3"/>
      </w:pPr>
      <w:r>
        <w:t xml:space="preserve">1.1. Very Long Baseline Interferometry (VLBI)</w:t>
      </w:r>
    </w:p>
    <w:p>
      <w:pPr>
        <w:pStyle w:val="FirstParagraph"/>
      </w:pPr>
      <w:r>
        <w:rPr>
          <w:rFonts w:hint="eastAsia"/>
        </w:rPr>
        <w:t xml:space="preserve">若我们使用口径为</w:t>
      </w:r>
      <w:r>
        <w:t xml:space="preserve"> </w:t>
      </w:r>
      <m:oMath>
        <m:r>
          <m:t>D</m:t>
        </m:r>
      </m:oMath>
      <w:r>
        <w:t xml:space="preserve"> </w:t>
      </w:r>
      <w:r>
        <w:rPr>
          <w:rFonts w:hint="eastAsia"/>
        </w:rPr>
        <w:t xml:space="preserve">的望远镜来观测波长为</w:t>
      </w:r>
      <w:r>
        <w:t xml:space="preserve"> </w:t>
      </w:r>
      <m:oMath>
        <m:r>
          <m:t>λ</m:t>
        </m:r>
      </m:oMath>
      <w:r>
        <w:t xml:space="preserve"> </w:t>
      </w:r>
      <w:r>
        <w:rPr>
          <w:rFonts w:hint="eastAsia"/>
        </w:rPr>
        <w:t xml:space="preserve">的电磁波，那么望远镜的角分辨率可以用如下公式来估算：</w:t>
      </w:r>
    </w:p>
    <w:p>
      <w:pPr>
        <w:pStyle w:val="BodyText"/>
      </w:pPr>
      <m:oMathPara>
        <m:oMathParaPr>
          <m:jc m:val="center"/>
        </m:oMathParaPr>
        <m:oMath>
          <m:sSup>
            <m:e>
              <m:r>
                <m:t>θ</m:t>
              </m:r>
            </m:e>
            <m:sup>
              <m:r>
                <m:t>N</m:t>
              </m:r>
            </m:sup>
          </m:sSup>
          <m:r>
            <m:rPr>
              <m:sty m:val="p"/>
            </m:rPr>
            <m:t>=</m:t>
          </m:r>
          <m:f>
            <m:fPr>
              <m:type m:val="bar"/>
            </m:fPr>
            <m:num>
              <m:r>
                <m:t>λ</m:t>
              </m:r>
            </m:num>
            <m:den>
              <m:r>
                <m:t>D</m:t>
              </m:r>
            </m:den>
          </m:f>
          <m:sSup>
            <m:e>
              <m:r>
                <m:t>ρ</m:t>
              </m:r>
            </m:e>
            <m:sup>
              <m:r>
                <m:t>N</m:t>
              </m:r>
            </m:sup>
          </m:sSup>
        </m:oMath>
      </m:oMathPara>
    </w:p>
    <w:p>
      <w:pPr>
        <w:pStyle w:val="FirstParagraph"/>
      </w:pPr>
      <w:r>
        <w:rPr>
          <w:rFonts w:hint="eastAsia"/>
        </w:rPr>
        <w:t xml:space="preserve">我们可以发现，望远镜的角分辨率与波长成反比，与口径成正比，即在观测的电磁波波长不变的情况下，仪器的口径越大，其角分辨越小，分辨能力越高。这也解释了用于观测无线电波的射电天文望远镜动辄几十米到几百米的口径的原因。同时，假设我们选择波长较短的电磁波作为观测对象，例如X射线、伽马射线等，那么我们就可以使用相对较小的望远镜口径实现较高的角分辨率，这也是采用X射线来观测脉冲星（Pulsar）的原因。但是，X射线在大气中传播时会遭遇严重的衰减，甚至可以认为大气层对于宇宙空间发射的X射线是不透明的，因此我们只能在大气层以外的空间中观测X射线辐射，这也是空间天文卫星被用于X射线天文学的原因。</w:t>
      </w:r>
    </w:p>
    <w:p>
      <w:pPr>
        <w:pStyle w:val="BodyText"/>
      </w:pPr>
      <w:r>
        <w:rPr>
          <w:rFonts w:hint="eastAsia"/>
        </w:rPr>
        <w:t xml:space="preserve">干涉测量技术是一种通过测量两个或多个波源之间的相位差来确定波源位置的技术。若我们使用相隔甚远的两架望远镜观察同一个天体，并使用干涉测量技术来测量两个射电望远镜接收到的电磁波的相位差，那么我们就可以通过这种方式来测量天体的位置或是进行成像</w:t>
      </w:r>
      <w:r>
        <w:t xml:space="preserve">(Jennison, 1958)</w:t>
      </w:r>
      <w:r>
        <w:rPr>
          <w:rFonts w:hint="eastAsia"/>
        </w:rPr>
        <w:t xml:space="preserve">，理论上讲只要两架射电望远镜相距足够远我们就可以得到一个角分辨率足够优秀的“虚拟”望远镜。常规的做法是使用线缆链接两个望远镜以进行时间同步，但是过长的线缆传输过程往往会带来极大的误差，导致干涉测量的精度随着基线长度的增加而下降。</w:t>
      </w:r>
    </w:p>
    <w:p>
      <w:pPr>
        <w:pStyle w:val="BodyText"/>
      </w:pPr>
      <w:r>
        <w:rPr>
          <w:rFonts w:hint="eastAsia"/>
        </w:rPr>
        <w:t xml:space="preserve">为了解决这个问题，VLBI技术</w:t>
      </w:r>
      <w:r>
        <w:t xml:space="preserve">(Schuh &amp; Behrend, 2012)</w:t>
      </w:r>
      <w:r>
        <w:rPr>
          <w:rFonts w:hint="eastAsia"/>
        </w:rPr>
        <w:t xml:space="preserve">应运而生。VLBI技术采用原子钟（一般为氢原子钟）产生时间戳，并将观测值连同时间戳一并记录在存储介质上，然后集中进行数据后处理。由于两台原子钟可以保证严格意义上的时间同步，因此就不需要使用电缆来进行时间同步。</w:t>
      </w:r>
    </w:p>
    <w:p>
      <w:pPr>
        <w:pStyle w:val="BodyText"/>
      </w:pPr>
      <w:r>
        <w:rPr>
          <w:rFonts w:hint="eastAsia"/>
        </w:rPr>
        <w:t xml:space="preserve">然而，这种做法至少存在两个瓶颈：一者，地球直径有限，即使我们分别在南北两极架设望远镜，基线长度也不会超过地球直径，我们能得到的理论最高分辨率也是有限的；二者，这种做法实时性不足，我们需要等到所有数据都收集完毕后才能进行数据处理，这对于一些需要实时观测的天文现象来说是不可接受的。对于第一点，已经有国家提出了在宇宙空间中部署望远镜并与地面射电望远镜组成VLBI观测网络的方案。对于第二点，可以借助现代通信基础设施及云计算技术来实现实时数据处理。</w:t>
      </w:r>
    </w:p>
    <w:p>
      <w:pPr>
        <w:pStyle w:val="BodyText"/>
      </w:pPr>
      <w:r>
        <w:rPr>
          <w:rFonts w:hint="eastAsia"/>
        </w:rPr>
        <w:t xml:space="preserve">2019年人们使用Event</w:t>
      </w:r>
      <w:r>
        <w:t xml:space="preserve"> Horizon </w:t>
      </w:r>
      <w:r>
        <w:rPr>
          <w:rFonts w:hint="eastAsia"/>
        </w:rPr>
        <w:t xml:space="preserve">Telescope（EHT）</w:t>
      </w:r>
      <w:r>
        <w:t xml:space="preserve">(Collaboration et al., 2019)</w:t>
      </w:r>
      <w:r>
        <w:rPr>
          <w:rFonts w:hint="eastAsia"/>
        </w:rPr>
        <w:t xml:space="preserve">对黑洞进行成像，这是VLBI技术的一个成功应用。EHT</w:t>
      </w:r>
      <w:r>
        <w:t xml:space="preserve"> </w:t>
      </w:r>
      <w:r>
        <w:rPr>
          <w:rFonts w:hint="eastAsia"/>
        </w:rPr>
        <w:t xml:space="preserve">是一个由全球多组射电望远镜基线组成的VLBI同步观测网络，其等效口径几乎达到了地球的直径。</w:t>
      </w:r>
    </w:p>
    <w:p>
      <w:pPr>
        <w:pStyle w:val="CaptionedFigure"/>
      </w:pPr>
      <w:r>
        <w:drawing>
          <wp:inline>
            <wp:extent cx="5334000" cy="5522258"/>
            <wp:effectExtent b="0" l="0" r="0" t="0"/>
            <wp:docPr descr="Figure 1: The Event Horizon Telescope" title="" id="21" name="Picture"/>
            <a:graphic>
              <a:graphicData uri="http://schemas.openxmlformats.org/drawingml/2006/picture">
                <pic:pic>
                  <pic:nvPicPr>
                    <pic:cNvPr descr="./imgs/1.png" id="22" name="Picture"/>
                    <pic:cNvPicPr>
                      <a:picLocks noChangeArrowheads="1" noChangeAspect="1"/>
                    </pic:cNvPicPr>
                  </pic:nvPicPr>
                  <pic:blipFill>
                    <a:blip r:embed="rId20"/>
                    <a:stretch>
                      <a:fillRect/>
                    </a:stretch>
                  </pic:blipFill>
                  <pic:spPr bwMode="auto">
                    <a:xfrm>
                      <a:off x="0" y="0"/>
                      <a:ext cx="5334000" cy="5522258"/>
                    </a:xfrm>
                    <a:prstGeom prst="rect">
                      <a:avLst/>
                    </a:prstGeom>
                    <a:noFill/>
                    <a:ln w="9525">
                      <a:noFill/>
                      <a:headEnd/>
                      <a:tailEnd/>
                    </a:ln>
                  </pic:spPr>
                </pic:pic>
              </a:graphicData>
            </a:graphic>
          </wp:inline>
        </w:drawing>
      </w:r>
    </w:p>
    <w:p>
      <w:pPr>
        <w:pStyle w:val="ImageCaption"/>
      </w:pPr>
      <w:r>
        <w:t xml:space="preserve">Figure 1: The Event Horizon Telescope</w:t>
      </w:r>
    </w:p>
    <w:p>
      <w:pPr>
        <w:pStyle w:val="BodyText"/>
      </w:pPr>
      <w:r>
        <w:rPr>
          <w:rFonts w:hint="eastAsia"/>
        </w:rPr>
        <w:t xml:space="preserve">综上，Very</w:t>
      </w:r>
      <w:r>
        <w:t xml:space="preserve"> Long Baseline Interferometry </w:t>
      </w:r>
      <w:r>
        <w:rPr>
          <w:rFonts w:hint="eastAsia"/>
        </w:rPr>
        <w:t xml:space="preserve">可以以极高的分辨率观测宇宙空间中的天体，为人类提供从未有过的丰富信息。我们完全可以基于VLBI技术及在此基础之上发展而来的超高分辨率宇宙观测系统来获取目前技术条件下最为精确的宇宙空间信息数据库，该数据库记录了宇宙空间中的天体的形态、光谱、运动规律及相对于太阳系质心（SSB）的位置等信息。在接下来的内容中，我们认为该数据库已经搭载在目标上，并且目标可以随时读取并更新该数据库。</w:t>
      </w:r>
    </w:p>
    <w:bookmarkEnd w:id="23"/>
    <w:bookmarkStart w:id="27" w:name="vlbi-observables-and-data-processing"/>
    <w:p>
      <w:pPr>
        <w:pStyle w:val="Heading3"/>
      </w:pPr>
      <w:r>
        <w:t xml:space="preserve">1.2. VLBI Observables and Data Processing</w:t>
      </w:r>
    </w:p>
    <w:p>
      <w:pPr>
        <w:pStyle w:val="FirstParagraph"/>
      </w:pPr>
      <w:r>
        <w:t xml:space="preserve">VLBI </w:t>
      </w:r>
      <w:r>
        <w:rPr>
          <w:rFonts w:hint="eastAsia"/>
        </w:rPr>
        <w:t xml:space="preserve">本质上测量的是发射源同一时刻辐射出的电磁波到达基线两端的时间差（DTOA）及其变化率，通过观测多个发射源，即可计算出基线向量的空间坐标并确定发射源的位置（相对于</w:t>
      </w:r>
      <w:r>
        <w:t xml:space="preserve"> solar system barycenter </w:t>
      </w:r>
      <w:r>
        <w:rPr>
          <w:rFonts w:hint="eastAsia"/>
        </w:rPr>
        <w:t xml:space="preserve">(SSB)）。我们假设电磁波波前到达基线两端的时间差为</w:t>
      </w:r>
      <w:r>
        <w:t xml:space="preserve"> </w:t>
      </w:r>
      <m:oMath>
        <m:sSub>
          <m:e>
            <m:r>
              <m:t>τ</m:t>
            </m:r>
          </m:e>
          <m:sub>
            <m:r>
              <m:t>g</m:t>
            </m:r>
          </m:sub>
        </m:sSub>
      </m:oMath>
      <w:r>
        <w:rPr>
          <w:rFonts w:hint="eastAsia"/>
        </w:rPr>
        <w:t xml:space="preserve">，则有：</w:t>
      </w:r>
    </w:p>
    <w:p>
      <w:pPr>
        <w:pStyle w:val="BodyText"/>
      </w:pPr>
      <m:oMathPara>
        <m:oMathParaPr>
          <m:jc m:val="center"/>
        </m:oMathParaPr>
        <m:oMath>
          <m:sSub>
            <m:e>
              <m:r>
                <m:t>τ</m:t>
              </m:r>
            </m:e>
            <m:sub>
              <m:r>
                <m:t>g</m:t>
              </m:r>
            </m:sub>
          </m:sSub>
          <m:r>
            <m:rPr>
              <m:sty m:val="p"/>
            </m:rPr>
            <m:t>=</m:t>
          </m:r>
          <m:f>
            <m:fPr>
              <m:type m:val="bar"/>
            </m:fPr>
            <m:num>
              <m:r>
                <m:t>1</m:t>
              </m:r>
            </m:num>
            <m:den>
              <m:r>
                <m:t>c</m:t>
              </m:r>
            </m:den>
          </m:f>
          <m:d>
            <m:dPr>
              <m:begChr m:val="|"/>
              <m:endChr m:val="|"/>
              <m:sepChr m:val=""/>
              <m:grow/>
            </m:dPr>
            <m:e>
              <m:r>
                <m:t>b</m:t>
              </m:r>
            </m:e>
          </m:d>
          <m:r>
            <m:rPr>
              <m:sty m:val="p"/>
            </m:rPr>
            <m:t>cos</m:t>
          </m:r>
          <m:r>
            <m:t>θ</m:t>
          </m:r>
        </m:oMath>
      </m:oMathPara>
    </w:p>
    <w:p>
      <w:pPr>
        <w:pStyle w:val="FirstParagraph"/>
      </w:pPr>
      <w:r>
        <w:rPr>
          <w:rFonts w:hint="eastAsia"/>
        </w:rPr>
        <w:t xml:space="preserve">其中，c为光速，|b|为基线长度，</w:t>
      </w:r>
      <m:oMath>
        <m:r>
          <m:t>θ</m:t>
        </m:r>
      </m:oMath>
      <w:r>
        <w:rPr>
          <w:rFonts w:hint="eastAsia"/>
        </w:rPr>
        <w:t xml:space="preserve">为基线与发射源方向的夹角。由于发射源距离相当遥远，我们将波前面视作平面波。此外，由于信号源初始状态未知，所以会存在模糊度N，我们有：</w:t>
      </w:r>
    </w:p>
    <w:p>
      <w:pPr>
        <w:pStyle w:val="BodyText"/>
      </w:pPr>
      <m:oMathPara>
        <m:oMathParaPr>
          <m:jc m:val="center"/>
        </m:oMathParaPr>
        <m:oMath>
          <m:r>
            <m:t>c</m:t>
          </m:r>
          <m:r>
            <m:t>τ</m:t>
          </m:r>
          <m:r>
            <m:rPr>
              <m:sty m:val="p"/>
            </m:rPr>
            <m:t>=</m:t>
          </m:r>
          <m:r>
            <m:t>N</m:t>
          </m:r>
          <m:r>
            <m:t>λ</m:t>
          </m:r>
          <m:r>
            <m:rPr>
              <m:sty m:val="p"/>
            </m:rPr>
            <m:t>+</m:t>
          </m:r>
          <m:r>
            <m:t>Δ</m:t>
          </m:r>
          <m:r>
            <m:t>λ</m:t>
          </m:r>
        </m:oMath>
      </m:oMathPara>
    </w:p>
    <w:p>
      <w:pPr>
        <w:pStyle w:val="CaptionedFigure"/>
      </w:pPr>
      <w:r>
        <w:drawing>
          <wp:inline>
            <wp:extent cx="5334000" cy="3174634"/>
            <wp:effectExtent b="0" l="0" r="0" t="0"/>
            <wp:docPr descr="Figure 2: Gromatry of VLBI" title="" id="25" name="Picture"/>
            <a:graphic>
              <a:graphicData uri="http://schemas.openxmlformats.org/drawingml/2006/picture">
                <pic:pic>
                  <pic:nvPicPr>
                    <pic:cNvPr descr="./imgs/2.png" id="26" name="Picture"/>
                    <pic:cNvPicPr>
                      <a:picLocks noChangeArrowheads="1" noChangeAspect="1"/>
                    </pic:cNvPicPr>
                  </pic:nvPicPr>
                  <pic:blipFill>
                    <a:blip r:embed="rId24"/>
                    <a:stretch>
                      <a:fillRect/>
                    </a:stretch>
                  </pic:blipFill>
                  <pic:spPr bwMode="auto">
                    <a:xfrm>
                      <a:off x="0" y="0"/>
                      <a:ext cx="5334000" cy="3174634"/>
                    </a:xfrm>
                    <a:prstGeom prst="rect">
                      <a:avLst/>
                    </a:prstGeom>
                    <a:noFill/>
                    <a:ln w="9525">
                      <a:noFill/>
                      <a:headEnd/>
                      <a:tailEnd/>
                    </a:ln>
                  </pic:spPr>
                </pic:pic>
              </a:graphicData>
            </a:graphic>
          </wp:inline>
        </w:drawing>
      </w:r>
    </w:p>
    <w:p>
      <w:pPr>
        <w:pStyle w:val="ImageCaption"/>
      </w:pPr>
      <w:r>
        <w:t xml:space="preserve">Figure 2: Gromatry of VLBI</w:t>
      </w:r>
    </w:p>
    <w:p>
      <w:pPr>
        <w:pStyle w:val="BodyText"/>
      </w:pPr>
      <w:r>
        <w:rPr>
          <w:rFonts w:hint="eastAsia"/>
        </w:rPr>
        <w:t xml:space="preserve">在实际观测中由于设备限制，我们无法直接观测到</w:t>
      </w:r>
      <w:r>
        <w:t xml:space="preserve"> </w:t>
      </w:r>
      <m:oMath>
        <m:sSub>
          <m:e>
            <m:r>
              <m:t>τ</m:t>
            </m:r>
          </m:e>
          <m:sub>
            <m:r>
              <m:t>g</m:t>
            </m:r>
          </m:sub>
        </m:sSub>
      </m:oMath>
      <w:r>
        <w:rPr>
          <w:rFonts w:hint="eastAsia"/>
        </w:rPr>
        <w:t xml:space="preserve">，我们只能通过一些信号及数据处理方法估算出</w:t>
      </w:r>
      <w:r>
        <w:t xml:space="preserve"> </w:t>
      </w:r>
      <m:oMath>
        <m:sSub>
          <m:e>
            <m:r>
              <m:t>τ</m:t>
            </m:r>
          </m:e>
          <m:sub>
            <m:r>
              <m:t>g</m:t>
            </m:r>
          </m:sub>
        </m:sSub>
      </m:oMath>
      <w:r>
        <w:rPr>
          <w:rFonts w:hint="eastAsia"/>
        </w:rPr>
        <w:t xml:space="preserve">，例如最小二乘法</w:t>
      </w:r>
      <w:r>
        <w:t xml:space="preserve">(Ghaderpour, 2020)</w:t>
      </w:r>
      <w:r>
        <w:rPr>
          <w:rFonts w:hint="eastAsia"/>
        </w:rPr>
        <w:t xml:space="preserve">，傅里叶变换</w:t>
      </w:r>
      <w:r>
        <w:t xml:space="preserve">(Jennison, 1958)</w:t>
      </w:r>
      <w:r>
        <w:rPr>
          <w:rFonts w:hint="eastAsia"/>
        </w:rPr>
        <w:t xml:space="preserve">等。</w:t>
      </w:r>
    </w:p>
    <w:p>
      <w:pPr>
        <w:pStyle w:val="BodyText"/>
      </w:pPr>
      <w:r>
        <w:rPr>
          <w:rFonts w:hint="eastAsia"/>
        </w:rPr>
        <w:t xml:space="preserve">我们可以将观测方程线性化，以便进行最小二乘估计或卡尔曼滤波等数据处理方法。VLBI基本观测方程可以表示为：</w:t>
      </w:r>
    </w:p>
    <w:p>
      <w:pPr>
        <w:pStyle w:val="BodyText"/>
      </w:pPr>
      <m:oMathPara>
        <m:oMathParaPr>
          <m:jc m:val="center"/>
        </m:oMathParaPr>
        <m:oMath>
          <m:sSub>
            <m:e>
              <m:r>
                <m:t>O</m:t>
              </m:r>
            </m:e>
            <m:sub>
              <m:r>
                <m:t>t</m:t>
              </m:r>
            </m:sub>
          </m:sSub>
          <m:r>
            <m:rPr>
              <m:sty m:val="p"/>
            </m:rPr>
            <m:t>=</m:t>
          </m:r>
          <m:r>
            <m:t>C</m:t>
          </m:r>
          <m:d>
            <m:dPr>
              <m:begChr m:val="("/>
              <m:endChr m:val=")"/>
              <m:sepChr m:val=""/>
              <m:grow/>
            </m:dPr>
            <m:e>
              <m:r>
                <m:t>X</m:t>
              </m:r>
              <m:r>
                <m:rPr>
                  <m:sty m:val="p"/>
                </m:rPr>
                <m:t>,</m:t>
              </m:r>
              <m:r>
                <m:t>t</m:t>
              </m:r>
            </m:e>
          </m:d>
          <m:r>
            <m:rPr>
              <m:sty m:val="p"/>
            </m:rPr>
            <m:t>+</m:t>
          </m:r>
          <m:sSub>
            <m:e>
              <m:r>
                <m:t>V</m:t>
              </m:r>
            </m:e>
            <m:sub>
              <m:r>
                <m:t>t</m:t>
              </m:r>
            </m:sub>
          </m:sSub>
        </m:oMath>
      </m:oMathPara>
    </w:p>
    <w:p>
      <w:pPr>
        <w:pStyle w:val="FirstParagraph"/>
      </w:pPr>
      <w:r>
        <w:rPr>
          <w:rFonts w:hint="eastAsia"/>
        </w:rPr>
        <w:t xml:space="preserve">其中，</w:t>
      </w:r>
      <m:oMath>
        <m:sSub>
          <m:e>
            <m:r>
              <m:t>O</m:t>
            </m:r>
          </m:e>
          <m:sub>
            <m:r>
              <m:t>t</m:t>
            </m:r>
          </m:sub>
        </m:sSub>
      </m:oMath>
      <w:r>
        <w:rPr>
          <w:rFonts w:hint="eastAsia"/>
        </w:rPr>
        <w:t xml:space="preserve">为观测值包括DTOA及其变化率，</w:t>
      </w:r>
      <m:oMath>
        <m:r>
          <m:t>C</m:t>
        </m:r>
        <m:d>
          <m:dPr>
            <m:begChr m:val="("/>
            <m:endChr m:val=")"/>
            <m:sepChr m:val=""/>
            <m:grow/>
          </m:dPr>
          <m:e>
            <m:r>
              <m:t>X</m:t>
            </m:r>
            <m:r>
              <m:rPr>
                <m:sty m:val="p"/>
              </m:rPr>
              <m:t>,</m:t>
            </m:r>
            <m:r>
              <m:t>t</m:t>
            </m:r>
          </m:e>
        </m:d>
      </m:oMath>
      <w:r>
        <w:rPr>
          <w:rFonts w:hint="eastAsia"/>
        </w:rPr>
        <w:t xml:space="preserve">为模型预测值，</w:t>
      </w:r>
      <m:oMath>
        <m:sSub>
          <m:e>
            <m:r>
              <m:t>V</m:t>
            </m:r>
          </m:e>
          <m:sub>
            <m:r>
              <m:t>t</m:t>
            </m:r>
          </m:sub>
        </m:sSub>
      </m:oMath>
      <w:r>
        <w:rPr>
          <w:rFonts w:hint="eastAsia"/>
        </w:rPr>
        <w:t xml:space="preserve">为观测误差。将其线性化，我们有：</w:t>
      </w:r>
    </w:p>
    <w:p>
      <w:pPr>
        <w:pStyle w:val="BodyText"/>
      </w:pPr>
      <m:oMathPara>
        <m:oMathParaPr>
          <m:jc m:val="center"/>
        </m:oMathParaPr>
        <m:oMath>
          <m:r>
            <m:t>Y</m:t>
          </m:r>
          <m:r>
            <m:rPr>
              <m:sty m:val="p"/>
            </m:rPr>
            <m:t>=</m:t>
          </m:r>
          <m:r>
            <m:t>A</m:t>
          </m:r>
          <m:r>
            <m:t>x</m:t>
          </m:r>
          <m:r>
            <m:rPr>
              <m:sty m:val="p"/>
            </m:rPr>
            <m:t>+</m:t>
          </m:r>
          <m:r>
            <m:t>V</m:t>
          </m:r>
        </m:oMath>
      </m:oMathPara>
    </w:p>
    <w:p>
      <w:pPr>
        <w:pStyle w:val="FirstParagraph"/>
      </w:pPr>
      <w:r>
        <w:rPr>
          <w:rFonts w:hint="eastAsia"/>
        </w:rPr>
        <w:t xml:space="preserve">若设权系数矩阵为</w:t>
      </w:r>
      <w:r>
        <w:t xml:space="preserve"> </w:t>
      </w:r>
      <m:oMath>
        <m:r>
          <m:t>P</m:t>
        </m:r>
      </m:oMath>
      <w:r>
        <w:rPr>
          <w:rFonts w:hint="eastAsia"/>
        </w:rPr>
        <w:t xml:space="preserve">，则有最小二乘估计为：</w:t>
      </w:r>
    </w:p>
    <w:p>
      <w:pPr>
        <w:pStyle w:val="BodyText"/>
      </w:pPr>
      <m:oMathPara>
        <m:oMathParaPr>
          <m:jc m:val="center"/>
        </m:oMathParaPr>
        <m:oMath>
          <m:acc>
            <m:accPr>
              <m:chr m:val="̂"/>
            </m:accPr>
            <m:e>
              <m:r>
                <m:t>x</m:t>
              </m:r>
            </m:e>
          </m:acc>
          <m:r>
            <m:rPr>
              <m:sty m:val="p"/>
            </m:rPr>
            <m:t>=</m:t>
          </m:r>
          <m:sSup>
            <m:e>
              <m:d>
                <m:dPr>
                  <m:begChr m:val="("/>
                  <m:endChr m:val=")"/>
                  <m:sepChr m:val=""/>
                  <m:grow/>
                </m:dPr>
                <m:e>
                  <m:sSup>
                    <m:e>
                      <m:r>
                        <m:t>A</m:t>
                      </m:r>
                    </m:e>
                    <m:sup>
                      <m:r>
                        <m:t>T</m:t>
                      </m:r>
                    </m:sup>
                  </m:sSup>
                  <m:r>
                    <m:t>P</m:t>
                  </m:r>
                  <m:r>
                    <m:t>A</m:t>
                  </m:r>
                </m:e>
              </m:d>
            </m:e>
            <m:sup>
              <m:r>
                <m:rPr>
                  <m:sty m:val="p"/>
                </m:rPr>
                <m:t>−</m:t>
              </m:r>
              <m:r>
                <m:t>1</m:t>
              </m:r>
            </m:sup>
          </m:sSup>
          <m:sSup>
            <m:e>
              <m:r>
                <m:t>A</m:t>
              </m:r>
            </m:e>
            <m:sup>
              <m:r>
                <m:t>T</m:t>
              </m:r>
            </m:sup>
          </m:sSup>
          <m:r>
            <m:t>P</m:t>
          </m:r>
          <m:r>
            <m:t>Y</m:t>
          </m:r>
        </m:oMath>
      </m:oMathPara>
    </w:p>
    <w:p>
      <w:pPr>
        <w:pStyle w:val="FirstParagraph"/>
      </w:pPr>
      <w:r>
        <w:rPr>
          <w:rFonts w:hint="eastAsia"/>
        </w:rPr>
        <w:t xml:space="preserve">其中，</w:t>
      </w:r>
      <m:oMath>
        <m:r>
          <m:t>A</m:t>
        </m:r>
      </m:oMath>
      <w:r>
        <w:rPr>
          <w:rFonts w:hint="eastAsia"/>
        </w:rPr>
        <w:t xml:space="preserve">为偏导数矩阵，</w:t>
      </w:r>
      <m:oMath>
        <m:r>
          <m:t>Y</m:t>
        </m:r>
      </m:oMath>
      <w:r>
        <w:rPr>
          <w:rFonts w:hint="eastAsia"/>
        </w:rPr>
        <w:t xml:space="preserve">为观测值，</w:t>
      </w:r>
      <m:oMath>
        <m:r>
          <m:t>P</m:t>
        </m:r>
      </m:oMath>
      <w:r>
        <w:rPr>
          <w:rFonts w:hint="eastAsia"/>
        </w:rPr>
        <w:t xml:space="preserve">为权系数矩阵。</w:t>
      </w:r>
    </w:p>
    <w:p>
      <w:pPr>
        <w:pStyle w:val="BodyText"/>
      </w:pPr>
      <w:r>
        <w:rPr>
          <w:rFonts w:hint="eastAsia"/>
        </w:rPr>
        <w:t xml:space="preserve">考虑到VLBI的DTOA观测量精度大约为氢原子钟记时精度的千分之一，即约为</w:t>
      </w:r>
      <w:r>
        <w:t xml:space="preserve"> </w:t>
      </w:r>
      <m:oMath>
        <m:sSup>
          <m:e>
            <m:r>
              <m:t>10</m:t>
            </m:r>
          </m:e>
          <m:sup>
            <m:r>
              <m:rPr>
                <m:sty m:val="p"/>
              </m:rPr>
              <m:t>−</m:t>
            </m:r>
            <m:r>
              <m:t>11</m:t>
            </m:r>
          </m:sup>
        </m:sSup>
      </m:oMath>
      <w:r>
        <w:t xml:space="preserve"> </w:t>
      </w:r>
      <w:r>
        <w:rPr>
          <w:rFonts w:hint="eastAsia"/>
        </w:rPr>
        <w:t xml:space="preserve">秒，而相对论效应主要作用于光速，即约为</w:t>
      </w:r>
      <w:r>
        <w:t xml:space="preserve"> </w:t>
      </w:r>
      <m:oMath>
        <m:sSup>
          <m:e>
            <m:r>
              <m:t>10</m:t>
            </m:r>
          </m:e>
          <m:sup>
            <m:r>
              <m:rPr>
                <m:sty m:val="p"/>
              </m:rPr>
              <m:t>−</m:t>
            </m:r>
            <m:r>
              <m:t>8</m:t>
            </m:r>
          </m:sup>
        </m:sSup>
      </m:oMath>
      <w:r>
        <w:t xml:space="preserve"> </w:t>
      </w:r>
      <w:r>
        <w:rPr>
          <w:rFonts w:hint="eastAsia"/>
        </w:rPr>
        <w:t xml:space="preserve">秒，因此我们必须要考虑修正相对论效应带来的误差（如太阴、地球及木星引力带来的误差）。同时，对于这种高精度观测活动，我们还需要考虑天文望远镜观测站当地的大气、潮汐、固体潮、地球自转等因素带来的误差，这与GPS高精度定位所需要处理的误差相类似。</w:t>
      </w:r>
    </w:p>
    <w:p>
      <w:pPr>
        <w:pStyle w:val="BodyText"/>
      </w:pPr>
      <w:r>
        <w:rPr>
          <w:rFonts w:hint="eastAsia"/>
        </w:rPr>
        <w:t xml:space="preserve">基于上述原理，我们可以在地球上建立一个VLBI观测网络，通过观测多个发射源，我们可以计算出基线向量的空间坐标并确定发射源的位置（相对于</w:t>
      </w:r>
      <w:r>
        <w:t xml:space="preserve"> solar system barycenter </w:t>
      </w:r>
      <w:r>
        <w:rPr>
          <w:rFonts w:hint="eastAsia"/>
        </w:rPr>
        <w:t xml:space="preserve">(SSB)）。我们可以将这些观测数据存储在数据库中，以便后续的数据处理及分析，例如我们可以将其搭载在宇宙飞船上，以便在宇宙空间中进行定位及导航</w:t>
      </w:r>
      <w:r>
        <w:t xml:space="preserve">(Nothnagel et al., 2017)</w:t>
      </w:r>
      <w:r>
        <w:t xml:space="preserve">。</w:t>
      </w:r>
    </w:p>
    <w:bookmarkEnd w:id="27"/>
    <w:bookmarkStart w:id="31" w:name="pulsar-and-xnavx-ray-pulsar-navigation"/>
    <w:p>
      <w:pPr>
        <w:pStyle w:val="Heading3"/>
      </w:pPr>
      <w:r>
        <w:t xml:space="preserve">1.3. Pulsar and XNAV(X-ray Pulsar Navigation)</w:t>
      </w:r>
    </w:p>
    <w:p>
      <w:pPr>
        <w:pStyle w:val="FirstParagraph"/>
      </w:pPr>
      <w:r>
        <w:rPr>
          <w:rFonts w:hint="eastAsia"/>
        </w:rPr>
        <w:t xml:space="preserve">脉冲星最早于1967年由剑桥大学卡文迪许实验室的安东尼·休伊什（Antony</w:t>
      </w:r>
      <w:r>
        <w:t xml:space="preserve"> </w:t>
      </w:r>
      <w:r>
        <w:rPr>
          <w:rFonts w:hint="eastAsia"/>
        </w:rPr>
        <w:t xml:space="preserve">Hewish）教授的研究生——24岁的乔丝琳·贝尔·伯奈尔（Jocelyn</w:t>
      </w:r>
      <w:r>
        <w:t xml:space="preserve"> Bell </w:t>
      </w:r>
      <w:r>
        <w:rPr>
          <w:rFonts w:hint="eastAsia"/>
        </w:rPr>
        <w:t xml:space="preserve">Burnell）检测射电望远镜收到的信号时无意中发现。脉冲星是一种极其致密、高度磁化、高速旋转的星体，通常为中子星或白矮星，由于其高度磁化所以会从特定方向发射出高能电磁波，同时由于其高速旋转，这些电磁波会以脉冲的形式被遥远的观测者检测到。目前检测脉冲星的方式主要分为两种，一种是前文介绍的VLBI技术中用到的，接收微波信号的射电望远镜，这类接受终端往往十分巨大，并不适合装载在小型飞船上；另一种是接收X射线信号的望远镜，由于X射线波长远远小于微波波长，因此我们可以使用装载在小型航天器上的望远镜来观测脉冲星，例如XPNAV-1</w:t>
      </w:r>
      <w:r>
        <w:t xml:space="preserve"> Mission</w:t>
      </w:r>
      <w:r>
        <w:t xml:space="preserve">(Zhang et al., 2017)</w:t>
      </w:r>
      <w:r>
        <w:t xml:space="preserve">。</w:t>
      </w:r>
    </w:p>
    <w:p>
      <w:pPr>
        <w:pStyle w:val="BodyText"/>
      </w:pPr>
      <w:r>
        <w:rPr>
          <w:rFonts w:hint="eastAsia"/>
        </w:rPr>
        <w:t xml:space="preserve">脉冲星的脉冲周期极短，通常为毫秒到秒级别，且极其稳定，有些脉冲星的脉冲周期甚至比原子钟还要准确</w:t>
      </w:r>
      <w:r>
        <w:t xml:space="preserve">(Matsakis et al., 1997)</w:t>
      </w:r>
      <w:r>
        <w:rPr>
          <w:rFonts w:hint="eastAsia"/>
        </w:rPr>
        <w:t xml:space="preserve">。脉冲星凭借其稳定的脉冲周期及极高的角分辨率成为了天文导航的理想选择，也是超高能宇宙射线源的候选者之一。每一个脉冲星都有自己独特的信号模型</w:t>
      </w:r>
      <w:r>
        <w:t xml:space="preserve">(Ray et al., 2017)</w:t>
      </w:r>
      <w:r>
        <w:rPr>
          <w:rFonts w:hint="eastAsia"/>
        </w:rPr>
        <w:t xml:space="preserve">，这个模型可以用来识别不同的脉冲星。脉冲星的信号频率并非总是稳定，会存在一些随机的变化，年轻的脉冲星尤甚。所以，脉冲星导航系统，至少需要包含两个部分，一个是带有异常值监测的信号监测系统，另一个是脉冲星数据库。</w:t>
      </w:r>
    </w:p>
    <w:p>
      <w:pPr>
        <w:pStyle w:val="CaptionedFigure"/>
      </w:pPr>
      <w:r>
        <w:drawing>
          <wp:inline>
            <wp:extent cx="5334000" cy="4024745"/>
            <wp:effectExtent b="0" l="0" r="0" t="0"/>
            <wp:docPr descr="Figure 3: an Example of Unstable Pulsar Signal" title="" id="29" name="Picture"/>
            <a:graphic>
              <a:graphicData uri="http://schemas.openxmlformats.org/drawingml/2006/picture">
                <pic:pic>
                  <pic:nvPicPr>
                    <pic:cNvPr descr="./imgs/3.png" id="30" name="Picture"/>
                    <pic:cNvPicPr>
                      <a:picLocks noChangeArrowheads="1" noChangeAspect="1"/>
                    </pic:cNvPicPr>
                  </pic:nvPicPr>
                  <pic:blipFill>
                    <a:blip r:embed="rId28"/>
                    <a:stretch>
                      <a:fillRect/>
                    </a:stretch>
                  </pic:blipFill>
                  <pic:spPr bwMode="auto">
                    <a:xfrm>
                      <a:off x="0" y="0"/>
                      <a:ext cx="5334000" cy="4024745"/>
                    </a:xfrm>
                    <a:prstGeom prst="rect">
                      <a:avLst/>
                    </a:prstGeom>
                    <a:noFill/>
                    <a:ln w="9525">
                      <a:noFill/>
                      <a:headEnd/>
                      <a:tailEnd/>
                    </a:ln>
                  </pic:spPr>
                </pic:pic>
              </a:graphicData>
            </a:graphic>
          </wp:inline>
        </w:drawing>
      </w:r>
    </w:p>
    <w:p>
      <w:pPr>
        <w:pStyle w:val="ImageCaption"/>
      </w:pPr>
      <w:r>
        <w:t xml:space="preserve">Figure 3: an Example of Unstable Pulsar Signal</w:t>
      </w:r>
    </w:p>
    <w:p>
      <w:pPr>
        <w:pStyle w:val="BodyText"/>
      </w:pPr>
      <w:r>
        <w:rPr>
          <w:rFonts w:hint="eastAsia"/>
        </w:rPr>
        <w:t xml:space="preserve">目前，对于基于X射线脉冲星的太空导航，只需一天的观测数据（来自一个小型机载</w:t>
      </w:r>
      <w:r>
        <w:t xml:space="preserve"> X </w:t>
      </w:r>
      <w:r>
        <w:rPr>
          <w:rFonts w:hint="eastAsia"/>
        </w:rPr>
        <w:t xml:space="preserve">射线探测器），就能获得精度约为</w:t>
      </w:r>
      <w:r>
        <w:t xml:space="preserve"> 150 </w:t>
      </w:r>
      <w:r>
        <w:rPr>
          <w:rFonts w:hint="eastAsia"/>
        </w:rPr>
        <w:t xml:space="preserve">公里左右的航天器的三维位置</w:t>
      </w:r>
      <w:r>
        <w:t xml:space="preserve">(Chester &amp; Butman, 1981)</w:t>
      </w:r>
      <w:r>
        <w:rPr>
          <w:rFonts w:hint="eastAsia"/>
        </w:rPr>
        <w:t xml:space="preserve">。传统的基于地球深空观测网络的宇宙空间导航技术（如通过角度测量来确定坐标）会随着航天器与地球的距离增加而精度下降，而利用</w:t>
      </w:r>
      <w:r>
        <w:t xml:space="preserve"> X </w:t>
      </w:r>
      <w:r>
        <w:rPr>
          <w:rFonts w:hint="eastAsia"/>
        </w:rPr>
        <w:t xml:space="preserve">射线脉冲星进行导航则不依赖于航天器与地球的距离，精度不会随之降低。距离地球大于</w:t>
      </w:r>
      <w:r>
        <w:t xml:space="preserve"> 5 </w:t>
      </w:r>
      <w:r>
        <w:rPr>
          <w:rFonts w:hint="eastAsia"/>
        </w:rPr>
        <w:t xml:space="preserve">天文单位的深空导航，采用</w:t>
      </w:r>
      <w:r>
        <w:t xml:space="preserve"> X </w:t>
      </w:r>
      <w:r>
        <w:rPr>
          <w:rFonts w:hint="eastAsia"/>
        </w:rPr>
        <w:t xml:space="preserve">射线脉冲星导航技术的精度优势就会显现出来。这种结合了X射线脉冲星观测数据及航天器inertial</w:t>
      </w:r>
      <w:r>
        <w:t xml:space="preserve"> navigation system </w:t>
      </w:r>
      <w:r>
        <w:rPr>
          <w:rFonts w:hint="eastAsia"/>
        </w:rPr>
        <w:t xml:space="preserve">(INS)的导航系统，我们称之为XNAV。XNAV技术的优势在于其自主性增强，减少了对于地面控制的频繁依赖，降低了任务的运营成本。同时得益于X射线仪器的小型化与紧凑化，XNAV技术可以被广泛、低成本地应用于深空探测任务中，如水星、火星等行星探测任务。使用脉冲星</w:t>
      </w:r>
      <w:r>
        <w:t xml:space="preserve"> PSR </w:t>
      </w:r>
      <w:r>
        <w:rPr>
          <w:rFonts w:hint="eastAsia"/>
        </w:rPr>
        <w:t xml:space="preserve">B1937+21，航天器在距离最大可达</w:t>
      </w:r>
      <w:r>
        <w:t xml:space="preserve"> 30 </w:t>
      </w:r>
      <w:r>
        <w:rPr>
          <w:rFonts w:hint="eastAsia"/>
        </w:rPr>
        <w:t xml:space="preserve">天文单位的范围内，经过</w:t>
      </w:r>
      <w:r>
        <w:t xml:space="preserve"> 10 </w:t>
      </w:r>
      <w:r>
        <w:rPr>
          <w:rFonts w:hint="eastAsia"/>
        </w:rPr>
        <w:t xml:space="preserve">小时的观察，可以实现约</w:t>
      </w:r>
      <w:r>
        <w:t xml:space="preserve"> 2 </w:t>
      </w:r>
      <w:r>
        <w:rPr>
          <w:rFonts w:hint="eastAsia"/>
        </w:rPr>
        <w:t xml:space="preserve">公里精度的定位，经过</w:t>
      </w:r>
      <w:r>
        <w:t xml:space="preserve"> 1 </w:t>
      </w:r>
      <w:r>
        <w:rPr>
          <w:rFonts w:hint="eastAsia"/>
        </w:rPr>
        <w:t xml:space="preserve">小时的观察则为</w:t>
      </w:r>
      <w:r>
        <w:t xml:space="preserve"> 5 </w:t>
      </w:r>
      <w:r>
        <w:rPr>
          <w:rFonts w:hint="eastAsia"/>
        </w:rPr>
        <w:t xml:space="preserve">公里精度。</w:t>
      </w:r>
      <w:r>
        <w:t xml:space="preserve">(Shemar et al., 2016)</w:t>
      </w:r>
    </w:p>
    <w:bookmarkEnd w:id="31"/>
    <w:bookmarkEnd w:id="32"/>
    <w:bookmarkStart w:id="45" w:name="system-design"/>
    <w:p>
      <w:pPr>
        <w:pStyle w:val="Heading2"/>
      </w:pPr>
      <w:r>
        <w:t xml:space="preserve">2. System Design</w:t>
      </w:r>
    </w:p>
    <w:bookmarkStart w:id="36" w:name="system-architecture"/>
    <w:p>
      <w:pPr>
        <w:pStyle w:val="Heading3"/>
      </w:pPr>
      <w:r>
        <w:t xml:space="preserve">2.1. System Architecture</w:t>
      </w:r>
    </w:p>
    <w:p>
      <w:pPr>
        <w:pStyle w:val="FirstParagraph"/>
      </w:pPr>
      <w:r>
        <w:rPr>
          <w:rFonts w:hint="eastAsia"/>
        </w:rPr>
        <w:t xml:space="preserve">我们的系统由三个部分组成：VLBI观测网络、脉冲星数据库及XNAV系统。VLBI观测网络负责搜索及观测脉冲星，脉冲星数据库负责处理观测值建立并存储脉冲星信号模型，XNAV系统安装在需要导航的目标航天器上负责实时定位。对于VLBI观测网络而言，既可以是地球上已有的观测网络，也可以是未来在宇宙空间中部署的观测网络。若人类能够发射大型宇宙飞船（或探测器），则在宇宙空间中布设超长基线的观测网络将成为现实。假设我们有多艘飞船分别航向不同的方向，那么我们就可以通过这些飞船构建一个基线不断增长的VLBI观测网络，从而不断提高观测精度。</w:t>
      </w:r>
    </w:p>
    <w:p>
      <w:pPr>
        <w:pStyle w:val="CaptionedFigure"/>
      </w:pPr>
      <w:r>
        <w:drawing>
          <wp:inline>
            <wp:extent cx="5334000" cy="6214222"/>
            <wp:effectExtent b="0" l="0" r="0" t="0"/>
            <wp:docPr descr="Figure 4: System Architecture" title="" id="34" name="Picture"/>
            <a:graphic>
              <a:graphicData uri="http://schemas.openxmlformats.org/drawingml/2006/picture">
                <pic:pic>
                  <pic:nvPicPr>
                    <pic:cNvPr descr="./imgs/6.png" id="35" name="Picture"/>
                    <pic:cNvPicPr>
                      <a:picLocks noChangeArrowheads="1" noChangeAspect="1"/>
                    </pic:cNvPicPr>
                  </pic:nvPicPr>
                  <pic:blipFill>
                    <a:blip r:embed="rId33"/>
                    <a:stretch>
                      <a:fillRect/>
                    </a:stretch>
                  </pic:blipFill>
                  <pic:spPr bwMode="auto">
                    <a:xfrm>
                      <a:off x="0" y="0"/>
                      <a:ext cx="5334000" cy="6214222"/>
                    </a:xfrm>
                    <a:prstGeom prst="rect">
                      <a:avLst/>
                    </a:prstGeom>
                    <a:noFill/>
                    <a:ln w="9525">
                      <a:noFill/>
                      <a:headEnd/>
                      <a:tailEnd/>
                    </a:ln>
                  </pic:spPr>
                </pic:pic>
              </a:graphicData>
            </a:graphic>
          </wp:inline>
        </w:drawing>
      </w:r>
    </w:p>
    <w:p>
      <w:pPr>
        <w:pStyle w:val="ImageCaption"/>
      </w:pPr>
      <w:r>
        <w:t xml:space="preserve">Figure 4: System Architecture</w:t>
      </w:r>
    </w:p>
    <w:bookmarkEnd w:id="36"/>
    <w:bookmarkStart w:id="37" w:name="build-pulse-star-database"/>
    <w:p>
      <w:pPr>
        <w:pStyle w:val="Heading3"/>
      </w:pPr>
      <w:r>
        <w:t xml:space="preserve">2.2. Build Pulse Star Database</w:t>
      </w:r>
    </w:p>
    <w:p>
      <w:pPr>
        <w:pStyle w:val="FirstParagraph"/>
      </w:pPr>
      <w:r>
        <w:rPr>
          <w:rFonts w:hint="eastAsia"/>
        </w:rPr>
        <w:t xml:space="preserve">实现低成本脉冲星导航</w:t>
      </w:r>
      <w:r>
        <w:t xml:space="preserve">(Ely et al., 2022)</w:t>
      </w:r>
      <w:r>
        <w:rPr>
          <w:rFonts w:hint="eastAsia"/>
        </w:rPr>
        <w:t xml:space="preserve">的前置条件就是建立一个完善的脉冲星数据库（尤其是X射线脉冲星）。我们需要搜寻那些“优质”的脉冲星型号源（周期稳定的壮年脉冲星，脉冲信号已于接受，Geometry</w:t>
      </w:r>
      <w:r>
        <w:t xml:space="preserve"> </w:t>
      </w:r>
      <w:r>
        <w:rPr>
          <w:rFonts w:hint="eastAsia"/>
        </w:rPr>
        <w:t xml:space="preserve">分布较好），然后长期观测它们，建立脉冲星信号模型（钟模型）并测定它们相对于太阳系质心（SSB）的位置（包括方位及近似距离）。</w:t>
      </w:r>
    </w:p>
    <w:p>
      <w:pPr>
        <w:pStyle w:val="BodyText"/>
      </w:pPr>
      <w:r>
        <w:rPr>
          <w:rFonts w:hint="eastAsia"/>
        </w:rPr>
        <w:t xml:space="preserve">对于脉冲星信号模型的建立，通常是观测并记录脉冲信号的到达时间（TOA），需要说明的一点是，脉冲星钟模型同样是归算到太阳系质心的。我们有如下公式来完成这一转换：</w:t>
      </w:r>
    </w:p>
    <w:p>
      <w:pPr>
        <w:pStyle w:val="BodyText"/>
      </w:pPr>
      <m:oMathPara>
        <m:oMathParaPr>
          <m:jc m:val="center"/>
        </m:oMathParaPr>
        <m:oMath>
          <m:r>
            <m:t>t</m:t>
          </m:r>
          <m:r>
            <m:rPr>
              <m:sty m:val="p"/>
            </m:rPr>
            <m:t>=</m:t>
          </m:r>
          <m:r>
            <m:t>T</m:t>
          </m:r>
          <m:r>
            <m:rPr>
              <m:sty m:val="p"/>
            </m:rPr>
            <m:t>+</m:t>
          </m:r>
          <m:r>
            <m:t>Δ</m:t>
          </m:r>
          <m:sSub>
            <m:e>
              <m:r>
                <m:t>t</m:t>
              </m:r>
            </m:e>
            <m:sub>
              <m:r>
                <m:t>1</m:t>
              </m:r>
            </m:sub>
          </m:sSub>
          <m:r>
            <m:rPr>
              <m:sty m:val="p"/>
            </m:rPr>
            <m:t>+</m:t>
          </m:r>
          <m:r>
            <m:t>Δ</m:t>
          </m:r>
          <m:sSub>
            <m:e>
              <m:r>
                <m:t>t</m:t>
              </m:r>
            </m:e>
            <m:sub>
              <m:r>
                <m:t>2</m:t>
              </m:r>
            </m:sub>
          </m:sSub>
          <m:r>
            <m:rPr>
              <m:sty m:val="p"/>
            </m:rPr>
            <m:t>+</m:t>
          </m:r>
          <m:r>
            <m:t>Δ</m:t>
          </m:r>
          <m:sSub>
            <m:e>
              <m:r>
                <m:t>t</m:t>
              </m:r>
            </m:e>
            <m:sub>
              <m:r>
                <m:t>3</m:t>
              </m:r>
            </m:sub>
          </m:sSub>
          <m:r>
            <m:rPr>
              <m:sty m:val="p"/>
            </m:rPr>
            <m:t>+</m:t>
          </m:r>
          <m:nary>
            <m:naryPr>
              <m:chr m:val="∑"/>
              <m:limLoc m:val="undOvr"/>
              <m:subHide m:val="off"/>
              <m:supHide m:val="off"/>
            </m:naryPr>
            <m:sub>
              <m:r>
                <m:t>i</m:t>
              </m:r>
              <m:r>
                <m:rPr>
                  <m:sty m:val="p"/>
                </m:rPr>
                <m:t>=</m:t>
              </m:r>
              <m:r>
                <m:t>1</m:t>
              </m:r>
            </m:sub>
            <m:sup>
              <m:r>
                <m:t>n</m:t>
              </m:r>
            </m:sup>
            <m:e>
              <m:sSub>
                <m:e>
                  <m:r>
                    <m:t>V</m:t>
                  </m:r>
                </m:e>
                <m:sub>
                  <m:r>
                    <m:t>i</m:t>
                  </m:r>
                </m:sub>
              </m:sSub>
            </m:e>
          </m:nary>
        </m:oMath>
      </m:oMathPara>
    </w:p>
    <w:p>
      <w:pPr>
        <w:pStyle w:val="FirstParagraph"/>
      </w:pPr>
      <w:r>
        <w:rPr>
          <w:rFonts w:hint="eastAsia"/>
        </w:rPr>
        <w:t xml:space="preserve">其中，</w:t>
      </w:r>
      <m:oMath>
        <m:r>
          <m:t>t</m:t>
        </m:r>
      </m:oMath>
      <w:r>
        <w:rPr>
          <w:rFonts w:hint="eastAsia"/>
        </w:rPr>
        <w:t xml:space="preserve">为计算出的在太阳系质心观测到的脉冲到达时间，</w:t>
      </w:r>
      <m:oMath>
        <m:r>
          <m:t>T</m:t>
        </m:r>
      </m:oMath>
      <w:r>
        <w:rPr>
          <w:rFonts w:hint="eastAsia"/>
        </w:rPr>
        <w:t xml:space="preserve">为地面站观测到的脉冲到达时间，</w:t>
      </w:r>
      <w:r>
        <w:t xml:space="preserve"> </w:t>
      </w:r>
      <m:oMath>
        <m:r>
          <m:t>Δ</m:t>
        </m:r>
        <m:sSub>
          <m:e>
            <m:r>
              <m:t>t</m:t>
            </m:r>
          </m:e>
          <m:sub>
            <m:r>
              <m:t>1</m:t>
            </m:r>
          </m:sub>
        </m:sSub>
        <m:r>
          <m:rPr>
            <m:sty m:val="p"/>
          </m:rPr>
          <m:t>,</m:t>
        </m:r>
        <m:r>
          <m:t>Δ</m:t>
        </m:r>
        <m:sSub>
          <m:e>
            <m:r>
              <m:t>t</m:t>
            </m:r>
          </m:e>
          <m:sub>
            <m:r>
              <m:t>2</m:t>
            </m:r>
          </m:sub>
        </m:sSub>
        <m:r>
          <m:rPr>
            <m:sty m:val="p"/>
          </m:rPr>
          <m:t>,</m:t>
        </m:r>
        <m:r>
          <m:t>Δ</m:t>
        </m:r>
        <m:sSub>
          <m:e>
            <m:r>
              <m:t>t</m:t>
            </m:r>
          </m:e>
          <m:sub>
            <m:r>
              <m:t>3</m:t>
            </m:r>
          </m:sub>
        </m:sSub>
      </m:oMath>
      <w:r>
        <w:t xml:space="preserve"> </w:t>
      </w:r>
      <w:r>
        <w:rPr>
          <w:rFonts w:hint="eastAsia"/>
        </w:rPr>
        <w:t xml:space="preserve">均为钟差改正数。</w:t>
      </w:r>
      <m:oMath>
        <m:sSub>
          <m:e>
            <m:r>
              <m:t>V</m:t>
            </m:r>
          </m:e>
          <m:sub>
            <m:r>
              <m:t>i</m:t>
            </m:r>
          </m:sub>
        </m:sSub>
      </m:oMath>
      <w:r>
        <w:t xml:space="preserve"> </w:t>
      </w:r>
      <w:r>
        <w:rPr>
          <w:rFonts w:hint="eastAsia"/>
        </w:rPr>
        <w:t xml:space="preserve">表示其余的微小改正项，例如星际介质导致的色散、Shapiro</w:t>
      </w:r>
      <w:r>
        <w:t xml:space="preserve"> </w:t>
      </w:r>
      <w:r>
        <w:rPr>
          <w:rFonts w:hint="eastAsia"/>
        </w:rPr>
        <w:t xml:space="preserve">延迟等。</w:t>
      </w:r>
    </w:p>
    <w:p>
      <w:pPr>
        <w:pStyle w:val="BodyText"/>
      </w:pPr>
      <w:r>
        <w:rPr>
          <w:rFonts w:hint="eastAsia"/>
        </w:rPr>
        <w:t xml:space="preserve">基于上述观测值即可建立脉冲星的信号模型（钟模型），但是想要解算出模型的各项参数则需要十分漫长的观测（2-3年）以搜集足够的观测记录，考虑到一些脉冲星信号的不稳定性，还需要不时更新以保证模型的现势性。如下公式来表示脉冲星信号模型：</w:t>
      </w:r>
    </w:p>
    <w:p>
      <w:pPr>
        <w:pStyle w:val="BodyText"/>
      </w:pPr>
      <m:oMathPara>
        <m:oMathParaPr>
          <m:jc m:val="center"/>
        </m:oMathParaPr>
        <m:oMath>
          <m:r>
            <m:t>Φ</m:t>
          </m:r>
          <m:d>
            <m:dPr>
              <m:begChr m:val="("/>
              <m:endChr m:val=")"/>
              <m:sepChr m:val=""/>
              <m:grow/>
            </m:dPr>
            <m:e>
              <m:r>
                <m:t>t</m:t>
              </m:r>
            </m:e>
          </m:d>
          <m:r>
            <m:rPr>
              <m:sty m:val="p"/>
            </m:rPr>
            <m:t>=</m:t>
          </m:r>
          <m:r>
            <m:t>Φ</m:t>
          </m:r>
          <m:d>
            <m:dPr>
              <m:begChr m:val="("/>
              <m:endChr m:val=")"/>
              <m:sepChr m:val=""/>
              <m:grow/>
            </m:dPr>
            <m:e>
              <m:sSub>
                <m:e>
                  <m:r>
                    <m:t>t</m:t>
                  </m:r>
                </m:e>
                <m:sub>
                  <m:r>
                    <m:t>0</m:t>
                  </m:r>
                </m:sub>
              </m:sSub>
            </m:e>
          </m:d>
          <m:r>
            <m:rPr>
              <m:sty m:val="p"/>
            </m:rPr>
            <m:t>+</m:t>
          </m:r>
          <m:r>
            <m:t>f</m:t>
          </m:r>
          <m:d>
            <m:dPr>
              <m:begChr m:val="("/>
              <m:endChr m:val=")"/>
              <m:sepChr m:val=""/>
              <m:grow/>
            </m:dPr>
            <m:e>
              <m:r>
                <m:t>t</m:t>
              </m:r>
              <m:r>
                <m:rPr>
                  <m:sty m:val="p"/>
                </m:rPr>
                <m:t>−</m:t>
              </m:r>
              <m:sSub>
                <m:e>
                  <m:r>
                    <m:t>t</m:t>
                  </m:r>
                </m:e>
                <m:sub>
                  <m:r>
                    <m:t>0</m:t>
                  </m:r>
                </m:sub>
              </m:sSub>
            </m:e>
          </m:d>
          <m:r>
            <m:rPr>
              <m:sty m:val="p"/>
            </m:rPr>
            <m:t>+</m:t>
          </m:r>
          <m:r>
            <m:rPr>
              <m:sty m:val="p"/>
            </m:rPr>
            <m:t>∑</m:t>
          </m:r>
          <m:f>
            <m:fPr>
              <m:type m:val="bar"/>
            </m:fPr>
            <m:num>
              <m:sSup>
                <m:e>
                  <m:r>
                    <m:t>f</m:t>
                  </m:r>
                </m:e>
                <m:sup>
                  <m:d>
                    <m:dPr>
                      <m:begChr m:val="("/>
                      <m:endChr m:val=")"/>
                      <m:sepChr m:val=""/>
                      <m:grow/>
                    </m:dPr>
                    <m:e>
                      <m:r>
                        <m:t>m</m:t>
                      </m:r>
                    </m:e>
                  </m:d>
                </m:sup>
              </m:sSup>
              <m:sSup>
                <m:e>
                  <m:d>
                    <m:dPr>
                      <m:begChr m:val="("/>
                      <m:endChr m:val=")"/>
                      <m:sepChr m:val=""/>
                      <m:grow/>
                    </m:dPr>
                    <m:e>
                      <m:r>
                        <m:t>t</m:t>
                      </m:r>
                      <m:r>
                        <m:rPr>
                          <m:sty m:val="p"/>
                        </m:rPr>
                        <m:t>−</m:t>
                      </m:r>
                      <m:sSub>
                        <m:e>
                          <m:r>
                            <m:t>t</m:t>
                          </m:r>
                        </m:e>
                        <m:sub>
                          <m:r>
                            <m:t>0</m:t>
                          </m:r>
                        </m:sub>
                      </m:sSub>
                    </m:e>
                  </m:d>
                </m:e>
                <m:sup>
                  <m:r>
                    <m:t>m</m:t>
                  </m:r>
                  <m:r>
                    <m:rPr>
                      <m:sty m:val="p"/>
                    </m:rPr>
                    <m:t>+</m:t>
                  </m:r>
                  <m:r>
                    <m:t>1</m:t>
                  </m:r>
                </m:sup>
              </m:sSup>
            </m:num>
            <m:den>
              <m:r>
                <m:t>m</m:t>
              </m:r>
              <m:r>
                <m:rPr>
                  <m:sty m:val="p"/>
                </m:rPr>
                <m:t>+</m:t>
              </m:r>
              <m:r>
                <m:t>1</m:t>
              </m:r>
            </m:den>
          </m:f>
        </m:oMath>
      </m:oMathPara>
    </w:p>
    <w:p>
      <w:pPr>
        <w:pStyle w:val="FirstParagraph"/>
      </w:pPr>
      <w:r>
        <w:rPr>
          <w:rFonts w:hint="eastAsia"/>
        </w:rPr>
        <w:t xml:space="preserve">其中，</w:t>
      </w:r>
      <m:oMath>
        <m:r>
          <m:t>Φ</m:t>
        </m:r>
        <m:d>
          <m:dPr>
            <m:begChr m:val="("/>
            <m:endChr m:val=")"/>
            <m:sepChr m:val=""/>
            <m:grow/>
          </m:dPr>
          <m:e>
            <m:r>
              <m:t>t</m:t>
            </m:r>
          </m:e>
        </m:d>
      </m:oMath>
      <w:r>
        <w:t xml:space="preserve"> </w:t>
      </w:r>
      <w:r>
        <w:rPr>
          <w:rFonts w:hint="eastAsia"/>
        </w:rPr>
        <w:t xml:space="preserve">为脉冲星信号模型，</w:t>
      </w:r>
      <m:oMath>
        <m:r>
          <m:t>f</m:t>
        </m:r>
        <m:d>
          <m:dPr>
            <m:begChr m:val="("/>
            <m:endChr m:val=")"/>
            <m:sepChr m:val=""/>
            <m:grow/>
          </m:dPr>
          <m:e>
            <m:r>
              <m:t>t</m:t>
            </m:r>
          </m:e>
        </m:d>
      </m:oMath>
      <w:r>
        <w:t xml:space="preserve"> </w:t>
      </w:r>
      <w:r>
        <w:rPr>
          <w:rFonts w:hint="eastAsia"/>
        </w:rPr>
        <w:t xml:space="preserve">为脉冲星信号的频率，</w:t>
      </w:r>
      <m:oMath>
        <m:sSub>
          <m:e>
            <m:r>
              <m:t>t</m:t>
            </m:r>
          </m:e>
          <m:sub>
            <m:r>
              <m:t>0</m:t>
            </m:r>
          </m:sub>
        </m:sSub>
      </m:oMath>
      <w:r>
        <w:t xml:space="preserve"> </w:t>
      </w:r>
      <w:r>
        <w:rPr>
          <w:rFonts w:hint="eastAsia"/>
        </w:rPr>
        <w:t xml:space="preserve">为参考时间，</w:t>
      </w:r>
      <m:oMath>
        <m:r>
          <m:t>m</m:t>
        </m:r>
      </m:oMath>
      <w:r>
        <w:t xml:space="preserve"> </w:t>
      </w:r>
      <w:r>
        <w:rPr>
          <w:rFonts w:hint="eastAsia"/>
        </w:rPr>
        <w:t xml:space="preserve">为模型阶数。</w:t>
      </w:r>
    </w:p>
    <w:p>
      <w:pPr>
        <w:pStyle w:val="BodyText"/>
      </w:pPr>
      <w:r>
        <w:rPr>
          <w:rFonts w:hint="eastAsia"/>
        </w:rPr>
        <w:t xml:space="preserve">考虑到每一个脉冲星信号模型都是独一无二的，我们可以基于脉冲星的信号模型来识别不同的脉冲星。此外，考虑到脉冲星导航系统最终是面向人类用户的，我们可以根据脉冲星的信号模型来生成对应的脉冲轮廓图以供用户快速识别观测到的脉冲星。</w:t>
      </w:r>
    </w:p>
    <w:bookmarkEnd w:id="37"/>
    <w:bookmarkStart w:id="44" w:name="xnav-system"/>
    <w:p>
      <w:pPr>
        <w:pStyle w:val="Heading3"/>
      </w:pPr>
      <w:r>
        <w:t xml:space="preserve">2.3. XNAV System</w:t>
      </w:r>
    </w:p>
    <w:p>
      <w:pPr>
        <w:pStyle w:val="FirstParagraph"/>
      </w:pPr>
      <w:r>
        <w:rPr>
          <w:rFonts w:hint="eastAsia"/>
        </w:rPr>
        <w:t xml:space="preserve">XNAV系统是一个基于脉冲星信号的导航系统</w:t>
      </w:r>
      <w:r>
        <w:t xml:space="preserve">(Dong, 2011)</w:t>
      </w:r>
      <w:r>
        <w:rPr>
          <w:rFonts w:hint="eastAsia"/>
        </w:rPr>
        <w:t xml:space="preserve">，其核心是一个小型的X射线望远镜，用于观测脉冲星信号。XNAV系统的工作流程如下：</w:t>
      </w:r>
    </w:p>
    <w:p>
      <w:pPr>
        <w:pStyle w:val="CaptionedFigure"/>
      </w:pPr>
      <w:r>
        <w:drawing>
          <wp:inline>
            <wp:extent cx="5334000" cy="2590362"/>
            <wp:effectExtent b="0" l="0" r="0" t="0"/>
            <wp:docPr descr="Figure 5: Workflow of XNAV System" title="" id="39" name="Picture"/>
            <a:graphic>
              <a:graphicData uri="http://schemas.openxmlformats.org/drawingml/2006/picture">
                <pic:pic>
                  <pic:nvPicPr>
                    <pic:cNvPr descr="./imgs/5.png" id="40" name="Picture"/>
                    <pic:cNvPicPr>
                      <a:picLocks noChangeArrowheads="1" noChangeAspect="1"/>
                    </pic:cNvPicPr>
                  </pic:nvPicPr>
                  <pic:blipFill>
                    <a:blip r:embed="rId38"/>
                    <a:stretch>
                      <a:fillRect/>
                    </a:stretch>
                  </pic:blipFill>
                  <pic:spPr bwMode="auto">
                    <a:xfrm>
                      <a:off x="0" y="0"/>
                      <a:ext cx="5334000" cy="2590362"/>
                    </a:xfrm>
                    <a:prstGeom prst="rect">
                      <a:avLst/>
                    </a:prstGeom>
                    <a:noFill/>
                    <a:ln w="9525">
                      <a:noFill/>
                      <a:headEnd/>
                      <a:tailEnd/>
                    </a:ln>
                  </pic:spPr>
                </pic:pic>
              </a:graphicData>
            </a:graphic>
          </wp:inline>
        </w:drawing>
      </w:r>
    </w:p>
    <w:p>
      <w:pPr>
        <w:pStyle w:val="ImageCaption"/>
      </w:pPr>
      <w:r>
        <w:t xml:space="preserve">Figure 5: Workflow of XNAV System</w:t>
      </w:r>
    </w:p>
    <w:p>
      <w:pPr>
        <w:pStyle w:val="BodyText"/>
      </w:pPr>
      <w:r>
        <w:rPr>
          <w:rFonts w:hint="eastAsia"/>
        </w:rPr>
        <w:t xml:space="preserve">由于脉冲星信号极为微弱，航天器通常只能依靠原子钟来记录光子到达时间（TOAs），无法记录连续脉冲信号。所以需要首先对光子TOAs进行处理，以估算脉冲到达时间（Pulse</w:t>
      </w:r>
      <w:r>
        <w:t xml:space="preserve"> </w:t>
      </w:r>
      <w:r>
        <w:rPr>
          <w:rFonts w:hint="eastAsia"/>
        </w:rPr>
        <w:t xml:space="preserve">TOA）。估算脉冲到达时间的方法有历元折叠法和直接使用光子TOAs法，前者通过估算初始相位和周期计算脉冲TOA，后者通过最大化对数似然函数获得结果。在此过程中，需要进一步参考脉冲星数据库中的信号模型。</w:t>
      </w:r>
    </w:p>
    <w:p>
      <w:pPr>
        <w:pStyle w:val="BodyText"/>
      </w:pPr>
      <w:r>
        <w:rPr>
          <w:rFonts w:hint="eastAsia"/>
        </w:rPr>
        <w:t xml:space="preserve">X射线脉冲星导航的基本原理是通过比对航天器接收到的脉冲信号到达时间（TOA）与太阳系质心（SSB）接收的同一信号的预测到达时间，来确定航天器的位置。通过测量和预测的脉冲到达时间差异，可得出航天器相对于SSB的距离。当观测到三个或更多的脉冲星时，便可利用非线性最小二乘算法几何地定位航天器。核心的数学模型如下：</w:t>
      </w:r>
    </w:p>
    <w:p>
      <w:pPr>
        <w:pStyle w:val="BodyText"/>
      </w:pPr>
      <m:oMathPara>
        <m:oMathParaPr>
          <m:jc m:val="center"/>
        </m:oMathParaPr>
        <m:oMath>
          <m:r>
            <m:t>Φ</m:t>
          </m:r>
          <m:d>
            <m:dPr>
              <m:begChr m:val="("/>
              <m:endChr m:val=")"/>
              <m:sepChr m:val=""/>
              <m:grow/>
            </m:dPr>
            <m:e>
              <m:sSub>
                <m:e>
                  <m:r>
                    <m:t>t</m:t>
                  </m:r>
                </m:e>
                <m:sub>
                  <m:r>
                    <m:t>i</m:t>
                  </m:r>
                </m:sub>
              </m:sSub>
            </m:e>
          </m:d>
          <m:r>
            <m:rPr>
              <m:sty m:val="p"/>
            </m:rPr>
            <m:t>=</m:t>
          </m:r>
          <m:r>
            <m:t>Φ</m:t>
          </m:r>
          <m:d>
            <m:dPr>
              <m:begChr m:val="("/>
              <m:endChr m:val=")"/>
              <m:sepChr m:val=""/>
              <m:grow/>
            </m:dPr>
            <m:e>
              <m:sSub>
                <m:e>
                  <m:r>
                    <m:t>t</m:t>
                  </m:r>
                </m:e>
                <m:sub>
                  <m:r>
                    <m:t>T</m:t>
                  </m:r>
                  <m:r>
                    <m:t>O</m:t>
                  </m:r>
                  <m:r>
                    <m:t>A</m:t>
                  </m:r>
                </m:sub>
              </m:sSub>
            </m:e>
          </m:d>
          <m:r>
            <m:rPr>
              <m:sty m:val="p"/>
            </m:rPr>
            <m:t>+</m:t>
          </m:r>
          <m:r>
            <m:t>f</m:t>
          </m:r>
          <m:d>
            <m:dPr>
              <m:begChr m:val="("/>
              <m:endChr m:val=")"/>
              <m:sepChr m:val=""/>
              <m:grow/>
            </m:dPr>
            <m:e>
              <m:r>
                <m:t>t</m:t>
              </m:r>
              <m:r>
                <m:rPr>
                  <m:sty m:val="p"/>
                </m:rPr>
                <m:t>−</m:t>
              </m:r>
              <m:sSub>
                <m:e>
                  <m:r>
                    <m:t>t</m:t>
                  </m:r>
                </m:e>
                <m:sub>
                  <m:r>
                    <m:t>T</m:t>
                  </m:r>
                  <m:r>
                    <m:t>O</m:t>
                  </m:r>
                  <m:r>
                    <m:t>A</m:t>
                  </m:r>
                </m:sub>
              </m:sSub>
            </m:e>
          </m:d>
        </m:oMath>
      </m:oMathPara>
    </w:p>
    <w:p>
      <w:pPr>
        <w:pStyle w:val="FirstParagraph"/>
      </w:pPr>
      <w:r>
        <w:rPr>
          <w:rFonts w:hint="eastAsia"/>
        </w:rPr>
        <w:t xml:space="preserve">可以发现这里的观测值就是当地接收到的脉冲星信号的相位，将此相位与模型预报出的太阳系质心处的相位进行比对，即可得到航天器相对于太阳系质心距离。同时观测多个脉冲星信号，可以得到多个观测方程，从而可以通过非线性最小二乘法求解航天器的位置。虽然脉冲信号的周期会引入整数模糊性，但在航天器已有精度优于300公里的初始导航解的情况下，可以忽略这种影响。在每一个计算周期内，系统除了观测脉冲星信号外，还需要不断更新自身的位置向量。这样不断借助观测到的脉冲星信号来更新自身的位置向量，可以有效控制</w:t>
      </w:r>
      <w:r>
        <w:t xml:space="preserve"> inertial navigation system (INS) </w:t>
      </w:r>
      <w:r>
        <w:rPr>
          <w:rFonts w:hint="eastAsia"/>
        </w:rPr>
        <w:t xml:space="preserve">的误差累积</w:t>
      </w:r>
      <w:r>
        <w:t xml:space="preserve">(WANG et al., 2023)</w:t>
      </w:r>
      <w:r>
        <w:rPr>
          <w:rFonts w:hint="eastAsia"/>
        </w:rPr>
        <w:t xml:space="preserve">，从而实现长时间的高精度导航。</w:t>
      </w:r>
    </w:p>
    <w:p>
      <w:pPr>
        <w:pStyle w:val="CaptionedFigure"/>
      </w:pPr>
      <w:r>
        <w:drawing>
          <wp:inline>
            <wp:extent cx="5334000" cy="2824070"/>
            <wp:effectExtent b="0" l="0" r="0" t="0"/>
            <wp:docPr descr="Figure 6: Pulse Star Navigation Principle" title="" id="42" name="Picture"/>
            <a:graphic>
              <a:graphicData uri="http://schemas.openxmlformats.org/drawingml/2006/picture">
                <pic:pic>
                  <pic:nvPicPr>
                    <pic:cNvPr descr="./imgs/4.png" id="43" name="Picture"/>
                    <pic:cNvPicPr>
                      <a:picLocks noChangeArrowheads="1" noChangeAspect="1"/>
                    </pic:cNvPicPr>
                  </pic:nvPicPr>
                  <pic:blipFill>
                    <a:blip r:embed="rId41"/>
                    <a:stretch>
                      <a:fillRect/>
                    </a:stretch>
                  </pic:blipFill>
                  <pic:spPr bwMode="auto">
                    <a:xfrm>
                      <a:off x="0" y="0"/>
                      <a:ext cx="5334000" cy="2824070"/>
                    </a:xfrm>
                    <a:prstGeom prst="rect">
                      <a:avLst/>
                    </a:prstGeom>
                    <a:noFill/>
                    <a:ln w="9525">
                      <a:noFill/>
                      <a:headEnd/>
                      <a:tailEnd/>
                    </a:ln>
                  </pic:spPr>
                </pic:pic>
              </a:graphicData>
            </a:graphic>
          </wp:inline>
        </w:drawing>
      </w:r>
    </w:p>
    <w:p>
      <w:pPr>
        <w:pStyle w:val="ImageCaption"/>
      </w:pPr>
      <w:r>
        <w:t xml:space="preserve">Figure 6: Pulse Star Navigation Principle</w:t>
      </w:r>
    </w:p>
    <w:p>
      <w:pPr>
        <w:pStyle w:val="BodyText"/>
      </w:pPr>
      <w:r>
        <w:rPr>
          <w:rFonts w:hint="eastAsia"/>
        </w:rPr>
        <w:t xml:space="preserve">一个航天器可以同时观测三个或更多的脉冲星，这样就可以得到多个观测方程，并确定自身的位置。多个航天器可以同时观测同一个脉冲星，从而确定它们组成的星座的相对位置关系。通过比较这些航天器接收到的脉冲星信号的到达时间（TOA），可以计算出它们在脉冲星方向上的相对投影距离，并构建星座的观测向量。这种方法能够有效提高星座整体的定位精度，为协同导航提供关键数据。我们还可以考虑融合多种数据源以提高定位精度，比如地面测量数据、星座观测数据、恒星观测数据等。</w:t>
      </w:r>
    </w:p>
    <w:bookmarkEnd w:id="44"/>
    <w:bookmarkEnd w:id="45"/>
    <w:bookmarkStart w:id="71" w:name="references"/>
    <w:p>
      <w:pPr>
        <w:pStyle w:val="Heading2"/>
      </w:pPr>
      <w:r>
        <w:t xml:space="preserve">References</w:t>
      </w:r>
    </w:p>
    <w:bookmarkStart w:id="70" w:name="refs"/>
    <w:bookmarkStart w:id="46" w:name="ref-1981tdar"/>
    <w:p>
      <w:pPr>
        <w:pStyle w:val="Bibliography"/>
      </w:pPr>
      <w:r>
        <w:t xml:space="preserve">Chester, T. J., &amp; Butman, S. A. (1981).</w:t>
      </w:r>
      <w:r>
        <w:t xml:space="preserve"> </w:t>
      </w:r>
      <w:r>
        <w:t xml:space="preserve">Navigation using X-ray pulsers</w:t>
      </w:r>
      <w:r>
        <w:t xml:space="preserve">.</w:t>
      </w:r>
      <w:r>
        <w:t xml:space="preserve"> </w:t>
      </w:r>
      <w:r>
        <w:rPr>
          <w:i/>
          <w:iCs/>
        </w:rPr>
        <w:t xml:space="preserve">The Telecommunication and Data Acquisition Report</w:t>
      </w:r>
      <w:r>
        <w:t xml:space="preserve">, 22–25.</w:t>
      </w:r>
    </w:p>
    <w:bookmarkEnd w:id="46"/>
    <w:bookmarkStart w:id="48" w:name="ref-Akiyama_2019"/>
    <w:p>
      <w:pPr>
        <w:pStyle w:val="Bibliography"/>
      </w:pPr>
      <w:r>
        <w:t xml:space="preserve">Collaboration, T. E. H. T., Akiyama, K., Alberdi, A., Alef, W., Asada, K., Azulay, R., Baczko, A.-K., Ball, D., Baloković, M., Barrett, J., Bintley, D., Blackburn, L., Boland, W., Bouman, K. L., Bower, G. C., Bremer, M., Brinkerink, C. D., Brissenden, R., Britzen, S., … Ziurys, L. (2019). First M87 event horizon telescope results. I. The shadow of the supermassive black hole.</w:t>
      </w:r>
      <w:r>
        <w:t xml:space="preserve"> </w:t>
      </w:r>
      <w:r>
        <w:rPr>
          <w:i/>
          <w:iCs/>
        </w:rPr>
        <w:t xml:space="preserve">The Astrophysical Journal Letters</w:t>
      </w:r>
      <w:r>
        <w:t xml:space="preserve">,</w:t>
      </w:r>
      <w:r>
        <w:t xml:space="preserve"> </w:t>
      </w:r>
      <w:r>
        <w:rPr>
          <w:i/>
          <w:iCs/>
        </w:rPr>
        <w:t xml:space="preserve">875</w:t>
      </w:r>
      <w:r>
        <w:t xml:space="preserve">(1), L1.</w:t>
      </w:r>
      <w:r>
        <w:t xml:space="preserve"> </w:t>
      </w:r>
      <w:hyperlink r:id="rId47">
        <w:r>
          <w:rPr>
            <w:rStyle w:val="Hyperlink"/>
          </w:rPr>
          <w:t xml:space="preserve">https://doi.org/10.3847/2041-8213/ab0ec7</w:t>
        </w:r>
      </w:hyperlink>
    </w:p>
    <w:bookmarkEnd w:id="48"/>
    <w:bookmarkStart w:id="50" w:name="ref-dong2011pulsarnavigationsolar"/>
    <w:p>
      <w:pPr>
        <w:pStyle w:val="Bibliography"/>
      </w:pPr>
      <w:r>
        <w:t xml:space="preserve">Dong, J. (2011).</w:t>
      </w:r>
      <w:r>
        <w:t xml:space="preserve"> </w:t>
      </w:r>
      <w:r>
        <w:rPr>
          <w:i/>
          <w:iCs/>
        </w:rPr>
        <w:t xml:space="preserve">Pulsar navigation in the solar system</w:t>
      </w:r>
      <w:r>
        <w:t xml:space="preserve">.</w:t>
      </w:r>
      <w:r>
        <w:t xml:space="preserve"> </w:t>
      </w:r>
      <w:hyperlink r:id="rId49">
        <w:r>
          <w:rPr>
            <w:rStyle w:val="Hyperlink"/>
          </w:rPr>
          <w:t xml:space="preserve">https://arxiv.org/abs/0812.2635</w:t>
        </w:r>
      </w:hyperlink>
    </w:p>
    <w:bookmarkEnd w:id="50"/>
    <w:bookmarkStart w:id="52" w:name="ref-Ely2022"/>
    <w:p>
      <w:pPr>
        <w:pStyle w:val="Bibliography"/>
      </w:pPr>
      <w:r>
        <w:t xml:space="preserve">Ely, T., Bhaskaran, S., Bradley, N., Lazio, T. J. W., &amp; Martin-Mur, T. (2022). Comparison of deep space navigation using optical imaging, pulsar time-of-arrival tracking, and/or radiometric tracking.</w:t>
      </w:r>
      <w:r>
        <w:t xml:space="preserve"> </w:t>
      </w:r>
      <w:r>
        <w:rPr>
          <w:i/>
          <w:iCs/>
        </w:rPr>
        <w:t xml:space="preserve">The Journal of the Astronautical Sciences</w:t>
      </w:r>
      <w:r>
        <w:t xml:space="preserve">,</w:t>
      </w:r>
      <w:r>
        <w:t xml:space="preserve"> </w:t>
      </w:r>
      <w:r>
        <w:rPr>
          <w:i/>
          <w:iCs/>
        </w:rPr>
        <w:t xml:space="preserve">69</w:t>
      </w:r>
      <w:r>
        <w:t xml:space="preserve">(2), 385–472.</w:t>
      </w:r>
      <w:r>
        <w:t xml:space="preserve"> </w:t>
      </w:r>
      <w:hyperlink r:id="rId51">
        <w:r>
          <w:rPr>
            <w:rStyle w:val="Hyperlink"/>
          </w:rPr>
          <w:t xml:space="preserve">https://doi.org/10.1007/s40295-021-00290-z</w:t>
        </w:r>
      </w:hyperlink>
    </w:p>
    <w:bookmarkEnd w:id="52"/>
    <w:bookmarkStart w:id="54" w:name="ref-Ghaderpour_2021"/>
    <w:p>
      <w:pPr>
        <w:pStyle w:val="Bibliography"/>
      </w:pPr>
      <w:r>
        <w:t xml:space="preserve">Ghaderpour, E. (2020). Least-squares wavelet and cross-wavelet analyses of VLBI baseline length and temperature time series: Fortaleza–hartebeesthoek–westford–wettzell.</w:t>
      </w:r>
      <w:r>
        <w:t xml:space="preserve"> </w:t>
      </w:r>
      <w:r>
        <w:rPr>
          <w:i/>
          <w:iCs/>
        </w:rPr>
        <w:t xml:space="preserve">Publications of the Astronomical Society of the Pacific</w:t>
      </w:r>
      <w:r>
        <w:t xml:space="preserve">,</w:t>
      </w:r>
      <w:r>
        <w:t xml:space="preserve"> </w:t>
      </w:r>
      <w:r>
        <w:rPr>
          <w:i/>
          <w:iCs/>
        </w:rPr>
        <w:t xml:space="preserve">133</w:t>
      </w:r>
      <w:r>
        <w:t xml:space="preserve">(1019), 014502.</w:t>
      </w:r>
      <w:r>
        <w:t xml:space="preserve"> </w:t>
      </w:r>
      <w:hyperlink r:id="rId53">
        <w:r>
          <w:rPr>
            <w:rStyle w:val="Hyperlink"/>
          </w:rPr>
          <w:t xml:space="preserve">https://doi.org/10.1088/1538-3873/abcc4e</w:t>
        </w:r>
      </w:hyperlink>
    </w:p>
    <w:bookmarkEnd w:id="54"/>
    <w:bookmarkStart w:id="56" w:name="ref-10.1093/mnras/118.3.276"/>
    <w:p>
      <w:pPr>
        <w:pStyle w:val="Bibliography"/>
      </w:pPr>
      <w:r>
        <w:t xml:space="preserve">Jennison, R. C. (1958). A phase sensitive interferometer technique for the measurement of the fourier transforms of spatial brightness distributions of small angular extent.</w:t>
      </w:r>
      <w:r>
        <w:t xml:space="preserve"> </w:t>
      </w:r>
      <w:r>
        <w:rPr>
          <w:i/>
          <w:iCs/>
        </w:rPr>
        <w:t xml:space="preserve">Monthly Notices of the Royal Astronomical Society</w:t>
      </w:r>
      <w:r>
        <w:t xml:space="preserve">,</w:t>
      </w:r>
      <w:r>
        <w:t xml:space="preserve"> </w:t>
      </w:r>
      <w:r>
        <w:rPr>
          <w:i/>
          <w:iCs/>
        </w:rPr>
        <w:t xml:space="preserve">118</w:t>
      </w:r>
      <w:r>
        <w:t xml:space="preserve">(3), 276–284.</w:t>
      </w:r>
      <w:r>
        <w:t xml:space="preserve"> </w:t>
      </w:r>
      <w:hyperlink r:id="rId55">
        <w:r>
          <w:rPr>
            <w:rStyle w:val="Hyperlink"/>
          </w:rPr>
          <w:t xml:space="preserve">https://doi.org/10.1093/mnras/118.3.276</w:t>
        </w:r>
      </w:hyperlink>
    </w:p>
    <w:bookmarkEnd w:id="56"/>
    <w:bookmarkStart w:id="57" w:name="ref-1997A&amp;A"/>
    <w:p>
      <w:pPr>
        <w:pStyle w:val="Bibliography"/>
      </w:pPr>
      <w:r>
        <w:t xml:space="preserve">Matsakis, D. N., Taylor, J. H., &amp; Eubanks, T. M. (1997).</w:t>
      </w:r>
      <w:r>
        <w:t xml:space="preserve"> </w:t>
      </w:r>
      <w:r>
        <w:t xml:space="preserve">A statistic for describing pulsar and clock stabilities.</w:t>
      </w:r>
      <w:r>
        <w:t xml:space="preserve"> </w:t>
      </w:r>
      <w:r>
        <w:rPr>
          <w:i/>
          <w:iCs/>
        </w:rPr>
        <w:t xml:space="preserve">326</w:t>
      </w:r>
      <w:r>
        <w:t xml:space="preserve">, 924–928.</w:t>
      </w:r>
    </w:p>
    <w:bookmarkEnd w:id="57"/>
    <w:bookmarkStart w:id="59" w:name="ref-Nothnagel2017"/>
    <w:p>
      <w:pPr>
        <w:pStyle w:val="Bibliography"/>
      </w:pPr>
      <w:r>
        <w:t xml:space="preserve">Nothnagel, A., Artz, T., Behrend, D., &amp; Malkin, Z. (2017). International VLBI service for geodesy and astrometry.</w:t>
      </w:r>
      <w:r>
        <w:t xml:space="preserve"> </w:t>
      </w:r>
      <w:r>
        <w:rPr>
          <w:i/>
          <w:iCs/>
        </w:rPr>
        <w:t xml:space="preserve">Journal of Geodesy</w:t>
      </w:r>
      <w:r>
        <w:t xml:space="preserve">,</w:t>
      </w:r>
      <w:r>
        <w:t xml:space="preserve"> </w:t>
      </w:r>
      <w:r>
        <w:rPr>
          <w:i/>
          <w:iCs/>
        </w:rPr>
        <w:t xml:space="preserve">91</w:t>
      </w:r>
      <w:r>
        <w:t xml:space="preserve">(7), 711–721.</w:t>
      </w:r>
      <w:r>
        <w:t xml:space="preserve"> </w:t>
      </w:r>
      <w:hyperlink r:id="rId58">
        <w:r>
          <w:rPr>
            <w:rStyle w:val="Hyperlink"/>
          </w:rPr>
          <w:t xml:space="preserve">https://doi.org/10.1007/s00190-016-0950-5</w:t>
        </w:r>
      </w:hyperlink>
    </w:p>
    <w:bookmarkEnd w:id="59"/>
    <w:bookmarkStart w:id="61" w:name="Xd983ded41035443f12a31d868f511f67e9c1558"/>
    <w:p>
      <w:pPr>
        <w:pStyle w:val="Bibliography"/>
      </w:pPr>
      <w:r>
        <w:t xml:space="preserve">Ray, P. S., Wood, K. S., &amp; Wolff, M. T. (2017).</w:t>
      </w:r>
      <w:r>
        <w:t xml:space="preserve"> </w:t>
      </w:r>
      <w:r>
        <w:rPr>
          <w:i/>
          <w:iCs/>
        </w:rPr>
        <w:t xml:space="preserve">Characterization of pulsar sources for x-ray navigation</w:t>
      </w:r>
      <w:r>
        <w:t xml:space="preserve">.</w:t>
      </w:r>
      <w:r>
        <w:t xml:space="preserve"> </w:t>
      </w:r>
      <w:hyperlink r:id="rId60">
        <w:r>
          <w:rPr>
            <w:rStyle w:val="Hyperlink"/>
          </w:rPr>
          <w:t xml:space="preserve">https://arxiv.org/abs/1711.08507</w:t>
        </w:r>
      </w:hyperlink>
    </w:p>
    <w:bookmarkEnd w:id="61"/>
    <w:bookmarkStart w:id="63" w:name="ref-SCHUH201268"/>
    <w:p>
      <w:pPr>
        <w:pStyle w:val="Bibliography"/>
      </w:pPr>
      <w:r>
        <w:t xml:space="preserve">Schuh, H., &amp; Behrend, D. (2012). VLBI: A fascinating technique for geodesy and astrometry.</w:t>
      </w:r>
      <w:r>
        <w:t xml:space="preserve"> </w:t>
      </w:r>
      <w:r>
        <w:rPr>
          <w:i/>
          <w:iCs/>
        </w:rPr>
        <w:t xml:space="preserve">Journal of Geodynamics</w:t>
      </w:r>
      <w:r>
        <w:t xml:space="preserve">,</w:t>
      </w:r>
      <w:r>
        <w:t xml:space="preserve"> </w:t>
      </w:r>
      <w:r>
        <w:rPr>
          <w:i/>
          <w:iCs/>
        </w:rPr>
        <w:t xml:space="preserve">61</w:t>
      </w:r>
      <w:r>
        <w:t xml:space="preserve">, 68–80. https://doi.org/</w:t>
      </w:r>
      <w:hyperlink r:id="rId62">
        <w:r>
          <w:rPr>
            <w:rStyle w:val="Hyperlink"/>
          </w:rPr>
          <w:t xml:space="preserve">https://doi.org/10.1016/j.jog.2012.07.007</w:t>
        </w:r>
      </w:hyperlink>
    </w:p>
    <w:bookmarkEnd w:id="63"/>
    <w:bookmarkStart w:id="65" w:name="ref-Shemar2016"/>
    <w:p>
      <w:pPr>
        <w:pStyle w:val="Bibliography"/>
      </w:pPr>
      <w:r>
        <w:t xml:space="preserve">Shemar, S., Fraser, G., Heil, L., Hindley, D., Martindale, A., Molyneux, P., Pye, J., Warwick, R., &amp; Lamb, A. (2016). Towards practical autonomous deep-space navigation using x-ray pulsar timing.</w:t>
      </w:r>
      <w:r>
        <w:t xml:space="preserve"> </w:t>
      </w:r>
      <w:r>
        <w:rPr>
          <w:i/>
          <w:iCs/>
        </w:rPr>
        <w:t xml:space="preserve">Experimental Astronomy</w:t>
      </w:r>
      <w:r>
        <w:t xml:space="preserve">,</w:t>
      </w:r>
      <w:r>
        <w:t xml:space="preserve"> </w:t>
      </w:r>
      <w:r>
        <w:rPr>
          <w:i/>
          <w:iCs/>
        </w:rPr>
        <w:t xml:space="preserve">42</w:t>
      </w:r>
      <w:r>
        <w:t xml:space="preserve">(2), 101–138.</w:t>
      </w:r>
      <w:r>
        <w:t xml:space="preserve"> </w:t>
      </w:r>
      <w:hyperlink r:id="rId64">
        <w:r>
          <w:rPr>
            <w:rStyle w:val="Hyperlink"/>
          </w:rPr>
          <w:t xml:space="preserve">https://doi.org/10.1007/s10686-016-9496-z</w:t>
        </w:r>
      </w:hyperlink>
    </w:p>
    <w:bookmarkEnd w:id="65"/>
    <w:bookmarkStart w:id="67" w:name="ref-WANG_2023"/>
    <w:p>
      <w:pPr>
        <w:pStyle w:val="Bibliography"/>
      </w:pPr>
      <w:r>
        <w:t xml:space="preserve">WANG, Y., ZHENG, W., ZHANG, S., GE, M., LI, L., JIANG, K., CHEN, X., ZHANG, X., ZHENG, S., &amp; LU, F. (2023). Review of x-ray pulsar spacecraft autonomous navigation.</w:t>
      </w:r>
      <w:r>
        <w:t xml:space="preserve"> </w:t>
      </w:r>
      <w:r>
        <w:rPr>
          <w:i/>
          <w:iCs/>
        </w:rPr>
        <w:t xml:space="preserve">Chinese Journal of Aeronautics</w:t>
      </w:r>
      <w:r>
        <w:t xml:space="preserve">,</w:t>
      </w:r>
      <w:r>
        <w:t xml:space="preserve"> </w:t>
      </w:r>
      <w:r>
        <w:rPr>
          <w:i/>
          <w:iCs/>
        </w:rPr>
        <w:t xml:space="preserve">36</w:t>
      </w:r>
      <w:r>
        <w:t xml:space="preserve">(10), 44–63.</w:t>
      </w:r>
      <w:r>
        <w:t xml:space="preserve"> </w:t>
      </w:r>
      <w:hyperlink r:id="rId66">
        <w:r>
          <w:rPr>
            <w:rStyle w:val="Hyperlink"/>
          </w:rPr>
          <w:t xml:space="preserve">https://doi.org/10.1016/j.cja.2023.03.002</w:t>
        </w:r>
      </w:hyperlink>
    </w:p>
    <w:bookmarkEnd w:id="67"/>
    <w:bookmarkStart w:id="69" w:name="ref-https://doi.org/10.1155/2017/8561830"/>
    <w:p>
      <w:pPr>
        <w:pStyle w:val="Bibliography"/>
      </w:pPr>
      <w:r>
        <w:t xml:space="preserve">Zhang, X., Shuai, P., Huang, L., Chen, S., &amp; Xu, L. (2017). Mission overview and initial observation results of the x-ray pulsar navigation-i satellite.</w:t>
      </w:r>
      <w:r>
        <w:t xml:space="preserve"> </w:t>
      </w:r>
      <w:r>
        <w:rPr>
          <w:i/>
          <w:iCs/>
        </w:rPr>
        <w:t xml:space="preserve">International Journal of Aerospace Engineering</w:t>
      </w:r>
      <w:r>
        <w:t xml:space="preserve">,</w:t>
      </w:r>
      <w:r>
        <w:t xml:space="preserve"> </w:t>
      </w:r>
      <w:r>
        <w:rPr>
          <w:i/>
          <w:iCs/>
        </w:rPr>
        <w:t xml:space="preserve">2017</w:t>
      </w:r>
      <w:r>
        <w:t xml:space="preserve">(1), 8561830. https://doi.org/</w:t>
      </w:r>
      <w:hyperlink r:id="rId68">
        <w:r>
          <w:rPr>
            <w:rStyle w:val="Hyperlink"/>
          </w:rPr>
          <w:t xml:space="preserve">https://doi.org/10.1155/2017/8561830</w:t>
        </w:r>
      </w:hyperlink>
    </w:p>
    <w:bookmarkEnd w:id="69"/>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49" Target="https://arxiv.org/abs/0812.2635" TargetMode="External" /><Relationship Type="http://schemas.openxmlformats.org/officeDocument/2006/relationships/hyperlink" Id="rId60" Target="https://arxiv.org/abs/1711.08507" TargetMode="External" /><Relationship Type="http://schemas.openxmlformats.org/officeDocument/2006/relationships/hyperlink" Id="rId58" Target="https://doi.org/10.1007/s00190-016-0950-5" TargetMode="External" /><Relationship Type="http://schemas.openxmlformats.org/officeDocument/2006/relationships/hyperlink" Id="rId64" Target="https://doi.org/10.1007/s10686-016-9496-z" TargetMode="External" /><Relationship Type="http://schemas.openxmlformats.org/officeDocument/2006/relationships/hyperlink" Id="rId51" Target="https://doi.org/10.1007/s40295-021-00290-z" TargetMode="External" /><Relationship Type="http://schemas.openxmlformats.org/officeDocument/2006/relationships/hyperlink" Id="rId66" Target="https://doi.org/10.1016/j.cja.2023.03.002" TargetMode="External" /><Relationship Type="http://schemas.openxmlformats.org/officeDocument/2006/relationships/hyperlink" Id="rId62" Target="https://doi.org/10.1016/j.jog.2012.07.007" TargetMode="External" /><Relationship Type="http://schemas.openxmlformats.org/officeDocument/2006/relationships/hyperlink" Id="rId53" Target="https://doi.org/10.1088/1538-3873/abcc4e" TargetMode="External" /><Relationship Type="http://schemas.openxmlformats.org/officeDocument/2006/relationships/hyperlink" Id="rId55" Target="https://doi.org/10.1093/mnras/118.3.276" TargetMode="External" /><Relationship Type="http://schemas.openxmlformats.org/officeDocument/2006/relationships/hyperlink" Id="rId68" Target="https://doi.org/10.1155/2017/8561830" TargetMode="External" /><Relationship Type="http://schemas.openxmlformats.org/officeDocument/2006/relationships/hyperlink" Id="rId47" Target="https://doi.org/10.3847/2041-8213/ab0ec7" TargetMode="External" /></Relationships>
</file>

<file path=word/_rels/footnotes.xml.rels><?xml version="1.0" encoding="UTF-8"?><Relationships xmlns="http://schemas.openxmlformats.org/package/2006/relationships"><Relationship Type="http://schemas.openxmlformats.org/officeDocument/2006/relationships/hyperlink" Id="rId49" Target="https://arxiv.org/abs/0812.2635" TargetMode="External" /><Relationship Type="http://schemas.openxmlformats.org/officeDocument/2006/relationships/hyperlink" Id="rId60" Target="https://arxiv.org/abs/1711.08507" TargetMode="External" /><Relationship Type="http://schemas.openxmlformats.org/officeDocument/2006/relationships/hyperlink" Id="rId58" Target="https://doi.org/10.1007/s00190-016-0950-5" TargetMode="External" /><Relationship Type="http://schemas.openxmlformats.org/officeDocument/2006/relationships/hyperlink" Id="rId64" Target="https://doi.org/10.1007/s10686-016-9496-z" TargetMode="External" /><Relationship Type="http://schemas.openxmlformats.org/officeDocument/2006/relationships/hyperlink" Id="rId51" Target="https://doi.org/10.1007/s40295-021-00290-z" TargetMode="External" /><Relationship Type="http://schemas.openxmlformats.org/officeDocument/2006/relationships/hyperlink" Id="rId66" Target="https://doi.org/10.1016/j.cja.2023.03.002" TargetMode="External" /><Relationship Type="http://schemas.openxmlformats.org/officeDocument/2006/relationships/hyperlink" Id="rId62" Target="https://doi.org/10.1016/j.jog.2012.07.007" TargetMode="External" /><Relationship Type="http://schemas.openxmlformats.org/officeDocument/2006/relationships/hyperlink" Id="rId53" Target="https://doi.org/10.1088/1538-3873/abcc4e" TargetMode="External" /><Relationship Type="http://schemas.openxmlformats.org/officeDocument/2006/relationships/hyperlink" Id="rId55" Target="https://doi.org/10.1093/mnras/118.3.276" TargetMode="External" /><Relationship Type="http://schemas.openxmlformats.org/officeDocument/2006/relationships/hyperlink" Id="rId68" Target="https://doi.org/10.1155/2017/8561830" TargetMode="External" /><Relationship Type="http://schemas.openxmlformats.org/officeDocument/2006/relationships/hyperlink" Id="rId47" Target="https://doi.org/10.3847/2041-8213/ab0ec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2024-12-06T06:49:32Z</dcterms:created>
  <dcterms:modified xsi:type="dcterms:W3CDTF">2024-12-06T06:49:32Z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ies>
</file>