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Gradient retention time modeling in ion chromatography through QSRRs and ensemble machine learning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>Petar Žuvela</w:t>
      </w:r>
      <w:r>
        <w:rPr>
          <w:b w:val="false"/>
          <w:bCs w:val="false"/>
          <w:u w:val="none"/>
          <w:vertAlign w:val="superscript"/>
        </w:rPr>
        <w:t>1,</w:t>
      </w: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*</w:t>
      </w:r>
      <w:r>
        <w:rPr>
          <w:b w:val="false"/>
          <w:bCs w:val="false"/>
          <w:u w:val="none"/>
        </w:rPr>
        <w:t>, Zhen Jia Lim</w:t>
      </w:r>
      <w:r>
        <w:rPr>
          <w:b w:val="false"/>
          <w:bCs w:val="false"/>
          <w:u w:val="none"/>
          <w:vertAlign w:val="superscript"/>
        </w:rPr>
        <w:t>1</w:t>
      </w:r>
      <w:r>
        <w:rPr>
          <w:b w:val="false"/>
          <w:bCs w:val="false"/>
          <w:u w:val="none"/>
        </w:rPr>
        <w:t>, Šime Ukić</w:t>
      </w:r>
      <w:r>
        <w:rPr>
          <w:b w:val="false"/>
          <w:bCs w:val="false"/>
          <w:u w:val="none"/>
          <w:vertAlign w:val="superscript"/>
        </w:rPr>
        <w:t>2</w:t>
      </w:r>
      <w:r>
        <w:rPr>
          <w:b w:val="false"/>
          <w:bCs w:val="false"/>
          <w:u w:val="none"/>
        </w:rPr>
        <w:t>, Mirjana Novak</w:t>
      </w:r>
      <w:r>
        <w:rPr>
          <w:b w:val="false"/>
          <w:bCs w:val="false"/>
          <w:u w:val="none"/>
          <w:vertAlign w:val="superscript"/>
        </w:rPr>
        <w:t>2</w:t>
      </w:r>
      <w:r>
        <w:rPr>
          <w:b w:val="false"/>
          <w:bCs w:val="false"/>
          <w:u w:val="none"/>
        </w:rPr>
        <w:t>, Tomislav Bolanča</w:t>
      </w:r>
      <w:r>
        <w:rPr>
          <w:b w:val="false"/>
          <w:bCs w:val="false"/>
          <w:u w:val="none"/>
          <w:vertAlign w:val="superscript"/>
        </w:rPr>
        <w:t>2</w:t>
      </w:r>
      <w:r>
        <w:rPr>
          <w:b w:val="false"/>
          <w:bCs w:val="false"/>
          <w:u w:val="none"/>
        </w:rPr>
        <w:t>, Mario Lovrić</w:t>
      </w:r>
      <w:r>
        <w:rPr>
          <w:b w:val="false"/>
          <w:bCs w:val="false"/>
          <w:u w:val="none"/>
          <w:vertAlign w:val="superscript"/>
        </w:rPr>
        <w:t>3</w:t>
      </w:r>
      <w:r>
        <w:rPr>
          <w:b w:val="false"/>
          <w:bCs w:val="false"/>
          <w:u w:val="none"/>
        </w:rPr>
        <w:t>, Ming Wah Wong</w:t>
      </w:r>
      <w:r>
        <w:rPr>
          <w:b w:val="false"/>
          <w:bCs w:val="false"/>
          <w:u w:val="none"/>
          <w:vertAlign w:val="superscript"/>
        </w:rPr>
        <w:t>1</w:t>
      </w:r>
      <w:r>
        <w:rPr>
          <w:b w:val="false"/>
          <w:bCs w:val="false"/>
          <w:u w:val="none"/>
        </w:rPr>
        <w:t>, Bogusław Buszewski</w:t>
      </w:r>
      <w:r>
        <w:rPr>
          <w:b w:val="false"/>
          <w:bCs w:val="false"/>
          <w:u w:val="none"/>
          <w:vertAlign w:val="superscript"/>
        </w:rPr>
        <w:t>4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 w:val="false"/>
          <w:bCs w:val="false"/>
          <w:u w:val="none"/>
          <w:vertAlign w:val="superscript"/>
        </w:rPr>
        <w:t>1</w:t>
      </w:r>
      <w:r>
        <w:rPr>
          <w:b w:val="false"/>
          <w:bCs w:val="false"/>
          <w:u w:val="none"/>
        </w:rPr>
        <w:t>Department of Chemistry, National University of Singapore, Singapore</w:t>
      </w:r>
    </w:p>
    <w:p>
      <w:pPr>
        <w:pStyle w:val="Normal"/>
        <w:rPr/>
      </w:pPr>
      <w:r>
        <w:rPr>
          <w:b w:val="false"/>
          <w:bCs w:val="false"/>
          <w:u w:val="none"/>
          <w:vertAlign w:val="superscript"/>
        </w:rPr>
        <w:t>2</w:t>
      </w:r>
      <w:r>
        <w:rPr>
          <w:b w:val="false"/>
          <w:bCs w:val="false"/>
          <w:u w:val="none"/>
        </w:rPr>
        <w:t>Department of Analytical Chemistry, Faculty of Chemical Engineering and Technology, University of Zagreb, HR-1000 Zagreb, Croatia</w:t>
      </w:r>
    </w:p>
    <w:p>
      <w:pPr>
        <w:pStyle w:val="Normal"/>
        <w:rPr/>
      </w:pPr>
      <w:r>
        <w:rPr>
          <w:b w:val="false"/>
          <w:bCs w:val="false"/>
          <w:u w:val="none"/>
          <w:vertAlign w:val="superscript"/>
        </w:rPr>
        <w:t>3</w:t>
      </w:r>
      <w:r>
        <w:rPr>
          <w:b w:val="false"/>
          <w:bCs w:val="false"/>
          <w:u w:val="none"/>
        </w:rPr>
        <w:t>Know-center, Graz, Austria</w:t>
      </w:r>
    </w:p>
    <w:p>
      <w:pPr>
        <w:pStyle w:val="Normal"/>
        <w:rPr/>
      </w:pPr>
      <w:r>
        <w:rPr>
          <w:b w:val="false"/>
          <w:bCs w:val="false"/>
          <w:u w:val="none"/>
          <w:vertAlign w:val="superscript"/>
        </w:rPr>
        <w:t>4</w:t>
      </w:r>
      <w:r>
        <w:rPr>
          <w:b w:val="false"/>
          <w:bCs w:val="false"/>
          <w:u w:val="none"/>
        </w:rPr>
        <w:t>Department of Environmental Chemistry and Bioanalytics, Nicolaus Copernicus University, Toruń, Poland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*Corresponding author. E-mail: </w:t>
      </w:r>
      <w:hyperlink r:id="rId2">
        <w:r>
          <w:rPr>
            <w:rStyle w:val="InternetLink"/>
            <w:b w:val="false"/>
            <w:bCs w:val="false"/>
            <w:u w:val="none"/>
          </w:rPr>
          <w:t>petar.zuvela@nus.edu.sg</w:t>
        </w:r>
      </w:hyperlink>
      <w:r>
        <w:rPr>
          <w:b w:val="false"/>
          <w:bCs w:val="false"/>
          <w:u w:val="none"/>
        </w:rPr>
        <w:t>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1. Introduction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Notes: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1) Overcoming the key limitation of QSRR, the validity only for a system of pre-defined conditions.</w:t>
      </w:r>
    </w:p>
    <w:p>
      <w:pPr>
        <w:pStyle w:val="Normal"/>
        <w:rPr>
          <w:rFonts w:ascii="Liberation Serif" w:hAnsi="Liberation Serif"/>
        </w:rPr>
      </w:pPr>
      <w:r>
        <w:rPr/>
        <w:t>2) Using ensemble learning to simultaneously model isocratic retention time for all eluent concentrations.</w:t>
      </w:r>
    </w:p>
    <w:p>
      <w:pPr>
        <w:pStyle w:val="Normal"/>
        <w:rPr>
          <w:rFonts w:ascii="Liberation Serif" w:hAnsi="Liberation Serif"/>
        </w:rPr>
      </w:pPr>
      <w:r>
        <w:rPr/>
        <w:t>3) Using the developed models to predict gradient retention times using the iso-to-grad model</w:t>
      </w:r>
    </w:p>
    <w:p>
      <w:pPr>
        <w:pStyle w:val="Normal"/>
        <w:rPr>
          <w:rFonts w:ascii="Liberation Serif" w:hAnsi="Liberation Serif"/>
        </w:rPr>
      </w:pPr>
      <w:r>
        <w:rPr/>
        <w:t xml:space="preserve">4) </w:t>
      </w:r>
      <w:r>
        <w:rPr>
          <w:b/>
          <w:bCs/>
        </w:rPr>
        <w:t>The iso2grad methodology can be ported to any separation mode, i.e., independent of the polynomial retention factor vs. eluent concentration dependency</w:t>
      </w:r>
      <w:r>
        <w:rPr/>
        <w:t>.</w:t>
      </w:r>
    </w:p>
    <w:p>
      <w:pPr>
        <w:pStyle w:val="Normal"/>
        <w:rPr>
          <w:rFonts w:ascii="Liberation Serif" w:hAnsi="Liberation Serif"/>
        </w:rPr>
      </w:pPr>
      <w:r>
        <w:rPr/>
        <w:t xml:space="preserve">5) </w:t>
      </w:r>
      <w:r>
        <w:rPr>
          <w:sz w:val="22"/>
        </w:rPr>
        <w:t>Overcoming the key limitation of QSRR and directly modelling all the isocratic concentrations</w:t>
      </w:r>
    </w:p>
    <w:p>
      <w:pPr>
        <w:pStyle w:val="Normal"/>
        <w:rPr>
          <w:rFonts w:ascii="Liberation Serif" w:hAnsi="Liberation Serif"/>
        </w:rPr>
      </w:pPr>
      <w:r>
        <w:rPr>
          <w:sz w:val="22"/>
        </w:rPr>
        <w:t>6) Notable improvement of predictive ability as omcpared to the previously-developed models (GA-ANNs, GA-ANFIS)</w:t>
      </w:r>
    </w:p>
    <w:p>
      <w:pPr>
        <w:pStyle w:val="Normal"/>
        <w:rPr>
          <w:rFonts w:ascii="Liberation Serif" w:hAnsi="Liberation Serif"/>
        </w:rPr>
      </w:pPr>
      <w:r>
        <w:rPr>
          <w:sz w:val="22"/>
        </w:rPr>
        <w:t>7) Comprehensive comparison of gradient boosting (GB), extreme gradient boosting (xgBoost), adaptive boosting (AdaBoost)</w:t>
      </w:r>
    </w:p>
    <w:p>
      <w:pPr>
        <w:pStyle w:val="Normal"/>
        <w:rPr/>
      </w:pPr>
      <w:r>
        <w:rPr>
          <w:sz w:val="22"/>
        </w:rPr>
        <w:t>8) Point 4) is particularly important since for sugar alcohols the relationship logk~logc(KOH) is not polynomal but linear.</w:t>
      </w:r>
    </w:p>
    <w:p>
      <w:pPr>
        <w:pStyle w:val="Normal"/>
        <w:rPr>
          <w:rFonts w:ascii="Liberation Serif" w:hAnsi="Liberation Serif"/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b/>
          <w:bCs/>
          <w:sz w:val="22"/>
        </w:rPr>
        <w:t>Figure 1.</w:t>
      </w:r>
      <w:r>
        <w:rPr>
          <w:sz w:val="22"/>
        </w:rPr>
        <w:t xml:space="preserve"> Flowchart of the developed methodology.</w:t>
      </w:r>
    </w:p>
    <w:p>
      <w:pPr>
        <w:pStyle w:val="Normal"/>
        <w:rPr>
          <w:rFonts w:ascii="Liberation Serif" w:hAnsi="Liberation Serif"/>
          <w:sz w:val="22"/>
        </w:rPr>
      </w:pPr>
      <w:r>
        <w:rPr>
          <w:sz w:val="2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2. Experimental section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2.1. IC analyses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2.2. Data processing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2.3. Model development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2.4. Model validation</w:t>
      </w:r>
    </w:p>
    <w:p>
      <w:pPr>
        <w:pStyle w:val="Normal"/>
        <w:rPr>
          <w:rFonts w:ascii="Liberation Serif" w:hAnsi="Liberation Serif"/>
          <w:sz w:val="22"/>
        </w:rPr>
      </w:pPr>
      <w:r>
        <w:rPr>
          <w:sz w:val="2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3. Theoretical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3.1. Quantitative structure-retention relationships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3.2. Ensemble learning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3.3.1. Gradient boosting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3.3.2. Extreme gradient boosting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3.3.3. Adaptive boosting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3.3.4. Random forests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3.4. Isocratic-to-gradient model</w:t>
      </w:r>
    </w:p>
    <w:p>
      <w:pPr>
        <w:pStyle w:val="Normal"/>
        <w:rPr>
          <w:rFonts w:ascii="Liberation Serif" w:hAnsi="Liberation Serif"/>
          <w:sz w:val="22"/>
        </w:rPr>
      </w:pPr>
      <w:r>
        <w:rPr>
          <w:sz w:val="2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3. Results and Discussion</w:t>
      </w:r>
    </w:p>
    <w:p>
      <w:pPr>
        <w:pStyle w:val="Normal"/>
        <w:rPr>
          <w:rFonts w:ascii="Liberation Serif" w:hAnsi="Liberation Serif"/>
          <w:sz w:val="22"/>
        </w:rPr>
      </w:pPr>
      <w:r>
        <w:rPr>
          <w:sz w:val="2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</w:rPr>
        <w:t>4. Conclusions</w:t>
      </w:r>
    </w:p>
    <w:p>
      <w:pPr>
        <w:pStyle w:val="Normal"/>
        <w:rPr>
          <w:rFonts w:ascii="Liberation Serif" w:hAnsi="Liberation Serif"/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b/>
          <w:bCs/>
          <w:sz w:val="22"/>
        </w:rPr>
        <w:t>Acknowledgments</w:t>
      </w:r>
    </w:p>
    <w:p>
      <w:pPr>
        <w:pStyle w:val="Normal"/>
        <w:rPr/>
      </w:pPr>
      <w:r>
        <w:rPr>
          <w:sz w:val="22"/>
        </w:rPr>
        <w:t>NSCC, ThermoFisher Scientific?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S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SG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tar.zuvela@nus.edu.s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LibreOffice/6.0.7.3$Linux_X86_64 LibreOffice_project/00m0$Build-3</Application>
  <Pages>1</Pages>
  <Words>259</Words>
  <Characters>1765</Characters>
  <CharactersWithSpaces>1989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2019-11-01T22:05:58Z</dcterms:created>
  <dc:creator/>
  <dc:description/>
  <dc:language>en-SG</dc:language>
  <cp:lastModifiedBy/>
  <dcterms:modified xsi:type="dcterms:W3CDTF">2019-11-03T19:38:54Z</dcterms:modified>
  <cp:revision>13</cp:revision>
  <dc:subject/>
  <dc:title/>
</cp:coreProperties>
</file>