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B158CA" w14:textId="77777777" w:rsidR="006752B7" w:rsidRDefault="006752B7">
      <w:pPr>
        <w:widowControl w:val="0"/>
        <w:shd w:val="clear" w:color="auto" w:fill="auto"/>
        <w:spacing w:after="0"/>
        <w:jc w:val="left"/>
        <w:rPr>
          <w:rFonts w:ascii="Arial" w:eastAsia="Arial" w:hAnsi="Arial" w:cs="Arial"/>
          <w:color w:val="000000"/>
        </w:rPr>
      </w:pPr>
    </w:p>
    <w:tbl>
      <w:tblPr>
        <w:tblStyle w:val="a1"/>
        <w:tblW w:w="8940" w:type="dxa"/>
        <w:tblInd w:w="1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nil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185"/>
        <w:gridCol w:w="1755"/>
      </w:tblGrid>
      <w:tr w:rsidR="006752B7" w14:paraId="47576382" w14:textId="77777777">
        <w:tc>
          <w:tcPr>
            <w:tcW w:w="7185" w:type="dxa"/>
            <w:shd w:val="clear" w:color="auto" w:fill="F3F3F3"/>
            <w:tcMar>
              <w:top w:w="108" w:type="dxa"/>
              <w:bottom w:w="108" w:type="dxa"/>
            </w:tcMar>
          </w:tcPr>
          <w:p w14:paraId="5CA8041D" w14:textId="77777777" w:rsidR="006752B7" w:rsidRDefault="00192FC7">
            <w:pPr>
              <w:shd w:val="clear" w:color="auto" w:fill="auto"/>
              <w:jc w:val="left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COURSE SYLLABUS</w:t>
            </w:r>
          </w:p>
        </w:tc>
        <w:tc>
          <w:tcPr>
            <w:tcW w:w="1755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00859B"/>
          </w:tcPr>
          <w:p w14:paraId="34B2B85C" w14:textId="7D580AED" w:rsidR="006752B7" w:rsidRPr="00F9610E" w:rsidRDefault="00F9610E" w:rsidP="00F9610E">
            <w:pPr>
              <w:shd w:val="clear" w:color="auto" w:fill="auto"/>
              <w:jc w:val="center"/>
              <w:rPr>
                <w:b/>
                <w:color w:val="FFFFFF"/>
                <w:sz w:val="28"/>
                <w:szCs w:val="28"/>
                <w:lang w:val="en-CA"/>
              </w:rPr>
            </w:pPr>
            <w:r w:rsidRPr="00F9610E">
              <w:rPr>
                <w:b/>
                <w:color w:val="FFFFFF"/>
                <w:sz w:val="28"/>
                <w:szCs w:val="28"/>
                <w:lang w:val="en-CA"/>
              </w:rPr>
              <w:t>19BE02</w:t>
            </w:r>
          </w:p>
        </w:tc>
      </w:tr>
    </w:tbl>
    <w:p w14:paraId="5C7880A4" w14:textId="77777777" w:rsidR="00F9610E" w:rsidRPr="00F9610E" w:rsidRDefault="00F9610E" w:rsidP="00F9610E">
      <w:pPr>
        <w:pStyle w:val="Heading1"/>
        <w:spacing w:before="160" w:after="320"/>
        <w:rPr>
          <w:sz w:val="44"/>
          <w:szCs w:val="44"/>
          <w:lang w:val="en-CA"/>
        </w:rPr>
      </w:pPr>
      <w:bookmarkStart w:id="0" w:name="_heading=h.gjdgxs" w:colFirst="0" w:colLast="0"/>
      <w:bookmarkEnd w:id="0"/>
      <w:r w:rsidRPr="00F9610E">
        <w:rPr>
          <w:sz w:val="44"/>
          <w:szCs w:val="44"/>
          <w:lang w:val="en-CA"/>
        </w:rPr>
        <w:t>Calculus and Linear Algebra</w:t>
      </w:r>
    </w:p>
    <w:tbl>
      <w:tblPr>
        <w:tblStyle w:val="a2"/>
        <w:tblW w:w="2806" w:type="dxa"/>
        <w:tblInd w:w="0" w:type="dxa"/>
        <w:tblBorders>
          <w:top w:val="nil"/>
          <w:left w:val="nil"/>
          <w:bottom w:val="nil"/>
          <w:right w:val="nil"/>
          <w:insideH w:val="single" w:sz="48" w:space="0" w:color="FFFFFF"/>
          <w:insideV w:val="single" w:sz="4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06"/>
      </w:tblGrid>
      <w:tr w:rsidR="00F9610E" w14:paraId="4BC76CB1" w14:textId="77777777" w:rsidTr="00F9610E">
        <w:trPr>
          <w:trHeight w:val="403"/>
        </w:trPr>
        <w:tc>
          <w:tcPr>
            <w:tcW w:w="2806" w:type="dxa"/>
            <w:shd w:val="clear" w:color="auto" w:fill="F3F3F3"/>
            <w:tcMar>
              <w:top w:w="108" w:type="dxa"/>
              <w:bottom w:w="108" w:type="dxa"/>
            </w:tcMar>
          </w:tcPr>
          <w:p w14:paraId="2850AC24" w14:textId="16CB0786" w:rsidR="00F9610E" w:rsidRDefault="00F9610E">
            <w:pPr>
              <w:shd w:val="clear" w:color="auto" w:fill="auto"/>
              <w:jc w:val="center"/>
              <w:rPr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b/>
                <w:color w:val="404040"/>
                <w:sz w:val="28"/>
                <w:szCs w:val="28"/>
              </w:rPr>
              <w:t>Brushup</w:t>
            </w:r>
            <w:proofErr w:type="spellEnd"/>
            <w:r>
              <w:rPr>
                <w:b/>
                <w:color w:val="404040"/>
                <w:sz w:val="28"/>
                <w:szCs w:val="28"/>
              </w:rPr>
              <w:t xml:space="preserve"> course</w:t>
            </w:r>
          </w:p>
        </w:tc>
      </w:tr>
    </w:tbl>
    <w:p w14:paraId="3CA190D3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Professor</w:t>
      </w:r>
    </w:p>
    <w:p w14:paraId="1D3DD648" w14:textId="027DD72F" w:rsidR="006752B7" w:rsidRDefault="00192FC7" w:rsidP="00F961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Prof.</w:t>
      </w:r>
      <w:r w:rsidR="00F9610E">
        <w:rPr>
          <w:sz w:val="24"/>
          <w:szCs w:val="24"/>
        </w:rPr>
        <w:t xml:space="preserve"> Piotr Zwiernik</w:t>
      </w:r>
    </w:p>
    <w:p w14:paraId="5D363394" w14:textId="77777777" w:rsidR="007E2C67" w:rsidRDefault="00192FC7" w:rsidP="00F9610E">
      <w:pPr>
        <w:pStyle w:val="Heading2"/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Prerequisites to enroll</w:t>
      </w:r>
    </w:p>
    <w:p w14:paraId="733EB74C" w14:textId="1F64458A" w:rsidR="00F9610E" w:rsidRPr="00F9610E" w:rsidRDefault="00F9610E" w:rsidP="007E2C67">
      <w:pPr>
        <w:rPr>
          <w:b/>
          <w:sz w:val="28"/>
          <w:szCs w:val="28"/>
        </w:rPr>
      </w:pPr>
      <w:r w:rsidRPr="00F9610E">
        <w:rPr>
          <w:lang w:val="en-CA"/>
        </w:rPr>
        <w:t xml:space="preserve">This is a brush-up course designed for incoming </w:t>
      </w:r>
      <w:proofErr w:type="gramStart"/>
      <w:r w:rsidRPr="00F9610E">
        <w:rPr>
          <w:lang w:val="en-CA"/>
        </w:rPr>
        <w:t>Master’s</w:t>
      </w:r>
      <w:proofErr w:type="gramEnd"/>
      <w:r w:rsidRPr="00F9610E">
        <w:rPr>
          <w:lang w:val="en-CA"/>
        </w:rPr>
        <w:t xml:space="preserve"> students. No formal prerequisites, but prior exposure to calculus and linear algebra at the undergraduate level is expected.</w:t>
      </w:r>
    </w:p>
    <w:p w14:paraId="1216EB21" w14:textId="77777777" w:rsidR="007E2C67" w:rsidRDefault="00192FC7" w:rsidP="00F9610E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and objectives</w:t>
      </w:r>
    </w:p>
    <w:p w14:paraId="0055EF05" w14:textId="64CC80D8" w:rsidR="00F9610E" w:rsidRDefault="00F9610E" w:rsidP="007E2C67">
      <w:pPr>
        <w:rPr>
          <w:b/>
          <w:sz w:val="28"/>
          <w:szCs w:val="28"/>
        </w:rPr>
      </w:pPr>
      <w:r w:rsidRPr="00F9610E">
        <w:rPr>
          <w:lang w:val="en-CA"/>
        </w:rPr>
        <w:t xml:space="preserve">This intensive course reviews key tools in calculus and linear algebra that will be essential for success in the </w:t>
      </w:r>
      <w:proofErr w:type="gramStart"/>
      <w:r w:rsidRPr="00F9610E">
        <w:rPr>
          <w:lang w:val="en-CA"/>
        </w:rPr>
        <w:t>Master’s</w:t>
      </w:r>
      <w:proofErr w:type="gramEnd"/>
      <w:r w:rsidRPr="00F9610E">
        <w:rPr>
          <w:lang w:val="en-CA"/>
        </w:rPr>
        <w:t xml:space="preserve"> programs in Economics and Finance.</w:t>
      </w:r>
    </w:p>
    <w:p w14:paraId="7C7349C3" w14:textId="2CD8482F" w:rsidR="00F9610E" w:rsidRPr="00F9610E" w:rsidRDefault="00F9610E" w:rsidP="007E2C67">
      <w:pPr>
        <w:rPr>
          <w:b/>
          <w:sz w:val="28"/>
          <w:szCs w:val="28"/>
        </w:rPr>
      </w:pPr>
      <w:r w:rsidRPr="00F9610E">
        <w:rPr>
          <w:lang w:val="en-CA"/>
        </w:rPr>
        <w:t>Because we cover a large amount of material in a short period, the pace is demanding. Students are encouraged to use the course strategically: it provides an opportunity to refresh fundamental concepts, to identify personal gaps in mathematical background, and to establish good study habits before the start of the program.</w:t>
      </w:r>
    </w:p>
    <w:p w14:paraId="6DE1C05D" w14:textId="77777777" w:rsidR="00F9610E" w:rsidRPr="00F9610E" w:rsidRDefault="00F9610E" w:rsidP="007E2C67">
      <w:pPr>
        <w:rPr>
          <w:lang w:val="en-CA"/>
        </w:rPr>
      </w:pPr>
      <w:r w:rsidRPr="00F9610E">
        <w:rPr>
          <w:lang w:val="en-CA"/>
        </w:rPr>
        <w:t>By the end of the course, students should feel more confident applying mathematical reasoning in economic and financial contexts.</w:t>
      </w:r>
    </w:p>
    <w:p w14:paraId="422218F8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Course</w:t>
      </w:r>
      <w:r>
        <w:rPr>
          <w:b/>
        </w:rPr>
        <w:t xml:space="preserve"> </w:t>
      </w:r>
      <w:r>
        <w:rPr>
          <w:b/>
          <w:sz w:val="28"/>
          <w:szCs w:val="28"/>
        </w:rPr>
        <w:t>outline</w:t>
      </w:r>
    </w:p>
    <w:p w14:paraId="3BB0925E" w14:textId="4F14E112" w:rsidR="007E2C67" w:rsidRPr="007E2C67" w:rsidRDefault="007E2C67" w:rsidP="007E2C67">
      <w:pPr>
        <w:rPr>
          <w:lang w:val="en-CA"/>
        </w:rPr>
      </w:pPr>
      <w:r w:rsidRPr="007E2C67">
        <w:rPr>
          <w:lang w:val="en-CA"/>
        </w:rPr>
        <w:t>The course is organized in five lectures, each combining theory, worked examples, and practice problems.</w:t>
      </w:r>
      <w:r>
        <w:rPr>
          <w:lang w:val="en-CA"/>
        </w:rPr>
        <w:t xml:space="preserve"> The topics covered are:</w:t>
      </w:r>
    </w:p>
    <w:p w14:paraId="1BC8263D" w14:textId="6F0B6194" w:rsidR="007E2C67" w:rsidRPr="007E2C67" w:rsidRDefault="007E2C67" w:rsidP="007E2C67">
      <w:pPr>
        <w:rPr>
          <w:lang w:val="en-CA"/>
        </w:rPr>
      </w:pPr>
      <w:r w:rsidRPr="007E2C67">
        <w:rPr>
          <w:b/>
          <w:bCs/>
          <w:lang w:val="en-CA"/>
        </w:rPr>
        <w:t>1. Calculus review (single-variable)</w:t>
      </w:r>
    </w:p>
    <w:p w14:paraId="686FB4C5" w14:textId="77777777" w:rsidR="007E2C67" w:rsidRPr="007E2C67" w:rsidRDefault="007E2C67" w:rsidP="007E2C67">
      <w:pPr>
        <w:pStyle w:val="ListParagraph"/>
        <w:numPr>
          <w:ilvl w:val="0"/>
          <w:numId w:val="11"/>
        </w:numPr>
        <w:rPr>
          <w:lang w:val="en-CA"/>
        </w:rPr>
      </w:pPr>
      <w:r w:rsidRPr="007E2C67">
        <w:rPr>
          <w:lang w:val="en-CA"/>
        </w:rPr>
        <w:t>Sequences, series, limits</w:t>
      </w:r>
    </w:p>
    <w:p w14:paraId="2076D5C4" w14:textId="77777777" w:rsidR="007E2C67" w:rsidRPr="007E2C67" w:rsidRDefault="007E2C67" w:rsidP="007E2C67">
      <w:pPr>
        <w:pStyle w:val="ListParagraph"/>
        <w:numPr>
          <w:ilvl w:val="0"/>
          <w:numId w:val="11"/>
        </w:numPr>
        <w:rPr>
          <w:lang w:val="en-CA"/>
        </w:rPr>
      </w:pPr>
      <w:r w:rsidRPr="007E2C67">
        <w:rPr>
          <w:lang w:val="en-CA"/>
        </w:rPr>
        <w:t>Continuity and differentiability</w:t>
      </w:r>
    </w:p>
    <w:p w14:paraId="09F37EC6" w14:textId="77777777" w:rsidR="007E2C67" w:rsidRPr="007E2C67" w:rsidRDefault="007E2C67" w:rsidP="007E2C67">
      <w:pPr>
        <w:pStyle w:val="ListParagraph"/>
        <w:numPr>
          <w:ilvl w:val="0"/>
          <w:numId w:val="11"/>
        </w:numPr>
        <w:rPr>
          <w:lang w:val="en-CA"/>
        </w:rPr>
      </w:pPr>
      <w:r w:rsidRPr="007E2C67">
        <w:rPr>
          <w:lang w:val="en-CA"/>
        </w:rPr>
        <w:t>Taylor expansion</w:t>
      </w:r>
    </w:p>
    <w:p w14:paraId="57E90E4F" w14:textId="46418091" w:rsidR="007E2C67" w:rsidRPr="007E2C67" w:rsidRDefault="007E2C67" w:rsidP="007E2C67">
      <w:pPr>
        <w:pStyle w:val="ListParagraph"/>
        <w:numPr>
          <w:ilvl w:val="0"/>
          <w:numId w:val="11"/>
        </w:numPr>
        <w:rPr>
          <w:lang w:val="en-CA"/>
        </w:rPr>
      </w:pPr>
      <w:r w:rsidRPr="007E2C67">
        <w:rPr>
          <w:lang w:val="en-CA"/>
        </w:rPr>
        <w:t>Integration techniques</w:t>
      </w:r>
    </w:p>
    <w:p w14:paraId="22D6CC03" w14:textId="22AB5624" w:rsidR="007E2C67" w:rsidRPr="007E2C67" w:rsidRDefault="007E2C67" w:rsidP="007E2C67">
      <w:pPr>
        <w:rPr>
          <w:lang w:val="en-CA"/>
        </w:rPr>
      </w:pPr>
      <w:r w:rsidRPr="007E2C67">
        <w:rPr>
          <w:b/>
          <w:bCs/>
          <w:lang w:val="en-CA"/>
        </w:rPr>
        <w:t>2. Multivariable calculus</w:t>
      </w:r>
    </w:p>
    <w:p w14:paraId="255D445E" w14:textId="77777777" w:rsidR="007E2C67" w:rsidRPr="007E2C67" w:rsidRDefault="007E2C67" w:rsidP="007E2C67">
      <w:pPr>
        <w:pStyle w:val="ListParagraph"/>
        <w:numPr>
          <w:ilvl w:val="0"/>
          <w:numId w:val="12"/>
        </w:numPr>
        <w:rPr>
          <w:lang w:val="en-CA"/>
        </w:rPr>
      </w:pPr>
      <w:r w:rsidRPr="007E2C67">
        <w:rPr>
          <w:lang w:val="en-CA"/>
        </w:rPr>
        <w:t>Functions of several variables</w:t>
      </w:r>
    </w:p>
    <w:p w14:paraId="0614833F" w14:textId="77777777" w:rsidR="007E2C67" w:rsidRPr="007E2C67" w:rsidRDefault="007E2C67" w:rsidP="007E2C67">
      <w:pPr>
        <w:pStyle w:val="ListParagraph"/>
        <w:numPr>
          <w:ilvl w:val="0"/>
          <w:numId w:val="12"/>
        </w:numPr>
        <w:rPr>
          <w:lang w:val="en-CA"/>
        </w:rPr>
      </w:pPr>
      <w:r w:rsidRPr="007E2C67">
        <w:rPr>
          <w:lang w:val="en-CA"/>
        </w:rPr>
        <w:t>Partial derivatives and gradients</w:t>
      </w:r>
    </w:p>
    <w:p w14:paraId="5BFBCB19" w14:textId="77777777" w:rsidR="007E2C67" w:rsidRPr="007E2C67" w:rsidRDefault="007E2C67" w:rsidP="007E2C67">
      <w:pPr>
        <w:pStyle w:val="ListParagraph"/>
        <w:numPr>
          <w:ilvl w:val="0"/>
          <w:numId w:val="12"/>
        </w:numPr>
        <w:rPr>
          <w:lang w:val="en-CA"/>
        </w:rPr>
      </w:pPr>
      <w:r w:rsidRPr="007E2C67">
        <w:rPr>
          <w:lang w:val="en-CA"/>
        </w:rPr>
        <w:t>Tangent planes and linear approximations</w:t>
      </w:r>
    </w:p>
    <w:p w14:paraId="65AB554C" w14:textId="77777777" w:rsidR="007E2C67" w:rsidRPr="007E2C67" w:rsidRDefault="007E2C67" w:rsidP="007E2C67">
      <w:pPr>
        <w:pStyle w:val="ListParagraph"/>
        <w:numPr>
          <w:ilvl w:val="0"/>
          <w:numId w:val="12"/>
        </w:numPr>
        <w:rPr>
          <w:lang w:val="en-CA"/>
        </w:rPr>
      </w:pPr>
      <w:r w:rsidRPr="007E2C67">
        <w:rPr>
          <w:lang w:val="en-CA"/>
        </w:rPr>
        <w:t>Optimization of functions of several variables</w:t>
      </w:r>
    </w:p>
    <w:p w14:paraId="4AB956FF" w14:textId="4E1FCF45" w:rsidR="007E2C67" w:rsidRPr="007E2C67" w:rsidRDefault="007E2C67" w:rsidP="007E2C67">
      <w:pPr>
        <w:pStyle w:val="ListParagraph"/>
        <w:numPr>
          <w:ilvl w:val="0"/>
          <w:numId w:val="12"/>
        </w:numPr>
        <w:rPr>
          <w:lang w:val="en-CA"/>
        </w:rPr>
      </w:pPr>
      <w:r w:rsidRPr="007E2C67">
        <w:rPr>
          <w:lang w:val="en-CA"/>
        </w:rPr>
        <w:t>Convexity and concavity</w:t>
      </w:r>
    </w:p>
    <w:p w14:paraId="434B5C1D" w14:textId="221461CC" w:rsidR="007E2C67" w:rsidRPr="007E2C67" w:rsidRDefault="007E2C67" w:rsidP="007E2C67">
      <w:pPr>
        <w:rPr>
          <w:lang w:val="en-CA"/>
        </w:rPr>
      </w:pPr>
      <w:r w:rsidRPr="007E2C67">
        <w:rPr>
          <w:b/>
          <w:bCs/>
          <w:lang w:val="en-CA"/>
        </w:rPr>
        <w:t>3. Linear algebra fundamentals</w:t>
      </w:r>
    </w:p>
    <w:p w14:paraId="3D199875" w14:textId="77777777" w:rsidR="007E2C67" w:rsidRPr="007E2C67" w:rsidRDefault="007E2C67" w:rsidP="007E2C67">
      <w:pPr>
        <w:pStyle w:val="ListParagraph"/>
        <w:numPr>
          <w:ilvl w:val="0"/>
          <w:numId w:val="13"/>
        </w:numPr>
        <w:rPr>
          <w:lang w:val="en-CA"/>
        </w:rPr>
      </w:pPr>
      <w:r w:rsidRPr="007E2C67">
        <w:rPr>
          <w:lang w:val="en-CA"/>
        </w:rPr>
        <w:t>Vectors and vector spaces</w:t>
      </w:r>
    </w:p>
    <w:p w14:paraId="19FA84C4" w14:textId="77777777" w:rsidR="007E2C67" w:rsidRPr="007E2C67" w:rsidRDefault="007E2C67" w:rsidP="007E2C67">
      <w:pPr>
        <w:pStyle w:val="ListParagraph"/>
        <w:numPr>
          <w:ilvl w:val="0"/>
          <w:numId w:val="13"/>
        </w:numPr>
        <w:rPr>
          <w:lang w:val="en-CA"/>
        </w:rPr>
      </w:pPr>
      <w:r w:rsidRPr="007E2C67">
        <w:rPr>
          <w:lang w:val="en-CA"/>
        </w:rPr>
        <w:t>Matrices and linear transformations</w:t>
      </w:r>
    </w:p>
    <w:p w14:paraId="3AC418E3" w14:textId="77777777" w:rsidR="007E2C67" w:rsidRPr="007E2C67" w:rsidRDefault="007E2C67" w:rsidP="007E2C67">
      <w:pPr>
        <w:pStyle w:val="ListParagraph"/>
        <w:numPr>
          <w:ilvl w:val="0"/>
          <w:numId w:val="13"/>
        </w:numPr>
        <w:rPr>
          <w:lang w:val="en-CA"/>
        </w:rPr>
      </w:pPr>
      <w:r w:rsidRPr="007E2C67">
        <w:rPr>
          <w:lang w:val="en-CA"/>
        </w:rPr>
        <w:t>Matrix operations, inverses, rank</w:t>
      </w:r>
    </w:p>
    <w:p w14:paraId="4154C4EC" w14:textId="4C5796E1" w:rsidR="007E2C67" w:rsidRPr="007E2C67" w:rsidRDefault="007E2C67" w:rsidP="007E2C67">
      <w:pPr>
        <w:pStyle w:val="ListParagraph"/>
        <w:numPr>
          <w:ilvl w:val="0"/>
          <w:numId w:val="13"/>
        </w:numPr>
        <w:rPr>
          <w:lang w:val="en-CA"/>
        </w:rPr>
      </w:pPr>
      <w:r w:rsidRPr="007E2C67">
        <w:rPr>
          <w:lang w:val="en-CA"/>
        </w:rPr>
        <w:t>Systems of linear equations</w:t>
      </w:r>
    </w:p>
    <w:p w14:paraId="6C136E45" w14:textId="02F883DD" w:rsidR="007E2C67" w:rsidRPr="007E2C67" w:rsidRDefault="007E2C67" w:rsidP="007E2C67">
      <w:pPr>
        <w:rPr>
          <w:lang w:val="en-CA"/>
        </w:rPr>
      </w:pPr>
      <w:r w:rsidRPr="007E2C67">
        <w:rPr>
          <w:b/>
          <w:bCs/>
          <w:lang w:val="en-CA"/>
        </w:rPr>
        <w:t>4. Advanced linear algebra</w:t>
      </w:r>
    </w:p>
    <w:p w14:paraId="407A336B" w14:textId="77777777" w:rsidR="007E2C67" w:rsidRPr="007E2C67" w:rsidRDefault="007E2C67" w:rsidP="007E2C67">
      <w:pPr>
        <w:pStyle w:val="ListParagraph"/>
        <w:numPr>
          <w:ilvl w:val="0"/>
          <w:numId w:val="14"/>
        </w:numPr>
        <w:rPr>
          <w:lang w:val="en-CA"/>
        </w:rPr>
      </w:pPr>
      <w:r w:rsidRPr="007E2C67">
        <w:rPr>
          <w:lang w:val="en-CA"/>
        </w:rPr>
        <w:t>Determinants</w:t>
      </w:r>
    </w:p>
    <w:p w14:paraId="2B136E5B" w14:textId="77777777" w:rsidR="007E2C67" w:rsidRPr="007E2C67" w:rsidRDefault="007E2C67" w:rsidP="007E2C67">
      <w:pPr>
        <w:pStyle w:val="ListParagraph"/>
        <w:numPr>
          <w:ilvl w:val="0"/>
          <w:numId w:val="14"/>
        </w:numPr>
        <w:rPr>
          <w:lang w:val="en-CA"/>
        </w:rPr>
      </w:pPr>
      <w:r w:rsidRPr="007E2C67">
        <w:rPr>
          <w:lang w:val="en-CA"/>
        </w:rPr>
        <w:t>Eigenvalues and eigenvectors</w:t>
      </w:r>
    </w:p>
    <w:p w14:paraId="237D74C6" w14:textId="77777777" w:rsidR="007E2C67" w:rsidRPr="007E2C67" w:rsidRDefault="007E2C67" w:rsidP="007E2C67">
      <w:pPr>
        <w:pStyle w:val="ListParagraph"/>
        <w:numPr>
          <w:ilvl w:val="0"/>
          <w:numId w:val="14"/>
        </w:numPr>
        <w:rPr>
          <w:lang w:val="en-CA"/>
        </w:rPr>
      </w:pPr>
      <w:r w:rsidRPr="007E2C67">
        <w:rPr>
          <w:lang w:val="en-CA"/>
        </w:rPr>
        <w:t>Diagonalization</w:t>
      </w:r>
    </w:p>
    <w:p w14:paraId="1EF58FFF" w14:textId="77777777" w:rsidR="007E2C67" w:rsidRPr="007E2C67" w:rsidRDefault="007E2C67" w:rsidP="007E2C67">
      <w:pPr>
        <w:pStyle w:val="ListParagraph"/>
        <w:numPr>
          <w:ilvl w:val="0"/>
          <w:numId w:val="14"/>
        </w:numPr>
        <w:rPr>
          <w:lang w:val="en-CA"/>
        </w:rPr>
      </w:pPr>
      <w:r w:rsidRPr="007E2C67">
        <w:rPr>
          <w:lang w:val="en-CA"/>
        </w:rPr>
        <w:t>Quadratic forms and applications</w:t>
      </w:r>
    </w:p>
    <w:p w14:paraId="4DA1E8BA" w14:textId="053057F9" w:rsidR="007E2C67" w:rsidRPr="007E2C67" w:rsidRDefault="007E2C67" w:rsidP="007E2C67">
      <w:pPr>
        <w:rPr>
          <w:lang w:val="en-CA"/>
        </w:rPr>
      </w:pPr>
      <w:r>
        <w:rPr>
          <w:lang w:val="en-CA"/>
        </w:rPr>
        <w:t xml:space="preserve">The lecture will be complemented by tutorial sessions. </w:t>
      </w:r>
    </w:p>
    <w:p w14:paraId="6BA35677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Required activities</w:t>
      </w:r>
    </w:p>
    <w:p w14:paraId="35226428" w14:textId="76BBB8D0" w:rsidR="007E2C67" w:rsidRDefault="007E2C67" w:rsidP="007E2C67">
      <w:pPr>
        <w:pStyle w:val="ListParagraph"/>
        <w:numPr>
          <w:ilvl w:val="0"/>
          <w:numId w:val="10"/>
        </w:numPr>
      </w:pPr>
      <w:r>
        <w:t>Attendance at all lectures (highly recommended given the compressed format)</w:t>
      </w:r>
    </w:p>
    <w:p w14:paraId="036926FB" w14:textId="5A424D22" w:rsidR="007E2C67" w:rsidRDefault="007E2C67" w:rsidP="007E2C67">
      <w:pPr>
        <w:pStyle w:val="ListParagraph"/>
        <w:numPr>
          <w:ilvl w:val="0"/>
          <w:numId w:val="10"/>
        </w:numPr>
      </w:pPr>
      <w:r>
        <w:t>Active participation in problem-solving sessions</w:t>
      </w:r>
    </w:p>
    <w:p w14:paraId="7409137E" w14:textId="0BEB8EED" w:rsidR="007E2C67" w:rsidRDefault="007E2C67" w:rsidP="007E2C67">
      <w:pPr>
        <w:pStyle w:val="ListParagraph"/>
        <w:numPr>
          <w:ilvl w:val="0"/>
          <w:numId w:val="10"/>
        </w:numPr>
      </w:pPr>
      <w:r>
        <w:t>Independent review of exercises and textbook material</w:t>
      </w:r>
    </w:p>
    <w:p w14:paraId="4A0219CC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14:paraId="64200125" w14:textId="1E15119F" w:rsidR="006752B7" w:rsidRPr="00120BAF" w:rsidRDefault="00120BAF" w:rsidP="00120BAF">
      <w:r>
        <w:t xml:space="preserve">There will be a short </w:t>
      </w:r>
      <w:r w:rsidRPr="00120BAF">
        <w:rPr>
          <w:rStyle w:val="s1"/>
        </w:rPr>
        <w:t>final exam at the end of the course</w:t>
      </w:r>
      <w:r>
        <w:t xml:space="preserve"> covering the main topics. The exam will be graded, but the grade will </w:t>
      </w:r>
      <w:r w:rsidRPr="00120BAF">
        <w:rPr>
          <w:rStyle w:val="s1"/>
        </w:rPr>
        <w:t xml:space="preserve">not count toward the </w:t>
      </w:r>
      <w:proofErr w:type="gramStart"/>
      <w:r w:rsidRPr="00120BAF">
        <w:rPr>
          <w:rStyle w:val="s1"/>
        </w:rPr>
        <w:t>Master’s</w:t>
      </w:r>
      <w:proofErr w:type="gramEnd"/>
      <w:r w:rsidRPr="00120BAF">
        <w:rPr>
          <w:rStyle w:val="s1"/>
        </w:rPr>
        <w:t xml:space="preserve"> program</w:t>
      </w:r>
      <w:r>
        <w:t xml:space="preserve">. Its purpose is purely diagnostic: to help students </w:t>
      </w:r>
      <w:r>
        <w:t>check</w:t>
      </w:r>
      <w:r>
        <w:t xml:space="preserve"> their current level, identify strengths and weaknesses, and plan how much review or extra study may be needed </w:t>
      </w:r>
      <w:r>
        <w:t xml:space="preserve">in the short period </w:t>
      </w:r>
      <w:r>
        <w:t>before the core courses begin.</w:t>
      </w:r>
      <w:r w:rsidR="00192FC7">
        <w:rPr>
          <w:sz w:val="24"/>
          <w:szCs w:val="24"/>
        </w:rPr>
        <w:tab/>
      </w:r>
      <w:bookmarkStart w:id="1" w:name="_heading=h.7hpe1b453uh" w:colFirst="0" w:colLast="0"/>
      <w:bookmarkEnd w:id="1"/>
    </w:p>
    <w:p w14:paraId="3AD8E5B9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Materials</w:t>
      </w:r>
    </w:p>
    <w:p w14:paraId="4F590C55" w14:textId="77777777" w:rsidR="007E2C67" w:rsidRDefault="007E2C67" w:rsidP="007E2C67">
      <w:r>
        <w:rPr>
          <w:rStyle w:val="s1"/>
          <w:b/>
          <w:bCs/>
        </w:rPr>
        <w:t>Main references</w:t>
      </w:r>
      <w:r>
        <w:t xml:space="preserve"> (students may use any comparable text they are familiar with):</w:t>
      </w:r>
    </w:p>
    <w:p w14:paraId="263B0680" w14:textId="77777777" w:rsidR="007E2C67" w:rsidRDefault="007E2C67" w:rsidP="007E2C67">
      <w:pPr>
        <w:pStyle w:val="ListParagraph"/>
        <w:numPr>
          <w:ilvl w:val="0"/>
          <w:numId w:val="16"/>
        </w:numPr>
      </w:pPr>
      <w:r>
        <w:t xml:space="preserve">Simon, C.P. and Blume, L. </w:t>
      </w:r>
      <w:r w:rsidRPr="007E2C67">
        <w:rPr>
          <w:i/>
          <w:iCs/>
        </w:rPr>
        <w:t>Mathematics for Economists</w:t>
      </w:r>
      <w:r>
        <w:t>, Norton, 1994.</w:t>
      </w:r>
    </w:p>
    <w:p w14:paraId="41752C60" w14:textId="77777777" w:rsidR="007E2C67" w:rsidRDefault="007E2C67" w:rsidP="007E2C67">
      <w:pPr>
        <w:pStyle w:val="ListParagraph"/>
        <w:numPr>
          <w:ilvl w:val="0"/>
          <w:numId w:val="16"/>
        </w:numPr>
      </w:pPr>
      <w:proofErr w:type="spellStart"/>
      <w:r>
        <w:t>Sydsaeter</w:t>
      </w:r>
      <w:proofErr w:type="spellEnd"/>
      <w:r>
        <w:t xml:space="preserve">, K. and Hammond, P.J. </w:t>
      </w:r>
      <w:r w:rsidRPr="007E2C67">
        <w:rPr>
          <w:i/>
          <w:iCs/>
        </w:rPr>
        <w:t>Mathematics for Economic Analysis</w:t>
      </w:r>
      <w:r>
        <w:t>, Prentice Hall, 1995.</w:t>
      </w:r>
    </w:p>
    <w:p w14:paraId="374E6EBA" w14:textId="7D44659E" w:rsidR="007E2C67" w:rsidRDefault="007E2C67" w:rsidP="007E2C67">
      <w:pPr>
        <w:pStyle w:val="ListParagraph"/>
        <w:numPr>
          <w:ilvl w:val="0"/>
          <w:numId w:val="16"/>
        </w:numPr>
      </w:pPr>
      <w:r>
        <w:t xml:space="preserve">Werner, F. and </w:t>
      </w:r>
      <w:proofErr w:type="spellStart"/>
      <w:r>
        <w:t>Sotskov</w:t>
      </w:r>
      <w:proofErr w:type="spellEnd"/>
      <w:r>
        <w:t xml:space="preserve">, Y.N. </w:t>
      </w:r>
      <w:r w:rsidRPr="007E2C67">
        <w:rPr>
          <w:i/>
          <w:iCs/>
        </w:rPr>
        <w:t>Mathematics for Economics and Business</w:t>
      </w:r>
      <w:r>
        <w:t>, Routledge, 2006.</w:t>
      </w:r>
    </w:p>
    <w:p w14:paraId="56FA9855" w14:textId="77777777" w:rsidR="007E2C67" w:rsidRDefault="007E2C67" w:rsidP="007E2C67">
      <w:r>
        <w:t>Lecture slides and problem sets will be provided.</w:t>
      </w:r>
    </w:p>
    <w:p w14:paraId="4DA3D103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Competencies</w:t>
      </w:r>
    </w:p>
    <w:p w14:paraId="4FE9CA6F" w14:textId="77777777" w:rsidR="007E2C67" w:rsidRDefault="007E2C67" w:rsidP="007E2C67">
      <w:pPr>
        <w:pStyle w:val="ListParagraph"/>
        <w:numPr>
          <w:ilvl w:val="0"/>
          <w:numId w:val="18"/>
        </w:numPr>
      </w:pPr>
      <w:r>
        <w:t>Strengthening of core mathematical foundations (calculus, algebra, optimization).</w:t>
      </w:r>
    </w:p>
    <w:p w14:paraId="5707E368" w14:textId="77777777" w:rsidR="007E2C67" w:rsidRDefault="007E2C67" w:rsidP="007E2C67">
      <w:pPr>
        <w:pStyle w:val="ListParagraph"/>
        <w:numPr>
          <w:ilvl w:val="0"/>
          <w:numId w:val="18"/>
        </w:numPr>
      </w:pPr>
      <w:r>
        <w:t>Ability to work with mathematical formulations in economics and finance.</w:t>
      </w:r>
    </w:p>
    <w:p w14:paraId="64ABF9E0" w14:textId="77777777" w:rsidR="007E2C67" w:rsidRDefault="007E2C67" w:rsidP="007E2C67">
      <w:pPr>
        <w:pStyle w:val="ListParagraph"/>
        <w:numPr>
          <w:ilvl w:val="0"/>
          <w:numId w:val="18"/>
        </w:numPr>
      </w:pPr>
      <w:r>
        <w:t>Improved problem-solving skills under time pressure.</w:t>
      </w:r>
    </w:p>
    <w:p w14:paraId="1AF64A15" w14:textId="77777777" w:rsidR="006752B7" w:rsidRDefault="00192FC7">
      <w:pPr>
        <w:pStyle w:val="Heading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Learning outcomes</w:t>
      </w:r>
    </w:p>
    <w:p w14:paraId="61ABA795" w14:textId="0239C9FC" w:rsidR="007E2C67" w:rsidRDefault="007E2C67" w:rsidP="007E2C67">
      <w:pPr>
        <w:pStyle w:val="ListParagraph"/>
        <w:numPr>
          <w:ilvl w:val="0"/>
          <w:numId w:val="20"/>
        </w:numPr>
      </w:pPr>
      <w:r>
        <w:t>Students will recall and apply central results in calculus and linear algebra.</w:t>
      </w:r>
    </w:p>
    <w:p w14:paraId="34987E2B" w14:textId="77777777" w:rsidR="007E2C67" w:rsidRDefault="007E2C67" w:rsidP="007E2C67">
      <w:pPr>
        <w:pStyle w:val="ListParagraph"/>
        <w:numPr>
          <w:ilvl w:val="0"/>
          <w:numId w:val="20"/>
        </w:numPr>
      </w:pPr>
      <w:r>
        <w:t>Students will identify and remedy personal gaps in their mathematical preparation.</w:t>
      </w:r>
    </w:p>
    <w:p w14:paraId="6D87C49A" w14:textId="592D1355" w:rsidR="006752B7" w:rsidRPr="007E2C67" w:rsidRDefault="006752B7" w:rsidP="007E2C67">
      <w:pPr>
        <w:pBdr>
          <w:top w:val="nil"/>
          <w:left w:val="nil"/>
          <w:bottom w:val="nil"/>
          <w:right w:val="nil"/>
          <w:between w:val="nil"/>
        </w:pBdr>
        <w:ind w:left="426"/>
        <w:jc w:val="left"/>
        <w:rPr>
          <w:sz w:val="24"/>
          <w:szCs w:val="24"/>
          <w:lang w:val="en-CA"/>
        </w:rPr>
      </w:pPr>
    </w:p>
    <w:p w14:paraId="0C8E2DB4" w14:textId="77777777" w:rsidR="006752B7" w:rsidRDefault="006752B7">
      <w:pPr>
        <w:rPr>
          <w:sz w:val="24"/>
          <w:szCs w:val="24"/>
        </w:rPr>
      </w:pPr>
    </w:p>
    <w:sectPr w:rsidR="006752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440" w:bottom="180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82051" w14:textId="77777777" w:rsidR="00CA210A" w:rsidRDefault="00CA210A">
      <w:pPr>
        <w:spacing w:after="0" w:line="240" w:lineRule="auto"/>
      </w:pPr>
      <w:r>
        <w:separator/>
      </w:r>
    </w:p>
  </w:endnote>
  <w:endnote w:type="continuationSeparator" w:id="0">
    <w:p w14:paraId="0318541A" w14:textId="77777777" w:rsidR="00CA210A" w:rsidRDefault="00CA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1B06D" w14:textId="77777777" w:rsidR="006752B7" w:rsidRDefault="00192F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3AB9FFD1" w14:textId="77777777" w:rsidR="006752B7" w:rsidRDefault="00192F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0C97D3F0" w14:textId="77777777" w:rsidR="006752B7" w:rsidRDefault="006752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32339" w14:textId="77777777" w:rsidR="006752B7" w:rsidRDefault="006752B7">
    <w:pPr>
      <w:rPr>
        <w:rFonts w:ascii="Merriweather" w:eastAsia="Merriweather" w:hAnsi="Merriweather" w:cs="Merriweather"/>
        <w:color w:val="00859B"/>
        <w:sz w:val="20"/>
        <w:szCs w:val="20"/>
      </w:rPr>
    </w:pPr>
  </w:p>
  <w:tbl>
    <w:tblPr>
      <w:tblStyle w:val="a3"/>
      <w:tblW w:w="9226" w:type="dxa"/>
      <w:jc w:val="center"/>
      <w:tblInd w:w="0" w:type="dxa"/>
      <w:tblBorders>
        <w:top w:val="single" w:sz="24" w:space="0" w:color="00859B"/>
      </w:tblBorders>
      <w:tblLayout w:type="fixed"/>
      <w:tblLook w:val="0600" w:firstRow="0" w:lastRow="0" w:firstColumn="0" w:lastColumn="0" w:noHBand="1" w:noVBand="1"/>
    </w:tblPr>
    <w:tblGrid>
      <w:gridCol w:w="8144"/>
      <w:gridCol w:w="1082"/>
    </w:tblGrid>
    <w:tr w:rsidR="006752B7" w14:paraId="52865900" w14:textId="77777777">
      <w:trPr>
        <w:trHeight w:val="549"/>
        <w:jc w:val="center"/>
      </w:trPr>
      <w:tc>
        <w:tcPr>
          <w:tcW w:w="8144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CB036C" w14:textId="77777777" w:rsidR="006752B7" w:rsidRDefault="00192FC7">
          <w:pPr>
            <w:jc w:val="left"/>
            <w:rPr>
              <w:rFonts w:ascii="Merriweather" w:eastAsia="Merriweather" w:hAnsi="Merriweather" w:cs="Merriweather"/>
              <w:color w:val="00859B"/>
              <w:sz w:val="20"/>
              <w:szCs w:val="20"/>
            </w:rPr>
          </w:pPr>
          <w:r>
            <w:rPr>
              <w:rFonts w:ascii="Merriweather" w:eastAsia="Merriweather" w:hAnsi="Merriweather" w:cs="Merriweather"/>
              <w:color w:val="00859B"/>
              <w:sz w:val="20"/>
              <w:szCs w:val="20"/>
            </w:rPr>
            <w:t>BSE Course Syllabus: Title of the Course</w:t>
          </w:r>
        </w:p>
      </w:tc>
      <w:tc>
        <w:tcPr>
          <w:tcW w:w="1082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04F052C" w14:textId="77777777" w:rsidR="006752B7" w:rsidRDefault="00192FC7">
          <w:pPr>
            <w:widowControl w:val="0"/>
            <w:shd w:val="clear" w:color="auto" w:fill="auto"/>
            <w:jc w:val="right"/>
            <w:rPr>
              <w:b/>
              <w:color w:val="00859B"/>
              <w:sz w:val="20"/>
              <w:szCs w:val="20"/>
            </w:rPr>
          </w:pPr>
          <w:r>
            <w:rPr>
              <w:b/>
              <w:color w:val="00859B"/>
              <w:sz w:val="20"/>
              <w:szCs w:val="20"/>
            </w:rPr>
            <w:fldChar w:fldCharType="begin"/>
          </w:r>
          <w:r>
            <w:rPr>
              <w:b/>
              <w:color w:val="00859B"/>
              <w:sz w:val="20"/>
              <w:szCs w:val="20"/>
            </w:rPr>
            <w:instrText>PAGE</w:instrText>
          </w:r>
          <w:r>
            <w:rPr>
              <w:b/>
              <w:color w:val="00859B"/>
              <w:sz w:val="20"/>
              <w:szCs w:val="20"/>
            </w:rPr>
            <w:fldChar w:fldCharType="separate"/>
          </w:r>
          <w:r w:rsidR="00AA5AC2">
            <w:rPr>
              <w:b/>
              <w:noProof/>
              <w:color w:val="00859B"/>
              <w:sz w:val="20"/>
              <w:szCs w:val="20"/>
            </w:rPr>
            <w:t>1</w:t>
          </w:r>
          <w:r>
            <w:rPr>
              <w:b/>
              <w:color w:val="00859B"/>
              <w:sz w:val="20"/>
              <w:szCs w:val="20"/>
            </w:rPr>
            <w:fldChar w:fldCharType="end"/>
          </w:r>
        </w:p>
      </w:tc>
    </w:tr>
  </w:tbl>
  <w:p w14:paraId="0711440C" w14:textId="77777777" w:rsidR="006752B7" w:rsidRDefault="006752B7">
    <w:pPr>
      <w:tabs>
        <w:tab w:val="left" w:pos="298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70964" w14:textId="77777777" w:rsidR="00F9610E" w:rsidRDefault="00F96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2672" w14:textId="77777777" w:rsidR="00CA210A" w:rsidRDefault="00CA210A">
      <w:pPr>
        <w:spacing w:after="0" w:line="240" w:lineRule="auto"/>
      </w:pPr>
      <w:r>
        <w:separator/>
      </w:r>
    </w:p>
  </w:footnote>
  <w:footnote w:type="continuationSeparator" w:id="0">
    <w:p w14:paraId="18C21617" w14:textId="77777777" w:rsidR="00CA210A" w:rsidRDefault="00CA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4F702" w14:textId="77777777" w:rsidR="006752B7" w:rsidRDefault="006752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4BF4D234" w14:textId="77777777" w:rsidR="006752B7" w:rsidRDefault="006752B7"/>
  <w:p w14:paraId="0A3103DD" w14:textId="77777777" w:rsidR="006752B7" w:rsidRDefault="006752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5B1DE" w14:textId="77777777" w:rsidR="006752B7" w:rsidRDefault="00192FC7">
    <w:pPr>
      <w:jc w:val="center"/>
    </w:pPr>
    <w:r>
      <w:rPr>
        <w:noProof/>
      </w:rPr>
      <w:drawing>
        <wp:inline distT="114300" distB="114300" distL="114300" distR="114300" wp14:anchorId="7CD82C91" wp14:editId="0C32B6F5">
          <wp:extent cx="1824038" cy="893839"/>
          <wp:effectExtent l="0" t="0" r="0" b="0"/>
          <wp:docPr id="3" name="image1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4038" cy="8938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1DBE" w14:textId="77777777" w:rsidR="006752B7" w:rsidRDefault="00192FC7">
    <w:pPr>
      <w:jc w:val="center"/>
    </w:pPr>
    <w:r>
      <w:rPr>
        <w:noProof/>
      </w:rPr>
      <w:drawing>
        <wp:inline distT="114300" distB="114300" distL="114300" distR="114300" wp14:anchorId="10A18749" wp14:editId="1FCFAA6D">
          <wp:extent cx="1824038" cy="893839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4038" cy="8938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4F6E"/>
    <w:multiLevelType w:val="hybridMultilevel"/>
    <w:tmpl w:val="FC22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7962"/>
    <w:multiLevelType w:val="hybridMultilevel"/>
    <w:tmpl w:val="E50C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5F17"/>
    <w:multiLevelType w:val="hybridMultilevel"/>
    <w:tmpl w:val="9BD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601DC"/>
    <w:multiLevelType w:val="multilevel"/>
    <w:tmpl w:val="E32A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67C27"/>
    <w:multiLevelType w:val="hybridMultilevel"/>
    <w:tmpl w:val="7A28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6021"/>
    <w:multiLevelType w:val="multilevel"/>
    <w:tmpl w:val="426A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00B85"/>
    <w:multiLevelType w:val="hybridMultilevel"/>
    <w:tmpl w:val="C4D00BA0"/>
    <w:lvl w:ilvl="0" w:tplc="6FF2089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52480"/>
    <w:multiLevelType w:val="multilevel"/>
    <w:tmpl w:val="09A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05445"/>
    <w:multiLevelType w:val="multilevel"/>
    <w:tmpl w:val="57FE1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BA7737"/>
    <w:multiLevelType w:val="multilevel"/>
    <w:tmpl w:val="9706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04530"/>
    <w:multiLevelType w:val="multilevel"/>
    <w:tmpl w:val="F1F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C4BC3"/>
    <w:multiLevelType w:val="hybridMultilevel"/>
    <w:tmpl w:val="93A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67067"/>
    <w:multiLevelType w:val="hybridMultilevel"/>
    <w:tmpl w:val="3D26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F2B10"/>
    <w:multiLevelType w:val="hybridMultilevel"/>
    <w:tmpl w:val="6B0E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B0F71"/>
    <w:multiLevelType w:val="multilevel"/>
    <w:tmpl w:val="25A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7582C"/>
    <w:multiLevelType w:val="multilevel"/>
    <w:tmpl w:val="B06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B6A9B"/>
    <w:multiLevelType w:val="multilevel"/>
    <w:tmpl w:val="115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644AF"/>
    <w:multiLevelType w:val="multilevel"/>
    <w:tmpl w:val="64A2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E3CFA"/>
    <w:multiLevelType w:val="multilevel"/>
    <w:tmpl w:val="0D48D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EB532D"/>
    <w:multiLevelType w:val="hybridMultilevel"/>
    <w:tmpl w:val="333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609485">
    <w:abstractNumId w:val="8"/>
  </w:num>
  <w:num w:numId="2" w16cid:durableId="978339898">
    <w:abstractNumId w:val="18"/>
  </w:num>
  <w:num w:numId="3" w16cid:durableId="994606410">
    <w:abstractNumId w:val="7"/>
  </w:num>
  <w:num w:numId="4" w16cid:durableId="1446969912">
    <w:abstractNumId w:val="14"/>
  </w:num>
  <w:num w:numId="5" w16cid:durableId="1910269219">
    <w:abstractNumId w:val="10"/>
  </w:num>
  <w:num w:numId="6" w16cid:durableId="1780488018">
    <w:abstractNumId w:val="9"/>
  </w:num>
  <w:num w:numId="7" w16cid:durableId="1089814580">
    <w:abstractNumId w:val="15"/>
  </w:num>
  <w:num w:numId="8" w16cid:durableId="502013422">
    <w:abstractNumId w:val="3"/>
  </w:num>
  <w:num w:numId="9" w16cid:durableId="279799842">
    <w:abstractNumId w:val="6"/>
  </w:num>
  <w:num w:numId="10" w16cid:durableId="2123458320">
    <w:abstractNumId w:val="12"/>
  </w:num>
  <w:num w:numId="11" w16cid:durableId="1631472245">
    <w:abstractNumId w:val="1"/>
  </w:num>
  <w:num w:numId="12" w16cid:durableId="1575554094">
    <w:abstractNumId w:val="19"/>
  </w:num>
  <w:num w:numId="13" w16cid:durableId="942883724">
    <w:abstractNumId w:val="4"/>
  </w:num>
  <w:num w:numId="14" w16cid:durableId="399714444">
    <w:abstractNumId w:val="11"/>
  </w:num>
  <w:num w:numId="15" w16cid:durableId="392847761">
    <w:abstractNumId w:val="5"/>
  </w:num>
  <w:num w:numId="16" w16cid:durableId="198783896">
    <w:abstractNumId w:val="0"/>
  </w:num>
  <w:num w:numId="17" w16cid:durableId="792598921">
    <w:abstractNumId w:val="17"/>
  </w:num>
  <w:num w:numId="18" w16cid:durableId="1487429959">
    <w:abstractNumId w:val="2"/>
  </w:num>
  <w:num w:numId="19" w16cid:durableId="949317564">
    <w:abstractNumId w:val="16"/>
  </w:num>
  <w:num w:numId="20" w16cid:durableId="1288658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2B7"/>
    <w:rsid w:val="00120BAF"/>
    <w:rsid w:val="00192FC7"/>
    <w:rsid w:val="004755F1"/>
    <w:rsid w:val="006752B7"/>
    <w:rsid w:val="007E2C67"/>
    <w:rsid w:val="00AA5AC2"/>
    <w:rsid w:val="00CA210A"/>
    <w:rsid w:val="00F9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0FAC2"/>
  <w15:docId w15:val="{232EEEFE-4A4E-4C22-A621-A20E7A14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="Open Sans" w:hAnsi="Open Sans" w:cs="Open Sans"/>
        <w:color w:val="545454"/>
        <w:sz w:val="22"/>
        <w:szCs w:val="22"/>
        <w:lang w:val="en" w:eastAsia="es-ES" w:bidi="ar-SA"/>
      </w:rPr>
    </w:rPrDefault>
    <w:pPrDefault>
      <w:pPr>
        <w:shd w:val="clear" w:color="auto" w:fill="FFFFFF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20"/>
      <w:outlineLvl w:val="0"/>
    </w:pPr>
    <w:rPr>
      <w:rFonts w:ascii="Merriweather Light" w:eastAsia="Merriweather Light" w:hAnsi="Merriweather Light" w:cs="Merriweather Light"/>
      <w:color w:val="00859B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500" w:after="2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/>
      <w:outlineLvl w:val="2"/>
    </w:pPr>
    <w:rPr>
      <w:color w:val="00859B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3"/>
    </w:pPr>
    <w:rPr>
      <w:b/>
      <w:color w:val="009AA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Merriweather Light" w:eastAsia="Merriweather Light" w:hAnsi="Merriweather Light" w:cs="Merriweather Light"/>
      <w:color w:val="00859B"/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20"/>
    </w:pPr>
    <w:rPr>
      <w:color w:val="000000"/>
      <w:sz w:val="28"/>
      <w:szCs w:val="28"/>
    </w:rPr>
  </w:style>
  <w:style w:type="table" w:customStyle="1" w:styleId="a">
    <w:basedOn w:val="TableNormal1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F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8A"/>
    <w:rPr>
      <w:rFonts w:ascii="Lucida Grande" w:hAnsi="Lucida Grande" w:cs="Lucida Grande"/>
      <w:sz w:val="18"/>
      <w:szCs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010F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65E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AE"/>
    <w:rPr>
      <w:shd w:val="clear" w:color="auto" w:fill="FFFFFF"/>
    </w:rPr>
  </w:style>
  <w:style w:type="table" w:styleId="TableGrid">
    <w:name w:val="Table Grid"/>
    <w:basedOn w:val="TableNormal"/>
    <w:uiPriority w:val="39"/>
    <w:rsid w:val="0077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7E2C67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customStyle="1" w:styleId="s1">
    <w:name w:val="s1"/>
    <w:basedOn w:val="DefaultParagraphFont"/>
    <w:rsid w:val="007E2C67"/>
  </w:style>
  <w:style w:type="paragraph" w:customStyle="1" w:styleId="p3">
    <w:name w:val="p3"/>
    <w:basedOn w:val="Normal"/>
    <w:rsid w:val="007E2C67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xb13P1PIdFNcRCRuwnFgkXRrQg==">AMUW2mXLyWxProaG48UUhGTLF9Phz6BPtLwpwVbw2y1VFf/6WCC89POMCuKcC4ZIUxJnqv6iC9sL9pwH57wP63wO0/AzPhmvVffahdB2InZzPI8UkHjuo0b6rgZZFM9gsd2qvcgYiq7JbxhjRuqbvwDTR0rIQ1448Q==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Zwiernik</cp:lastModifiedBy>
  <cp:revision>2</cp:revision>
  <dcterms:created xsi:type="dcterms:W3CDTF">2025-08-24T08:39:00Z</dcterms:created>
  <dcterms:modified xsi:type="dcterms:W3CDTF">2025-08-24T08:39:00Z</dcterms:modified>
</cp:coreProperties>
</file>