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>
      <w:pPr>
        <w:pStyle w:val="20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>
      <w:pPr>
        <w:pStyle w:val="20"/>
        <w:jc w:val="center"/>
        <w:rPr>
          <w:lang w:val="ru-RU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149"/>
        <w:gridCol w:w="5394"/>
        <w:gridCol w:w="1145"/>
        <w:gridCol w:w="931"/>
        <w:gridCol w:w="1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394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публикации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Размер статьи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117" w:type="dxa"/>
          </w:tcPr>
          <w:p>
            <w:pPr>
              <w:pStyle w:val="20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szCs w:val="18"/>
              </w:rPr>
              <w:t>11.09.2024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394" w:type="dxa"/>
          </w:tcPr>
          <w:p>
            <w:pPr>
              <w:pStyle w:val="20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Неэффективность бинарной системы в сравнении с тернарной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>
              <w:rPr>
                <w:sz w:val="18"/>
                <w:szCs w:val="18"/>
                <w:lang w:val="ru-RU"/>
              </w:rPr>
              <w:t>.0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lang w:val="ru-RU"/>
              </w:rPr>
              <w:t>.202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~1741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25.09.2024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20"/>
              <w:jc w:val="center"/>
              <w:rPr>
                <w:highlight w:val="lightGray"/>
              </w:rPr>
            </w:pPr>
            <w:r>
              <w:rPr>
                <w:sz w:val="18"/>
                <w:szCs w:val="18"/>
              </w:rPr>
              <w:t>25.09.2024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394" w:type="dxa"/>
          </w:tcPr>
          <w:p>
            <w:pPr>
              <w:pStyle w:val="20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 xml:space="preserve">Сжатие цифровой информации по методу </w:t>
            </w:r>
            <w:r>
              <w:rPr>
                <w:sz w:val="17"/>
                <w:szCs w:val="17"/>
              </w:rPr>
              <w:t>MP</w:t>
            </w:r>
            <w:r>
              <w:rPr>
                <w:sz w:val="17"/>
                <w:szCs w:val="17"/>
                <w:lang w:val="ru-RU"/>
              </w:rPr>
              <w:t>3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01.06.2024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>~909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09.10.2024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09.10.2024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394" w:type="dxa"/>
          </w:tcPr>
          <w:p>
            <w:pPr>
              <w:pStyle w:val="20"/>
              <w:numPr>
                <w:ilvl w:val="0"/>
                <w:numId w:val="1"/>
              </w:numPr>
              <w:tabs>
                <w:tab w:val="clear" w:pos="432"/>
              </w:tabs>
              <w:ind w:left="0" w:firstLine="0"/>
              <w:rPr>
                <w:b/>
                <w:bCs/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Применение регулярных выражений для обработки текстовых данных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z w:val="18"/>
                <w:lang w:val="ru-RU"/>
              </w:rPr>
              <w:t>06</w:t>
            </w:r>
            <w:r>
              <w:rPr>
                <w:sz w:val="18"/>
              </w:rPr>
              <w:t>.2022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~2832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23.10.2024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394" w:type="dxa"/>
          </w:tcPr>
          <w:p>
            <w:pPr>
              <w:pStyle w:val="20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Анализ языка гипертекстовой разметки html как инструмента для фронтенд-разработки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02.04.2023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~899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color w:val="000000" w:themeColor="text1"/>
                <w:sz w:val="18"/>
                <w:highlight w:val="lightGray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06.</w:t>
            </w:r>
            <w:r>
              <w:rPr>
                <w:color w:val="000000" w:themeColor="text1"/>
                <w:sz w:val="1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20"/>
              <w:jc w:val="center"/>
              <w:rPr>
                <w:color w:val="000000" w:themeColor="text1"/>
                <w:sz w:val="18"/>
                <w:highlight w:val="lightGray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06.</w:t>
            </w:r>
            <w:r>
              <w:rPr>
                <w:color w:val="000000" w:themeColor="text1"/>
                <w:sz w:val="1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1.2024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394" w:type="dxa"/>
          </w:tcPr>
          <w:p>
            <w:pPr>
              <w:pStyle w:val="20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Анализ отечественных офисных пакетов в условиях импортозамещения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06.03.2023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~1136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color w:val="000000" w:themeColor="text1"/>
                <w:sz w:val="1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20.</w:t>
            </w:r>
            <w:r>
              <w:rPr>
                <w:color w:val="000000" w:themeColor="text1"/>
                <w:sz w:val="18"/>
                <w:lang w:val="ru-RU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20"/>
              <w:jc w:val="center"/>
              <w:rPr>
                <w:color w:val="000000" w:themeColor="text1"/>
                <w:sz w:val="1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20.</w:t>
            </w:r>
            <w:r>
              <w:rPr>
                <w:color w:val="000000" w:themeColor="text1"/>
                <w:sz w:val="18"/>
                <w:lang w:val="ru-RU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394" w:type="dxa"/>
          </w:tcPr>
          <w:p>
            <w:pPr>
              <w:pStyle w:val="20"/>
              <w:rPr>
                <w:sz w:val="18"/>
                <w:lang w:val="ru-RU"/>
              </w:rPr>
            </w:pP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color w:val="D9D9D9" w:themeColor="background1" w:themeShade="D9"/>
                <w:sz w:val="18"/>
              </w:rPr>
              <w:t>04.12.2024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color w:val="D9D9D9" w:themeColor="background1" w:themeShade="D9"/>
                <w:sz w:val="18"/>
              </w:rPr>
              <w:t>04.</w:t>
            </w:r>
            <w:r>
              <w:rPr>
                <w:color w:val="D9D9D9" w:themeColor="background1" w:themeShade="D9"/>
                <w:sz w:val="18"/>
                <w:lang w:val="ru-RU"/>
              </w:rPr>
              <w:t>1</w:t>
            </w:r>
            <w:r>
              <w:rPr>
                <w:color w:val="D9D9D9" w:themeColor="background1" w:themeShade="D9"/>
                <w:sz w:val="18"/>
              </w:rPr>
              <w:t>2.2024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394" w:type="dxa"/>
          </w:tcPr>
          <w:p>
            <w:pPr>
              <w:pStyle w:val="20"/>
              <w:rPr>
                <w:sz w:val="18"/>
                <w:lang w:val="ru-RU"/>
              </w:rPr>
            </w:pP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color w:val="D9D9D9" w:themeColor="background1" w:themeShade="D9"/>
                <w:sz w:val="18"/>
              </w:rPr>
              <w:t>18.</w:t>
            </w:r>
            <w:r>
              <w:rPr>
                <w:color w:val="D9D9D9" w:themeColor="background1" w:themeShade="D9"/>
                <w:sz w:val="18"/>
                <w:lang w:val="ru-RU"/>
              </w:rPr>
              <w:t>1</w:t>
            </w:r>
            <w:r>
              <w:rPr>
                <w:color w:val="D9D9D9" w:themeColor="background1" w:themeShade="D9"/>
                <w:sz w:val="18"/>
              </w:rPr>
              <w:t>2.2024</w:t>
            </w:r>
          </w:p>
        </w:tc>
      </w:tr>
    </w:tbl>
    <w:p>
      <w:pPr>
        <w:pStyle w:val="20"/>
        <w:jc w:val="center"/>
        <w:rPr>
          <w:lang w:val="ru-RU"/>
        </w:rPr>
      </w:pPr>
    </w:p>
    <w:p>
      <w:pPr>
        <w:pStyle w:val="20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>Пшеничников А. Д.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 xml:space="preserve"> </w:t>
      </w:r>
      <w:r>
        <w:rPr>
          <w:u w:val="single"/>
        </w:rPr>
        <w:t>P</w:t>
      </w:r>
      <w:r>
        <w:rPr>
          <w:u w:val="single"/>
          <w:lang w:val="ru-RU"/>
        </w:rPr>
        <w:t>3107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>
      <w:pPr>
        <w:pStyle w:val="20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Фамилия И.О. студента</w:t>
      </w: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не заполнять</w:t>
      </w:r>
    </w:p>
    <w:tbl>
      <w:tblPr>
        <w:tblStyle w:val="8"/>
        <w:tblW w:w="10730" w:type="dxa"/>
        <w:tblInd w:w="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738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850" w:hRule="atLeast"/>
        </w:trPr>
        <w:tc>
          <w:tcPr>
            <w:tcW w:w="9738" w:type="dxa"/>
          </w:tcPr>
          <w:p>
            <w:pPr>
              <w:pStyle w:val="77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>
            <w:pPr>
              <w:pStyle w:val="77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"https://elibrary.ru/item.asp?id=50332563"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2"/>
                <w:rFonts w:hint="default"/>
              </w:rPr>
              <w:t>https://elibrary.ru/item.asp?id=50332563</w:t>
            </w:r>
            <w:r>
              <w:rPr>
                <w:rFonts w:hint="default"/>
              </w:rPr>
              <w:fldChar w:fldCharType="end"/>
            </w:r>
          </w:p>
          <w:p>
            <w:pPr>
              <w:pStyle w:val="77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"https://clck.ru/3EgPaW"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2"/>
                <w:rFonts w:hint="default"/>
              </w:rPr>
              <w:t>https://clck.ru/3EgPaW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  <w:lang w:val="en-US"/>
              </w:rPr>
              <w:t xml:space="preserve"> </w:t>
            </w:r>
          </w:p>
        </w:tc>
        <w:tc>
          <w:tcPr>
            <w:tcW w:w="992" w:type="dxa"/>
          </w:tcPr>
          <w:p>
            <w:pPr>
              <w:widowControl/>
              <w:rPr>
                <w:b/>
                <w:bCs/>
              </w:rPr>
            </w:pPr>
            <w:r>
              <w:drawing>
                <wp:inline distT="0" distB="0" distL="114300" distR="114300">
                  <wp:extent cx="560070" cy="556260"/>
                  <wp:effectExtent l="0" t="0" r="11430" b="1524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730" w:type="dxa"/>
            <w:gridSpan w:val="2"/>
          </w:tcPr>
          <w:p>
            <w:pPr>
              <w:pStyle w:val="77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 (минимум три слова)</w:t>
            </w:r>
          </w:p>
          <w:p>
            <w:pPr>
              <w:rPr>
                <w:lang w:val="ru-RU"/>
              </w:rPr>
            </w:pPr>
            <w:r>
              <w:rPr>
                <w:rFonts w:hint="default"/>
                <w:lang w:val="ru-RU"/>
              </w:rPr>
              <w:t xml:space="preserve">офисные пакеты, </w:t>
            </w:r>
            <w:r>
              <w:rPr>
                <w:rFonts w:hint="default"/>
                <w:lang w:val="en-US"/>
              </w:rPr>
              <w:t>п</w:t>
            </w:r>
            <w:r>
              <w:rPr>
                <w:rFonts w:hint="default"/>
                <w:lang w:val="ru-RU"/>
              </w:rPr>
              <w:t>рограммные средства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rFonts w:hint="default"/>
                <w:lang w:val="ru-RU"/>
              </w:rPr>
              <w:t>импортозамещение,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Microsoft Office</w:t>
            </w:r>
          </w:p>
          <w:p>
            <w:pPr>
              <w:pStyle w:val="77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730" w:type="dxa"/>
            <w:gridSpan w:val="2"/>
          </w:tcPr>
          <w:p>
            <w:pPr>
              <w:pStyle w:val="77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четыре пункта)</w:t>
            </w:r>
          </w:p>
          <w:p>
            <w:pPr>
              <w:pStyle w:val="77"/>
              <w:numPr>
                <w:ilvl w:val="0"/>
                <w:numId w:val="2"/>
              </w:numPr>
              <w:ind w:left="381" w:hanging="381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Для простых задачь одинаково хорошо подходят все офисные пакеты</w:t>
            </w:r>
          </w:p>
          <w:p>
            <w:pPr>
              <w:pStyle w:val="77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Одни из наиболее популярных представителей офисных пакетов на Российском рынке - МойОфис и P7-Офис</w:t>
            </w:r>
          </w:p>
          <w:p>
            <w:pPr>
              <w:pStyle w:val="77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lang w:val="en-US"/>
              </w:rPr>
              <w:t>Возможности</w:t>
            </w:r>
            <w:r>
              <w:rPr>
                <w:rFonts w:hint="default"/>
                <w:lang w:val="en-US"/>
              </w:rPr>
              <w:t xml:space="preserve"> упомянутых пакетов во многом уступают импортным аналогам</w:t>
            </w:r>
          </w:p>
          <w:p>
            <w:pPr>
              <w:pStyle w:val="77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lang w:val="en-US"/>
              </w:rPr>
              <w:t>В</w:t>
            </w:r>
            <w:r>
              <w:rPr>
                <w:rFonts w:hint="default"/>
                <w:lang w:val="en-US"/>
              </w:rPr>
              <w:t xml:space="preserve"> последнее время произошёл значительный скачок вперёд в части отечественных форматиов документов, но пока всё ещё не достигнут полностью бесшовный переход со старах форматов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079" w:hRule="atLeast"/>
        </w:trPr>
        <w:tc>
          <w:tcPr>
            <w:tcW w:w="10730" w:type="dxa"/>
            <w:gridSpan w:val="2"/>
          </w:tcPr>
          <w:p>
            <w:pPr>
              <w:pStyle w:val="77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>
            <w:pPr>
              <w:pStyle w:val="77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У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представленных решений достаточно высокая совместимость с форматами Microsoft</w:t>
            </w:r>
          </w:p>
          <w:p>
            <w:pPr>
              <w:pStyle w:val="77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Предусмотрен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30-дневный пробный преиод для апробации возможностей программного обеспечения</w:t>
            </w:r>
          </w:p>
          <w:p>
            <w:pPr>
              <w:pStyle w:val="77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Возможность кооперативной работы у некоторых решений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973" w:hRule="atLeast"/>
        </w:trPr>
        <w:tc>
          <w:tcPr>
            <w:tcW w:w="10730" w:type="dxa"/>
            <w:gridSpan w:val="2"/>
          </w:tcPr>
          <w:p>
            <w:pPr>
              <w:pStyle w:val="77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>
            <w:pPr>
              <w:pStyle w:val="77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hint="default"/>
                <w:lang w:val="en-US"/>
              </w:rPr>
              <w:t>Далеко не все решения, представленные на отечественном рынке бесплатны</w:t>
            </w:r>
          </w:p>
          <w:p>
            <w:pPr>
              <w:pStyle w:val="77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en-US"/>
              </w:rPr>
              <w:t>В</w:t>
            </w:r>
            <w:r>
              <w:rPr>
                <w:rFonts w:hint="default"/>
                <w:lang w:val="en-US"/>
              </w:rPr>
              <w:t xml:space="preserve"> отечественных аналогах не всегда реализован вся функциональность пакета от Microsoft</w:t>
            </w:r>
          </w:p>
          <w:p>
            <w:pPr>
              <w:pStyle w:val="77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en-US"/>
              </w:rPr>
              <w:t>Отсутствие</w:t>
            </w:r>
            <w:r>
              <w:rPr>
                <w:rFonts w:hint="default"/>
                <w:lang w:val="en-US"/>
              </w:rPr>
              <w:t xml:space="preserve"> бесшовного перехода с импортных офисных пакетов.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042" w:hRule="atLeast"/>
        </w:trPr>
        <w:tc>
          <w:tcPr>
            <w:tcW w:w="10730" w:type="dxa"/>
            <w:gridSpan w:val="2"/>
          </w:tcPr>
          <w:p>
            <w:pPr>
              <w:pStyle w:val="77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>
            <w:pPr>
              <w:pStyle w:val="77"/>
              <w:rPr>
                <w:b/>
                <w:bCs/>
                <w:lang w:val="ru-RU"/>
              </w:rPr>
            </w:pPr>
          </w:p>
          <w:p>
            <w:pPr>
              <w:pStyle w:val="77"/>
              <w:rPr>
                <w:b/>
                <w:bCs/>
                <w:lang w:val="ru-RU"/>
              </w:rPr>
            </w:pPr>
            <w:r>
              <w:drawing>
                <wp:inline distT="0" distB="0" distL="114300" distR="114300">
                  <wp:extent cx="6741795" cy="2408555"/>
                  <wp:effectExtent l="0" t="0" r="1905" b="10795"/>
                  <wp:docPr id="2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15224" b="157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1795" cy="240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0"/>
        <w:rPr>
          <w:sz w:val="6"/>
          <w:szCs w:val="6"/>
          <w:lang w:val="ru-RU"/>
        </w:rPr>
      </w:pPr>
    </w:p>
    <w:sectPr>
      <w:pgSz w:w="11906" w:h="16838"/>
      <w:pgMar w:top="567" w:right="567" w:bottom="142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ndale Sans UI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FD575F"/>
    <w:multiLevelType w:val="singleLevel"/>
    <w:tmpl w:val="EAFD575F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  <w:b/>
        <w:bCs/>
      </w:rPr>
    </w:lvl>
  </w:abstractNum>
  <w:abstractNum w:abstractNumId="1">
    <w:nsid w:val="EFAFEAFE"/>
    <w:multiLevelType w:val="singleLevel"/>
    <w:tmpl w:val="EFAFEAF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  <w:b/>
        <w:bCs/>
      </w:rPr>
    </w:lvl>
  </w:abstractNum>
  <w:abstractNum w:abstractNumId="2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pStyle w:val="5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pStyle w:val="6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  <w:b/>
        <w:bCs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isplayBackgroundShape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02126"/>
    <w:rsid w:val="00005EED"/>
    <w:rsid w:val="00021102"/>
    <w:rsid w:val="000225DA"/>
    <w:rsid w:val="00027569"/>
    <w:rsid w:val="00047726"/>
    <w:rsid w:val="00056562"/>
    <w:rsid w:val="00063220"/>
    <w:rsid w:val="00067611"/>
    <w:rsid w:val="000710F9"/>
    <w:rsid w:val="000949B7"/>
    <w:rsid w:val="000A4623"/>
    <w:rsid w:val="001F673E"/>
    <w:rsid w:val="00202A35"/>
    <w:rsid w:val="00220F5C"/>
    <w:rsid w:val="00263AB3"/>
    <w:rsid w:val="002B5A8B"/>
    <w:rsid w:val="002E5D01"/>
    <w:rsid w:val="002F4FD3"/>
    <w:rsid w:val="0030719A"/>
    <w:rsid w:val="0038580C"/>
    <w:rsid w:val="003A2FB9"/>
    <w:rsid w:val="003C5B48"/>
    <w:rsid w:val="003E1F97"/>
    <w:rsid w:val="0040677F"/>
    <w:rsid w:val="004211A8"/>
    <w:rsid w:val="00471448"/>
    <w:rsid w:val="004A6CA7"/>
    <w:rsid w:val="004A7A56"/>
    <w:rsid w:val="0050102E"/>
    <w:rsid w:val="0051645F"/>
    <w:rsid w:val="005B0988"/>
    <w:rsid w:val="005D1D77"/>
    <w:rsid w:val="005F28EA"/>
    <w:rsid w:val="00602080"/>
    <w:rsid w:val="00616AC6"/>
    <w:rsid w:val="00663A74"/>
    <w:rsid w:val="00687863"/>
    <w:rsid w:val="006A65C4"/>
    <w:rsid w:val="00771953"/>
    <w:rsid w:val="007932EB"/>
    <w:rsid w:val="00797703"/>
    <w:rsid w:val="007D5A2A"/>
    <w:rsid w:val="00817B2B"/>
    <w:rsid w:val="00833B56"/>
    <w:rsid w:val="00837A5C"/>
    <w:rsid w:val="008B168E"/>
    <w:rsid w:val="008D0D67"/>
    <w:rsid w:val="008D4BBA"/>
    <w:rsid w:val="008E1D6B"/>
    <w:rsid w:val="008F321D"/>
    <w:rsid w:val="009111F4"/>
    <w:rsid w:val="00915967"/>
    <w:rsid w:val="009441BB"/>
    <w:rsid w:val="00977D58"/>
    <w:rsid w:val="009A062E"/>
    <w:rsid w:val="009B1E10"/>
    <w:rsid w:val="009C16CA"/>
    <w:rsid w:val="009E6EF7"/>
    <w:rsid w:val="009F6486"/>
    <w:rsid w:val="00A507BB"/>
    <w:rsid w:val="00A55F43"/>
    <w:rsid w:val="00A619DF"/>
    <w:rsid w:val="00A6628D"/>
    <w:rsid w:val="00AF0347"/>
    <w:rsid w:val="00AF2AFC"/>
    <w:rsid w:val="00AF60B4"/>
    <w:rsid w:val="00B03E76"/>
    <w:rsid w:val="00BA76DB"/>
    <w:rsid w:val="00BB1E4F"/>
    <w:rsid w:val="00BB2341"/>
    <w:rsid w:val="00BC4479"/>
    <w:rsid w:val="00C0034E"/>
    <w:rsid w:val="00C319F9"/>
    <w:rsid w:val="00C34D1C"/>
    <w:rsid w:val="00C60229"/>
    <w:rsid w:val="00C6418F"/>
    <w:rsid w:val="00C65B64"/>
    <w:rsid w:val="00C71682"/>
    <w:rsid w:val="00CF72DF"/>
    <w:rsid w:val="00D449A5"/>
    <w:rsid w:val="00D45BF1"/>
    <w:rsid w:val="00D657A6"/>
    <w:rsid w:val="00D70C3D"/>
    <w:rsid w:val="00DB3642"/>
    <w:rsid w:val="00E17C8E"/>
    <w:rsid w:val="00E35496"/>
    <w:rsid w:val="00E40D21"/>
    <w:rsid w:val="00E466AC"/>
    <w:rsid w:val="00E46CD9"/>
    <w:rsid w:val="00E505BC"/>
    <w:rsid w:val="00E552CF"/>
    <w:rsid w:val="00E63997"/>
    <w:rsid w:val="00E67661"/>
    <w:rsid w:val="00E97E00"/>
    <w:rsid w:val="00EA0C38"/>
    <w:rsid w:val="00EC143F"/>
    <w:rsid w:val="00ED34A8"/>
    <w:rsid w:val="00EE1A1E"/>
    <w:rsid w:val="00F20350"/>
    <w:rsid w:val="00F35774"/>
    <w:rsid w:val="00FC2FA9"/>
    <w:rsid w:val="00FC793B"/>
    <w:rsid w:val="00FE2081"/>
    <w:rsid w:val="4FF60142"/>
    <w:rsid w:val="5FA2F068"/>
    <w:rsid w:val="7FFB6F15"/>
    <w:rsid w:val="F9F40EE5"/>
    <w:rsid w:val="FFFF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textAlignment w:val="baseline"/>
    </w:pPr>
    <w:rPr>
      <w:rFonts w:ascii="Times New Roman" w:hAnsi="Times New Roman" w:eastAsia="Andale Sans UI" w:cs="Tahoma"/>
      <w:kern w:val="1"/>
      <w:sz w:val="24"/>
      <w:szCs w:val="24"/>
      <w:lang w:val="en-US" w:eastAsia="zh-CN" w:bidi="en-US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4">
    <w:name w:val="Body Text"/>
    <w:basedOn w:val="1"/>
    <w:qFormat/>
    <w:uiPriority w:val="0"/>
    <w:pPr>
      <w:spacing w:after="140" w:line="288" w:lineRule="auto"/>
    </w:pPr>
  </w:style>
  <w:style w:type="character" w:styleId="9">
    <w:name w:val="FollowedHyperlink"/>
    <w:unhideWhenUsed/>
    <w:qFormat/>
    <w:uiPriority w:val="99"/>
    <w:rPr>
      <w:color w:val="954F72"/>
      <w:u w:val="single"/>
    </w:rPr>
  </w:style>
  <w:style w:type="character" w:styleId="10">
    <w:name w:val="footnote reference"/>
    <w:qFormat/>
    <w:uiPriority w:val="0"/>
    <w:rPr>
      <w:vertAlign w:val="superscript"/>
    </w:rPr>
  </w:style>
  <w:style w:type="character" w:styleId="11">
    <w:name w:val="endnote reference"/>
    <w:qFormat/>
    <w:uiPriority w:val="0"/>
    <w:rPr>
      <w:vertAlign w:val="superscript"/>
    </w:rPr>
  </w:style>
  <w:style w:type="character" w:styleId="12">
    <w:name w:val="Hyperlink"/>
    <w:qFormat/>
    <w:uiPriority w:val="0"/>
    <w:rPr>
      <w:color w:val="0563C1"/>
      <w:u w:val="single"/>
    </w:rPr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rFonts w:cs="Arial Unicode MS"/>
      <w:i/>
      <w:iCs/>
    </w:rPr>
  </w:style>
  <w:style w:type="paragraph" w:styleId="14">
    <w:name w:val="footnote text"/>
    <w:basedOn w:val="1"/>
    <w:qFormat/>
    <w:uiPriority w:val="0"/>
    <w:rPr>
      <w:sz w:val="20"/>
      <w:szCs w:val="20"/>
    </w:rPr>
  </w:style>
  <w:style w:type="paragraph" w:styleId="15">
    <w:name w:val="header"/>
    <w:basedOn w:val="1"/>
    <w:link w:val="81"/>
    <w:unhideWhenUsed/>
    <w:qFormat/>
    <w:uiPriority w:val="99"/>
    <w:pPr>
      <w:tabs>
        <w:tab w:val="center" w:pos="4677"/>
        <w:tab w:val="right" w:pos="9355"/>
      </w:tabs>
    </w:pPr>
  </w:style>
  <w:style w:type="paragraph" w:styleId="16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paragraph" w:styleId="17">
    <w:name w:val="footer"/>
    <w:basedOn w:val="1"/>
    <w:link w:val="82"/>
    <w:unhideWhenUsed/>
    <w:qFormat/>
    <w:uiPriority w:val="99"/>
    <w:pPr>
      <w:tabs>
        <w:tab w:val="center" w:pos="4677"/>
        <w:tab w:val="right" w:pos="9355"/>
      </w:tabs>
    </w:pPr>
  </w:style>
  <w:style w:type="paragraph" w:styleId="18">
    <w:name w:val="List"/>
    <w:basedOn w:val="19"/>
    <w:qFormat/>
    <w:uiPriority w:val="0"/>
  </w:style>
  <w:style w:type="paragraph" w:customStyle="1" w:styleId="19">
    <w:name w:val="Text body"/>
    <w:basedOn w:val="20"/>
    <w:qFormat/>
    <w:uiPriority w:val="0"/>
    <w:pPr>
      <w:spacing w:after="120"/>
    </w:pPr>
  </w:style>
  <w:style w:type="paragraph" w:customStyle="1" w:styleId="20">
    <w:name w:val="Standard"/>
    <w:qFormat/>
    <w:uiPriority w:val="0"/>
    <w:pPr>
      <w:widowControl w:val="0"/>
      <w:suppressAutoHyphens/>
      <w:textAlignment w:val="baseline"/>
    </w:pPr>
    <w:rPr>
      <w:rFonts w:ascii="Times New Roman" w:hAnsi="Times New Roman" w:eastAsia="Andale Sans UI" w:cs="Tahoma"/>
      <w:kern w:val="1"/>
      <w:sz w:val="24"/>
      <w:szCs w:val="24"/>
      <w:lang w:val="en-US" w:eastAsia="zh-CN" w:bidi="en-US"/>
    </w:rPr>
  </w:style>
  <w:style w:type="paragraph" w:styleId="21">
    <w:name w:val="Normal (Web)"/>
    <w:basedOn w:val="1"/>
    <w:qFormat/>
    <w:uiPriority w:val="0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styleId="22">
    <w:name w:val="Subtitle"/>
    <w:basedOn w:val="3"/>
    <w:next w:val="4"/>
    <w:qFormat/>
    <w:uiPriority w:val="0"/>
    <w:pPr>
      <w:spacing w:before="60"/>
      <w:jc w:val="center"/>
    </w:pPr>
    <w:rPr>
      <w:sz w:val="36"/>
      <w:szCs w:val="36"/>
    </w:rPr>
  </w:style>
  <w:style w:type="table" w:styleId="23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WW8Num1z0"/>
    <w:qFormat/>
    <w:uiPriority w:val="0"/>
  </w:style>
  <w:style w:type="character" w:customStyle="1" w:styleId="25">
    <w:name w:val="WW8Num1z1"/>
    <w:qFormat/>
    <w:uiPriority w:val="0"/>
  </w:style>
  <w:style w:type="character" w:customStyle="1" w:styleId="26">
    <w:name w:val="WW8Num1z2"/>
    <w:qFormat/>
    <w:uiPriority w:val="0"/>
  </w:style>
  <w:style w:type="character" w:customStyle="1" w:styleId="27">
    <w:name w:val="WW8Num1z3"/>
    <w:qFormat/>
    <w:uiPriority w:val="0"/>
  </w:style>
  <w:style w:type="character" w:customStyle="1" w:styleId="28">
    <w:name w:val="WW8Num1z4"/>
    <w:qFormat/>
    <w:uiPriority w:val="0"/>
  </w:style>
  <w:style w:type="character" w:customStyle="1" w:styleId="29">
    <w:name w:val="WW8Num1z5"/>
    <w:qFormat/>
    <w:uiPriority w:val="0"/>
  </w:style>
  <w:style w:type="character" w:customStyle="1" w:styleId="30">
    <w:name w:val="WW8Num1z6"/>
    <w:qFormat/>
    <w:uiPriority w:val="0"/>
  </w:style>
  <w:style w:type="character" w:customStyle="1" w:styleId="31">
    <w:name w:val="WW8Num1z7"/>
    <w:qFormat/>
    <w:uiPriority w:val="0"/>
  </w:style>
  <w:style w:type="character" w:customStyle="1" w:styleId="32">
    <w:name w:val="WW8Num1z8"/>
    <w:qFormat/>
    <w:uiPriority w:val="0"/>
  </w:style>
  <w:style w:type="character" w:customStyle="1" w:styleId="33">
    <w:name w:val="WW8Num2z0"/>
    <w:qFormat/>
    <w:uiPriority w:val="0"/>
  </w:style>
  <w:style w:type="character" w:customStyle="1" w:styleId="34">
    <w:name w:val="WW8Num2z1"/>
    <w:qFormat/>
    <w:uiPriority w:val="0"/>
  </w:style>
  <w:style w:type="character" w:customStyle="1" w:styleId="35">
    <w:name w:val="WW8Num2z2"/>
    <w:qFormat/>
    <w:uiPriority w:val="0"/>
  </w:style>
  <w:style w:type="character" w:customStyle="1" w:styleId="36">
    <w:name w:val="WW8Num2z3"/>
    <w:qFormat/>
    <w:uiPriority w:val="0"/>
  </w:style>
  <w:style w:type="character" w:customStyle="1" w:styleId="37">
    <w:name w:val="WW8Num2z4"/>
    <w:uiPriority w:val="0"/>
  </w:style>
  <w:style w:type="character" w:customStyle="1" w:styleId="38">
    <w:name w:val="WW8Num2z5"/>
    <w:qFormat/>
    <w:uiPriority w:val="0"/>
  </w:style>
  <w:style w:type="character" w:customStyle="1" w:styleId="39">
    <w:name w:val="WW8Num2z6"/>
    <w:qFormat/>
    <w:uiPriority w:val="0"/>
  </w:style>
  <w:style w:type="character" w:customStyle="1" w:styleId="40">
    <w:name w:val="WW8Num2z7"/>
    <w:qFormat/>
    <w:uiPriority w:val="0"/>
  </w:style>
  <w:style w:type="character" w:customStyle="1" w:styleId="41">
    <w:name w:val="WW8Num2z8"/>
    <w:qFormat/>
    <w:uiPriority w:val="0"/>
  </w:style>
  <w:style w:type="character" w:customStyle="1" w:styleId="42">
    <w:name w:val="WW8Num3z0"/>
    <w:qFormat/>
    <w:uiPriority w:val="0"/>
  </w:style>
  <w:style w:type="character" w:customStyle="1" w:styleId="43">
    <w:name w:val="WW8Num3z1"/>
    <w:uiPriority w:val="0"/>
  </w:style>
  <w:style w:type="character" w:customStyle="1" w:styleId="44">
    <w:name w:val="WW8Num3z2"/>
    <w:uiPriority w:val="0"/>
  </w:style>
  <w:style w:type="character" w:customStyle="1" w:styleId="45">
    <w:name w:val="WW8Num3z3"/>
    <w:qFormat/>
    <w:uiPriority w:val="0"/>
  </w:style>
  <w:style w:type="character" w:customStyle="1" w:styleId="46">
    <w:name w:val="WW8Num3z4"/>
    <w:qFormat/>
    <w:uiPriority w:val="0"/>
  </w:style>
  <w:style w:type="character" w:customStyle="1" w:styleId="47">
    <w:name w:val="WW8Num3z5"/>
    <w:qFormat/>
    <w:uiPriority w:val="0"/>
  </w:style>
  <w:style w:type="character" w:customStyle="1" w:styleId="48">
    <w:name w:val="WW8Num3z6"/>
    <w:qFormat/>
    <w:uiPriority w:val="0"/>
  </w:style>
  <w:style w:type="character" w:customStyle="1" w:styleId="49">
    <w:name w:val="WW8Num3z7"/>
    <w:qFormat/>
    <w:uiPriority w:val="0"/>
  </w:style>
  <w:style w:type="character" w:customStyle="1" w:styleId="50">
    <w:name w:val="WW8Num3z8"/>
    <w:qFormat/>
    <w:uiPriority w:val="0"/>
  </w:style>
  <w:style w:type="character" w:customStyle="1" w:styleId="51">
    <w:name w:val="WW8Num4z0"/>
    <w:qFormat/>
    <w:uiPriority w:val="0"/>
  </w:style>
  <w:style w:type="character" w:customStyle="1" w:styleId="52">
    <w:name w:val="WW8Num4z1"/>
    <w:qFormat/>
    <w:uiPriority w:val="0"/>
  </w:style>
  <w:style w:type="character" w:customStyle="1" w:styleId="53">
    <w:name w:val="WW8Num4z2"/>
    <w:qFormat/>
    <w:uiPriority w:val="0"/>
  </w:style>
  <w:style w:type="character" w:customStyle="1" w:styleId="54">
    <w:name w:val="WW8Num4z3"/>
    <w:qFormat/>
    <w:uiPriority w:val="0"/>
  </w:style>
  <w:style w:type="character" w:customStyle="1" w:styleId="55">
    <w:name w:val="WW8Num4z4"/>
    <w:qFormat/>
    <w:uiPriority w:val="0"/>
  </w:style>
  <w:style w:type="character" w:customStyle="1" w:styleId="56">
    <w:name w:val="WW8Num4z5"/>
    <w:qFormat/>
    <w:uiPriority w:val="0"/>
  </w:style>
  <w:style w:type="character" w:customStyle="1" w:styleId="57">
    <w:name w:val="WW8Num4z6"/>
    <w:qFormat/>
    <w:uiPriority w:val="0"/>
  </w:style>
  <w:style w:type="character" w:customStyle="1" w:styleId="58">
    <w:name w:val="WW8Num4z7"/>
    <w:uiPriority w:val="0"/>
  </w:style>
  <w:style w:type="character" w:customStyle="1" w:styleId="59">
    <w:name w:val="WW8Num4z8"/>
    <w:uiPriority w:val="0"/>
  </w:style>
  <w:style w:type="character" w:customStyle="1" w:styleId="60">
    <w:name w:val="WW8Num5z0"/>
    <w:qFormat/>
    <w:uiPriority w:val="0"/>
  </w:style>
  <w:style w:type="character" w:customStyle="1" w:styleId="61">
    <w:name w:val="WW8Num5z1"/>
    <w:uiPriority w:val="0"/>
  </w:style>
  <w:style w:type="character" w:customStyle="1" w:styleId="62">
    <w:name w:val="WW8Num5z2"/>
    <w:qFormat/>
    <w:uiPriority w:val="0"/>
  </w:style>
  <w:style w:type="character" w:customStyle="1" w:styleId="63">
    <w:name w:val="WW8Num5z3"/>
    <w:uiPriority w:val="0"/>
  </w:style>
  <w:style w:type="character" w:customStyle="1" w:styleId="64">
    <w:name w:val="WW8Num5z4"/>
    <w:qFormat/>
    <w:uiPriority w:val="0"/>
  </w:style>
  <w:style w:type="character" w:customStyle="1" w:styleId="65">
    <w:name w:val="WW8Num5z5"/>
    <w:qFormat/>
    <w:uiPriority w:val="0"/>
  </w:style>
  <w:style w:type="character" w:customStyle="1" w:styleId="66">
    <w:name w:val="WW8Num5z6"/>
    <w:uiPriority w:val="0"/>
  </w:style>
  <w:style w:type="character" w:customStyle="1" w:styleId="67">
    <w:name w:val="WW8Num5z7"/>
    <w:qFormat/>
    <w:uiPriority w:val="0"/>
  </w:style>
  <w:style w:type="character" w:customStyle="1" w:styleId="68">
    <w:name w:val="WW8Num5z8"/>
    <w:qFormat/>
    <w:uiPriority w:val="0"/>
  </w:style>
  <w:style w:type="character" w:customStyle="1" w:styleId="69">
    <w:name w:val="Основной шрифт абзаца1"/>
    <w:qFormat/>
    <w:uiPriority w:val="0"/>
  </w:style>
  <w:style w:type="character" w:customStyle="1" w:styleId="70">
    <w:name w:val="Текст сноски Знак"/>
    <w:qFormat/>
    <w:uiPriority w:val="0"/>
    <w:rPr>
      <w:kern w:val="1"/>
      <w:lang w:val="en-US" w:bidi="en-US"/>
    </w:rPr>
  </w:style>
  <w:style w:type="character" w:customStyle="1" w:styleId="71">
    <w:name w:val="Символ сноски"/>
    <w:qFormat/>
    <w:uiPriority w:val="0"/>
    <w:rPr>
      <w:vertAlign w:val="superscript"/>
    </w:rPr>
  </w:style>
  <w:style w:type="character" w:customStyle="1" w:styleId="72">
    <w:name w:val="Символы концевой сноски"/>
    <w:qFormat/>
    <w:uiPriority w:val="0"/>
  </w:style>
  <w:style w:type="paragraph" w:customStyle="1" w:styleId="73">
    <w:name w:val="Указатель1"/>
    <w:basedOn w:val="1"/>
    <w:qFormat/>
    <w:uiPriority w:val="0"/>
    <w:pPr>
      <w:suppressLineNumbers/>
    </w:pPr>
    <w:rPr>
      <w:rFonts w:cs="Arial Unicode MS"/>
    </w:rPr>
  </w:style>
  <w:style w:type="paragraph" w:customStyle="1" w:styleId="74">
    <w:name w:val="Heading"/>
    <w:basedOn w:val="20"/>
    <w:next w:val="19"/>
    <w:uiPriority w:val="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75">
    <w:name w:val="Название объекта1"/>
    <w:basedOn w:val="20"/>
    <w:uiPriority w:val="0"/>
    <w:pPr>
      <w:suppressLineNumbers/>
      <w:spacing w:before="120" w:after="120"/>
    </w:pPr>
    <w:rPr>
      <w:i/>
      <w:iCs/>
    </w:rPr>
  </w:style>
  <w:style w:type="paragraph" w:customStyle="1" w:styleId="76">
    <w:name w:val="Index"/>
    <w:basedOn w:val="20"/>
    <w:uiPriority w:val="0"/>
    <w:pPr>
      <w:suppressLineNumbers/>
    </w:pPr>
  </w:style>
  <w:style w:type="paragraph" w:customStyle="1" w:styleId="77">
    <w:name w:val="Table Contents"/>
    <w:basedOn w:val="20"/>
    <w:uiPriority w:val="0"/>
    <w:pPr>
      <w:suppressLineNumbers/>
    </w:pPr>
  </w:style>
  <w:style w:type="paragraph" w:customStyle="1" w:styleId="78">
    <w:name w:val="Содержимое таблицы"/>
    <w:basedOn w:val="1"/>
    <w:qFormat/>
    <w:uiPriority w:val="0"/>
    <w:pPr>
      <w:suppressLineNumbers/>
    </w:pPr>
  </w:style>
  <w:style w:type="paragraph" w:customStyle="1" w:styleId="79">
    <w:name w:val="Заголовок таблицы"/>
    <w:basedOn w:val="78"/>
    <w:uiPriority w:val="0"/>
    <w:pPr>
      <w:jc w:val="center"/>
    </w:pPr>
    <w:rPr>
      <w:b/>
      <w:bCs/>
    </w:rPr>
  </w:style>
  <w:style w:type="paragraph" w:customStyle="1" w:styleId="80">
    <w:name w:val="Блочная цитата"/>
    <w:basedOn w:val="1"/>
    <w:uiPriority w:val="0"/>
    <w:pPr>
      <w:spacing w:after="283"/>
      <w:ind w:left="567" w:right="567"/>
    </w:pPr>
  </w:style>
  <w:style w:type="character" w:customStyle="1" w:styleId="81">
    <w:name w:val="Верхний колонтитул Знак"/>
    <w:basedOn w:val="7"/>
    <w:link w:val="15"/>
    <w:uiPriority w:val="99"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82">
    <w:name w:val="Нижний колонтитул Знак"/>
    <w:basedOn w:val="7"/>
    <w:link w:val="17"/>
    <w:uiPriority w:val="99"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83">
    <w:name w:val="Неразрешенное упоминание1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406</Words>
  <Characters>2319</Characters>
  <Lines>19</Lines>
  <Paragraphs>5</Paragraphs>
  <TotalTime>13</TotalTime>
  <ScaleCrop>false</ScaleCrop>
  <LinksUpToDate>false</LinksUpToDate>
  <CharactersWithSpaces>2720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2024-10-25T20:11:00Z</dcterms:created>
  <dc:creator>Vladimir Sosnin</dc:creator>
  <cp:lastModifiedBy>roflex</cp:lastModifiedBy>
  <dcterms:modified xsi:type="dcterms:W3CDTF">2024-11-18T19:18:15Z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1049-11.1.0.11723</vt:lpwstr>
  </property>
</Properties>
</file>