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20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20"/>
        <w:jc w:val="center"/>
        <w:rPr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149"/>
        <w:gridCol w:w="5394"/>
        <w:gridCol w:w="1145"/>
        <w:gridCol w:w="931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394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" w:hRule="atLeast"/>
        </w:trPr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>
            <w:pPr>
              <w:pStyle w:val="20"/>
              <w:jc w:val="center"/>
              <w:rPr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>
              <w:rPr>
                <w:sz w:val="17"/>
                <w:szCs w:val="17"/>
              </w:rPr>
              <w:t>MP</w:t>
            </w:r>
            <w:r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94" w:type="dxa"/>
          </w:tcPr>
          <w:p>
            <w:pPr>
              <w:pStyle w:val="20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Анализ языка гипертекстовой разметки html как инструмента для фронтенд-разработки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02.04.2023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~899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06.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06.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394" w:type="dxa"/>
          </w:tcPr>
          <w:p>
            <w:pPr>
              <w:pStyle w:val="2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06.03.2023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~1136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  <w:r>
              <w:rPr>
                <w:rFonts w:hint="default"/>
                <w:sz w:val="18"/>
                <w:lang w:val="ru-RU"/>
              </w:rPr>
              <w:t>Использование издательской системы latex</w:t>
            </w:r>
            <w:r>
              <w:rPr>
                <w:rFonts w:hint="default"/>
                <w:sz w:val="18"/>
                <w:lang w:val="en-US"/>
              </w:rPr>
              <w:t xml:space="preserve"> д</w:t>
            </w:r>
            <w:r>
              <w:rPr>
                <w:rFonts w:hint="default"/>
                <w:sz w:val="18"/>
                <w:lang w:val="ru-RU"/>
              </w:rPr>
              <w:t>ля оформления диссертаций</w:t>
            </w:r>
          </w:p>
        </w:tc>
        <w:tc>
          <w:tcPr>
            <w:tcW w:w="1145" w:type="dxa"/>
            <w:vAlign w:val="top"/>
          </w:tcPr>
          <w:p>
            <w:pPr>
              <w:pStyle w:val="20"/>
              <w:jc w:val="center"/>
              <w:rPr>
                <w:rFonts w:ascii="Times New Roman" w:hAnsi="Times New Roman" w:eastAsia="Andale Sans UI" w:cs="Tahoma"/>
                <w:kern w:val="1"/>
                <w:sz w:val="18"/>
                <w:szCs w:val="24"/>
                <w:lang w:val="ru-RU" w:eastAsia="zh-CN" w:bidi="en-US"/>
              </w:rPr>
            </w:pPr>
            <w:r>
              <w:rPr>
                <w:sz w:val="18"/>
                <w:szCs w:val="18"/>
              </w:rPr>
              <w:t>20.09.2022</w:t>
            </w:r>
          </w:p>
        </w:tc>
        <w:tc>
          <w:tcPr>
            <w:tcW w:w="931" w:type="dxa"/>
            <w:vAlign w:val="top"/>
          </w:tcPr>
          <w:p>
            <w:pPr>
              <w:pStyle w:val="20"/>
              <w:jc w:val="center"/>
              <w:rPr>
                <w:rFonts w:ascii="Times New Roman" w:hAnsi="Times New Roman" w:eastAsia="Andale Sans UI" w:cs="Tahoma"/>
                <w:kern w:val="1"/>
                <w:sz w:val="18"/>
                <w:szCs w:val="24"/>
                <w:lang w:val="ru-RU" w:eastAsia="zh-CN" w:bidi="en-US"/>
              </w:rPr>
            </w:pPr>
            <w:r>
              <w:rPr>
                <w:sz w:val="18"/>
              </w:rPr>
              <w:t>~3800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04.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394" w:type="dxa"/>
          </w:tcPr>
          <w:p>
            <w:pPr>
              <w:pStyle w:val="2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Разработка системы проверки совместимости лицензий ПО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sz w:val="18"/>
                <w:lang w:val="ru-RU"/>
              </w:rPr>
              <w:t>27.05.2021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sz w:val="18"/>
                <w:lang w:val="ru-RU"/>
              </w:rPr>
              <w:t>~6200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auto"/>
                <w:sz w:val="18"/>
                <w:lang w:val="ru-RU"/>
              </w:rPr>
            </w:pPr>
            <w:r>
              <w:rPr>
                <w:color w:val="auto"/>
                <w:sz w:val="18"/>
              </w:rPr>
              <w:t>18.</w:t>
            </w:r>
            <w:r>
              <w:rPr>
                <w:color w:val="auto"/>
                <w:sz w:val="18"/>
                <w:lang w:val="ru-RU"/>
              </w:rPr>
              <w:t>1</w:t>
            </w:r>
            <w:r>
              <w:rPr>
                <w:color w:val="auto"/>
                <w:sz w:val="18"/>
              </w:rPr>
              <w:t>2.2024</w:t>
            </w:r>
          </w:p>
        </w:tc>
      </w:tr>
    </w:tbl>
    <w:p>
      <w:pPr>
        <w:pStyle w:val="20"/>
        <w:jc w:val="center"/>
        <w:rPr>
          <w:lang w:val="ru-RU"/>
        </w:rPr>
      </w:pPr>
    </w:p>
    <w:p>
      <w:pPr>
        <w:pStyle w:val="20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 xml:space="preserve"> </w:t>
      </w:r>
      <w:r>
        <w:rPr>
          <w:u w:val="single"/>
        </w:rPr>
        <w:t>P</w:t>
      </w:r>
      <w:r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20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tbl>
      <w:tblPr>
        <w:tblStyle w:val="8"/>
        <w:tblW w:w="10730" w:type="dxa"/>
        <w:tblInd w:w="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3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atLeast"/>
        </w:trPr>
        <w:tc>
          <w:tcPr>
            <w:tcW w:w="9738" w:type="dxa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77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en-US"/>
              </w:rPr>
              <w:instrText xml:space="preserve"> HYPERLINK "https://dspace.spbu.ru/bitstream/11701/32495/1/Pogrebnoy_report.pdf" </w:instrTex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12"/>
                <w:rFonts w:hint="default"/>
                <w:sz w:val="22"/>
                <w:szCs w:val="22"/>
                <w:lang w:val="en-US"/>
              </w:rPr>
              <w:t>https://dspace.spbu.ru/bitstream/11701/32495/1/Pogrebnoy_report.pdf</w:t>
            </w:r>
            <w:r>
              <w:rPr>
                <w:rFonts w:hint="default"/>
                <w:sz w:val="22"/>
                <w:szCs w:val="22"/>
                <w:lang w:val="en-US"/>
              </w:rPr>
              <w:fldChar w:fldCharType="end"/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8165" cy="568325"/>
                  <wp:effectExtent l="0" t="0" r="13335" b="3175"/>
                  <wp:docPr id="1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089" t="6329" r="7722" b="6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" cy="56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>
            <w:pPr>
              <w:pStyle w:val="77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программное обеспечение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lang w:val="ru-RU"/>
              </w:rPr>
              <w:t>Open Source, совместимость лицензий</w:t>
            </w:r>
            <w:r>
              <w:rPr>
                <w:rFonts w:hint="default"/>
                <w:lang w:val="en-US"/>
              </w:rPr>
              <w:t>, лицензирование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30" w:type="dxa"/>
            <w:gridSpan w:val="2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Существует более 450 различный видов лиценций на программное обеспечание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sz w:val="23"/>
                <w:szCs w:val="23"/>
                <w:lang w:val="ru-RU"/>
              </w:rPr>
            </w:pPr>
            <w:r>
              <w:rPr>
                <w:rFonts w:hint="default"/>
                <w:sz w:val="23"/>
                <w:szCs w:val="23"/>
                <w:lang w:val="en-US"/>
              </w:rPr>
              <w:t>Для продвижения идей open source разработки в 1998 году была создана Open Source Initiative (OSI)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/>
                <w:lang w:val="en-US"/>
              </w:rPr>
              <w:t>Разрешительные лицензии позволяют модифицировать и распространять код под другой лицензией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/>
                <w:lang w:val="en-US"/>
              </w:rPr>
              <w:t>Проприетарные лицензии дают монопольные права на использование, копирование и модификацию кода для разработчка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Благодаря автоматизации проверки лицензий можно значительно сэкономить время и снизить вероятность ошибок при использовании стороннего кода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Интеграция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средств работы с лицензиями в IDE ускоряет разработку, позволяя работать в привычной среде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Широкие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возможности взаимодействия с плагоном посредством встроенного 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hint="default"/>
                <w:lang w:val="en-US"/>
              </w:rPr>
              <w:t>Описанный плагин не поддерживает более 16 лицензий, что может затруднить разработку проектов, использующих нераспространённые лицензии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en-US"/>
              </w:rPr>
              <w:t>Определяемые</w:t>
            </w:r>
            <w:r>
              <w:rPr>
                <w:rFonts w:hint="default"/>
                <w:lang w:val="en-US"/>
              </w:rPr>
              <w:t xml:space="preserve"> наружения лицензии требуют ручной проверки, так как могут быть ложными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en-US"/>
              </w:rPr>
              <w:t>Модифицированные</w:t>
            </w:r>
            <w:r>
              <w:rPr>
                <w:rFonts w:hint="default"/>
                <w:lang w:val="en-US"/>
              </w:rPr>
              <w:t xml:space="preserve"> лицензии не всегда определяются с первого раза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42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>
            <w:pPr>
              <w:pStyle w:val="77"/>
              <w:rPr>
                <w:rFonts w:hint="default"/>
                <w:b/>
                <w:bCs/>
                <w:lang w:val="en-US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4594225</wp:posOffset>
                  </wp:positionH>
                  <wp:positionV relativeFrom="paragraph">
                    <wp:posOffset>145415</wp:posOffset>
                  </wp:positionV>
                  <wp:extent cx="1796415" cy="1835150"/>
                  <wp:effectExtent l="0" t="0" r="13335" b="12700"/>
                  <wp:wrapSquare wrapText="bothSides"/>
                  <wp:docPr id="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7"/>
              <w:rPr>
                <w:b/>
                <w:bCs/>
                <w:lang w:val="ru-RU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2553335</wp:posOffset>
                  </wp:positionH>
                  <wp:positionV relativeFrom="paragraph">
                    <wp:posOffset>62230</wp:posOffset>
                  </wp:positionV>
                  <wp:extent cx="2230755" cy="1741170"/>
                  <wp:effectExtent l="0" t="0" r="17145" b="11430"/>
                  <wp:wrapSquare wrapText="bothSides"/>
                  <wp:docPr id="4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2809875" cy="1951355"/>
                  <wp:effectExtent l="0" t="0" r="9525" b="10795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95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0"/>
        <w:rPr>
          <w:sz w:val="6"/>
          <w:szCs w:val="6"/>
          <w:lang w:val="ru-RU"/>
        </w:rPr>
      </w:pPr>
      <w:bookmarkStart w:id="0" w:name="_GoBack"/>
      <w:bookmarkEnd w:id="0"/>
    </w:p>
    <w:sectPr>
      <w:pgSz w:w="11906" w:h="16838"/>
      <w:pgMar w:top="567" w:right="567" w:bottom="142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D575F"/>
    <w:multiLevelType w:val="singleLevel"/>
    <w:tmpl w:val="EAFD575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1">
    <w:nsid w:val="EFAFEAFE"/>
    <w:multiLevelType w:val="singleLevel"/>
    <w:tmpl w:val="EFAFEAF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02126"/>
    <w:rsid w:val="00005EED"/>
    <w:rsid w:val="00021102"/>
    <w:rsid w:val="000225DA"/>
    <w:rsid w:val="00027569"/>
    <w:rsid w:val="00047726"/>
    <w:rsid w:val="00056562"/>
    <w:rsid w:val="00063220"/>
    <w:rsid w:val="00067611"/>
    <w:rsid w:val="000710F9"/>
    <w:rsid w:val="000949B7"/>
    <w:rsid w:val="000A4623"/>
    <w:rsid w:val="001F673E"/>
    <w:rsid w:val="00202A35"/>
    <w:rsid w:val="00220F5C"/>
    <w:rsid w:val="00263AB3"/>
    <w:rsid w:val="002B5A8B"/>
    <w:rsid w:val="002E5D01"/>
    <w:rsid w:val="002F4FD3"/>
    <w:rsid w:val="0030719A"/>
    <w:rsid w:val="0038580C"/>
    <w:rsid w:val="003A2FB9"/>
    <w:rsid w:val="003C5B48"/>
    <w:rsid w:val="003E1F97"/>
    <w:rsid w:val="0040677F"/>
    <w:rsid w:val="004211A8"/>
    <w:rsid w:val="00471448"/>
    <w:rsid w:val="004A6CA7"/>
    <w:rsid w:val="004A7A56"/>
    <w:rsid w:val="0050102E"/>
    <w:rsid w:val="0051645F"/>
    <w:rsid w:val="005B0988"/>
    <w:rsid w:val="005D1D77"/>
    <w:rsid w:val="005F28EA"/>
    <w:rsid w:val="00602080"/>
    <w:rsid w:val="00616AC6"/>
    <w:rsid w:val="00663A74"/>
    <w:rsid w:val="00687863"/>
    <w:rsid w:val="006A65C4"/>
    <w:rsid w:val="00771953"/>
    <w:rsid w:val="007932EB"/>
    <w:rsid w:val="00797703"/>
    <w:rsid w:val="007D5A2A"/>
    <w:rsid w:val="00817B2B"/>
    <w:rsid w:val="00833B56"/>
    <w:rsid w:val="00837A5C"/>
    <w:rsid w:val="008B168E"/>
    <w:rsid w:val="008D0D67"/>
    <w:rsid w:val="008D4BBA"/>
    <w:rsid w:val="008E1D6B"/>
    <w:rsid w:val="008F321D"/>
    <w:rsid w:val="009111F4"/>
    <w:rsid w:val="00915967"/>
    <w:rsid w:val="009441BB"/>
    <w:rsid w:val="00977D58"/>
    <w:rsid w:val="009A062E"/>
    <w:rsid w:val="009B1E10"/>
    <w:rsid w:val="009C16CA"/>
    <w:rsid w:val="009E6EF7"/>
    <w:rsid w:val="009F6486"/>
    <w:rsid w:val="00A507BB"/>
    <w:rsid w:val="00A55F43"/>
    <w:rsid w:val="00A619DF"/>
    <w:rsid w:val="00A6628D"/>
    <w:rsid w:val="00AF0347"/>
    <w:rsid w:val="00AF2AFC"/>
    <w:rsid w:val="00AF60B4"/>
    <w:rsid w:val="00B03E76"/>
    <w:rsid w:val="00BA76DB"/>
    <w:rsid w:val="00BB1E4F"/>
    <w:rsid w:val="00BB2341"/>
    <w:rsid w:val="00BC4479"/>
    <w:rsid w:val="00C0034E"/>
    <w:rsid w:val="00C319F9"/>
    <w:rsid w:val="00C34D1C"/>
    <w:rsid w:val="00C60229"/>
    <w:rsid w:val="00C6418F"/>
    <w:rsid w:val="00C65B64"/>
    <w:rsid w:val="00C71682"/>
    <w:rsid w:val="00CF72DF"/>
    <w:rsid w:val="00D449A5"/>
    <w:rsid w:val="00D45BF1"/>
    <w:rsid w:val="00D657A6"/>
    <w:rsid w:val="00D70C3D"/>
    <w:rsid w:val="00DB3642"/>
    <w:rsid w:val="00E17C8E"/>
    <w:rsid w:val="00E35496"/>
    <w:rsid w:val="00E40D21"/>
    <w:rsid w:val="00E466AC"/>
    <w:rsid w:val="00E46CD9"/>
    <w:rsid w:val="00E505BC"/>
    <w:rsid w:val="00E552CF"/>
    <w:rsid w:val="00E63997"/>
    <w:rsid w:val="00E67661"/>
    <w:rsid w:val="00E97E00"/>
    <w:rsid w:val="00EA0C38"/>
    <w:rsid w:val="00EC143F"/>
    <w:rsid w:val="00ED34A8"/>
    <w:rsid w:val="00EE1A1E"/>
    <w:rsid w:val="00F20350"/>
    <w:rsid w:val="00F35774"/>
    <w:rsid w:val="00FC2FA9"/>
    <w:rsid w:val="00FC793B"/>
    <w:rsid w:val="00FE2081"/>
    <w:rsid w:val="0A6E3254"/>
    <w:rsid w:val="4FF60142"/>
    <w:rsid w:val="5FA2F068"/>
    <w:rsid w:val="74FF592C"/>
    <w:rsid w:val="7FFB6F15"/>
    <w:rsid w:val="DFDB1F01"/>
    <w:rsid w:val="F3EB0A26"/>
    <w:rsid w:val="F63FB8AF"/>
    <w:rsid w:val="F9F40EE5"/>
    <w:rsid w:val="FF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character" w:styleId="9">
    <w:name w:val="FollowedHyperlink"/>
    <w:unhideWhenUsed/>
    <w:qFormat/>
    <w:uiPriority w:val="99"/>
    <w:rPr>
      <w:color w:val="954F72"/>
      <w:u w:val="single"/>
    </w:rPr>
  </w:style>
  <w:style w:type="character" w:styleId="10">
    <w:name w:val="footnote reference"/>
    <w:qFormat/>
    <w:uiPriority w:val="0"/>
    <w:rPr>
      <w:vertAlign w:val="superscript"/>
    </w:rPr>
  </w:style>
  <w:style w:type="character" w:styleId="11">
    <w:name w:val="endnote reference"/>
    <w:qFormat/>
    <w:uiPriority w:val="0"/>
    <w:rPr>
      <w:vertAlign w:val="superscript"/>
    </w:rPr>
  </w:style>
  <w:style w:type="character" w:styleId="12">
    <w:name w:val="Hyperlink"/>
    <w:qFormat/>
    <w:uiPriority w:val="0"/>
    <w:rPr>
      <w:color w:val="0563C1"/>
      <w:u w:val="single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</w:rPr>
  </w:style>
  <w:style w:type="paragraph" w:styleId="14">
    <w:name w:val="footnote text"/>
    <w:basedOn w:val="1"/>
    <w:qFormat/>
    <w:uiPriority w:val="0"/>
    <w:rPr>
      <w:sz w:val="20"/>
      <w:szCs w:val="20"/>
    </w:rPr>
  </w:style>
  <w:style w:type="paragraph" w:styleId="15">
    <w:name w:val="header"/>
    <w:basedOn w:val="1"/>
    <w:link w:val="81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17">
    <w:name w:val="footer"/>
    <w:basedOn w:val="1"/>
    <w:link w:val="82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19"/>
    <w:qFormat/>
    <w:uiPriority w:val="0"/>
  </w:style>
  <w:style w:type="paragraph" w:customStyle="1" w:styleId="19">
    <w:name w:val="Text body"/>
    <w:basedOn w:val="20"/>
    <w:qFormat/>
    <w:uiPriority w:val="0"/>
    <w:pPr>
      <w:spacing w:after="120"/>
    </w:pPr>
  </w:style>
  <w:style w:type="paragraph" w:customStyle="1" w:styleId="20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1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22">
    <w:name w:val="Subtitle"/>
    <w:basedOn w:val="3"/>
    <w:next w:val="4"/>
    <w:qFormat/>
    <w:uiPriority w:val="0"/>
    <w:pPr>
      <w:spacing w:before="60"/>
      <w:jc w:val="center"/>
    </w:pPr>
    <w:rPr>
      <w:sz w:val="36"/>
      <w:szCs w:val="36"/>
    </w:rPr>
  </w:style>
  <w:style w:type="table" w:styleId="23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</w:style>
  <w:style w:type="character" w:customStyle="1" w:styleId="34">
    <w:name w:val="WW8Num2z1"/>
    <w:qFormat/>
    <w:uiPriority w:val="0"/>
  </w:style>
  <w:style w:type="character" w:customStyle="1" w:styleId="35">
    <w:name w:val="WW8Num2z2"/>
    <w:qFormat/>
    <w:uiPriority w:val="0"/>
  </w:style>
  <w:style w:type="character" w:customStyle="1" w:styleId="36">
    <w:name w:val="WW8Num2z3"/>
    <w:qFormat/>
    <w:uiPriority w:val="0"/>
  </w:style>
  <w:style w:type="character" w:customStyle="1" w:styleId="37">
    <w:name w:val="WW8Num2z4"/>
    <w:qFormat/>
    <w:uiPriority w:val="0"/>
  </w:style>
  <w:style w:type="character" w:customStyle="1" w:styleId="38">
    <w:name w:val="WW8Num2z5"/>
    <w:qFormat/>
    <w:uiPriority w:val="0"/>
  </w:style>
  <w:style w:type="character" w:customStyle="1" w:styleId="39">
    <w:name w:val="WW8Num2z6"/>
    <w:qFormat/>
    <w:uiPriority w:val="0"/>
  </w:style>
  <w:style w:type="character" w:customStyle="1" w:styleId="40">
    <w:name w:val="WW8Num2z7"/>
    <w:qFormat/>
    <w:uiPriority w:val="0"/>
  </w:style>
  <w:style w:type="character" w:customStyle="1" w:styleId="41">
    <w:name w:val="WW8Num2z8"/>
    <w:qFormat/>
    <w:uiPriority w:val="0"/>
  </w:style>
  <w:style w:type="character" w:customStyle="1" w:styleId="42">
    <w:name w:val="WW8Num3z0"/>
    <w:qFormat/>
    <w:uiPriority w:val="0"/>
  </w:style>
  <w:style w:type="character" w:customStyle="1" w:styleId="43">
    <w:name w:val="WW8Num3z1"/>
    <w:qFormat/>
    <w:uiPriority w:val="0"/>
  </w:style>
  <w:style w:type="character" w:customStyle="1" w:styleId="44">
    <w:name w:val="WW8Num3z2"/>
    <w:qFormat/>
    <w:uiPriority w:val="0"/>
  </w:style>
  <w:style w:type="character" w:customStyle="1" w:styleId="45">
    <w:name w:val="WW8Num3z3"/>
    <w:qFormat/>
    <w:uiPriority w:val="0"/>
  </w:style>
  <w:style w:type="character" w:customStyle="1" w:styleId="46">
    <w:name w:val="WW8Num3z4"/>
    <w:qFormat/>
    <w:uiPriority w:val="0"/>
  </w:style>
  <w:style w:type="character" w:customStyle="1" w:styleId="47">
    <w:name w:val="WW8Num3z5"/>
    <w:qFormat/>
    <w:uiPriority w:val="0"/>
  </w:style>
  <w:style w:type="character" w:customStyle="1" w:styleId="48">
    <w:name w:val="WW8Num3z6"/>
    <w:qFormat/>
    <w:uiPriority w:val="0"/>
  </w:style>
  <w:style w:type="character" w:customStyle="1" w:styleId="49">
    <w:name w:val="WW8Num3z7"/>
    <w:qFormat/>
    <w:uiPriority w:val="0"/>
  </w:style>
  <w:style w:type="character" w:customStyle="1" w:styleId="50">
    <w:name w:val="WW8Num3z8"/>
    <w:qFormat/>
    <w:uiPriority w:val="0"/>
  </w:style>
  <w:style w:type="character" w:customStyle="1" w:styleId="51">
    <w:name w:val="WW8Num4z0"/>
    <w:qFormat/>
    <w:uiPriority w:val="0"/>
  </w:style>
  <w:style w:type="character" w:customStyle="1" w:styleId="52">
    <w:name w:val="WW8Num4z1"/>
    <w:qFormat/>
    <w:uiPriority w:val="0"/>
  </w:style>
  <w:style w:type="character" w:customStyle="1" w:styleId="53">
    <w:name w:val="WW8Num4z2"/>
    <w:qFormat/>
    <w:uiPriority w:val="0"/>
  </w:style>
  <w:style w:type="character" w:customStyle="1" w:styleId="54">
    <w:name w:val="WW8Num4z3"/>
    <w:qFormat/>
    <w:uiPriority w:val="0"/>
  </w:style>
  <w:style w:type="character" w:customStyle="1" w:styleId="55">
    <w:name w:val="WW8Num4z4"/>
    <w:qFormat/>
    <w:uiPriority w:val="0"/>
  </w:style>
  <w:style w:type="character" w:customStyle="1" w:styleId="56">
    <w:name w:val="WW8Num4z5"/>
    <w:qFormat/>
    <w:uiPriority w:val="0"/>
  </w:style>
  <w:style w:type="character" w:customStyle="1" w:styleId="57">
    <w:name w:val="WW8Num4z6"/>
    <w:qFormat/>
    <w:uiPriority w:val="0"/>
  </w:style>
  <w:style w:type="character" w:customStyle="1" w:styleId="58">
    <w:name w:val="WW8Num4z7"/>
    <w:qFormat/>
    <w:uiPriority w:val="0"/>
  </w:style>
  <w:style w:type="character" w:customStyle="1" w:styleId="59">
    <w:name w:val="WW8Num4z8"/>
    <w:qFormat/>
    <w:uiPriority w:val="0"/>
  </w:style>
  <w:style w:type="character" w:customStyle="1" w:styleId="60">
    <w:name w:val="WW8Num5z0"/>
    <w:qFormat/>
    <w:uiPriority w:val="0"/>
  </w:style>
  <w:style w:type="character" w:customStyle="1" w:styleId="61">
    <w:name w:val="WW8Num5z1"/>
    <w:qFormat/>
    <w:uiPriority w:val="0"/>
  </w:style>
  <w:style w:type="character" w:customStyle="1" w:styleId="62">
    <w:name w:val="WW8Num5z2"/>
    <w:qFormat/>
    <w:uiPriority w:val="0"/>
  </w:style>
  <w:style w:type="character" w:customStyle="1" w:styleId="63">
    <w:name w:val="WW8Num5z3"/>
    <w:qFormat/>
    <w:uiPriority w:val="0"/>
  </w:style>
  <w:style w:type="character" w:customStyle="1" w:styleId="64">
    <w:name w:val="WW8Num5z4"/>
    <w:qFormat/>
    <w:uiPriority w:val="0"/>
  </w:style>
  <w:style w:type="character" w:customStyle="1" w:styleId="65">
    <w:name w:val="WW8Num5z5"/>
    <w:qFormat/>
    <w:uiPriority w:val="0"/>
  </w:style>
  <w:style w:type="character" w:customStyle="1" w:styleId="66">
    <w:name w:val="WW8Num5z6"/>
    <w:qFormat/>
    <w:uiPriority w:val="0"/>
  </w:style>
  <w:style w:type="character" w:customStyle="1" w:styleId="67">
    <w:name w:val="WW8Num5z7"/>
    <w:qFormat/>
    <w:uiPriority w:val="0"/>
  </w:style>
  <w:style w:type="character" w:customStyle="1" w:styleId="68">
    <w:name w:val="WW8Num5z8"/>
    <w:qFormat/>
    <w:uiPriority w:val="0"/>
  </w:style>
  <w:style w:type="character" w:customStyle="1" w:styleId="69">
    <w:name w:val="Основной шрифт абзаца1"/>
    <w:qFormat/>
    <w:uiPriority w:val="0"/>
  </w:style>
  <w:style w:type="character" w:customStyle="1" w:styleId="70">
    <w:name w:val="Текст сноски Знак"/>
    <w:qFormat/>
    <w:uiPriority w:val="0"/>
    <w:rPr>
      <w:kern w:val="1"/>
      <w:lang w:val="en-US" w:bidi="en-US"/>
    </w:rPr>
  </w:style>
  <w:style w:type="character" w:customStyle="1" w:styleId="71">
    <w:name w:val="Символ сноски"/>
    <w:qFormat/>
    <w:uiPriority w:val="0"/>
    <w:rPr>
      <w:vertAlign w:val="superscript"/>
    </w:rPr>
  </w:style>
  <w:style w:type="character" w:customStyle="1" w:styleId="72">
    <w:name w:val="Символы концевой сноски"/>
    <w:qFormat/>
    <w:uiPriority w:val="0"/>
  </w:style>
  <w:style w:type="paragraph" w:customStyle="1" w:styleId="73">
    <w:name w:val="Указатель1"/>
    <w:basedOn w:val="1"/>
    <w:qFormat/>
    <w:uiPriority w:val="0"/>
    <w:pPr>
      <w:suppressLineNumbers/>
    </w:pPr>
    <w:rPr>
      <w:rFonts w:cs="Arial Unicode MS"/>
    </w:rPr>
  </w:style>
  <w:style w:type="paragraph" w:customStyle="1" w:styleId="74">
    <w:name w:val="Heading"/>
    <w:basedOn w:val="20"/>
    <w:next w:val="19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75">
    <w:name w:val="Название объекта1"/>
    <w:basedOn w:val="20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76">
    <w:name w:val="Index"/>
    <w:basedOn w:val="20"/>
    <w:uiPriority w:val="0"/>
    <w:pPr>
      <w:suppressLineNumbers/>
    </w:pPr>
  </w:style>
  <w:style w:type="paragraph" w:customStyle="1" w:styleId="77">
    <w:name w:val="Table Contents"/>
    <w:basedOn w:val="20"/>
    <w:uiPriority w:val="0"/>
    <w:pPr>
      <w:suppressLineNumbers/>
    </w:pPr>
  </w:style>
  <w:style w:type="paragraph" w:customStyle="1" w:styleId="78">
    <w:name w:val="Содержимое таблицы"/>
    <w:basedOn w:val="1"/>
    <w:qFormat/>
    <w:uiPriority w:val="0"/>
    <w:pPr>
      <w:suppressLineNumbers/>
    </w:pPr>
  </w:style>
  <w:style w:type="paragraph" w:customStyle="1" w:styleId="79">
    <w:name w:val="Заголовок таблицы"/>
    <w:basedOn w:val="78"/>
    <w:qFormat/>
    <w:uiPriority w:val="0"/>
    <w:pPr>
      <w:jc w:val="center"/>
    </w:pPr>
    <w:rPr>
      <w:b/>
      <w:bCs/>
    </w:rPr>
  </w:style>
  <w:style w:type="paragraph" w:customStyle="1" w:styleId="80">
    <w:name w:val="Блочная цитата"/>
    <w:basedOn w:val="1"/>
    <w:qFormat/>
    <w:uiPriority w:val="0"/>
    <w:pPr>
      <w:spacing w:after="283"/>
      <w:ind w:left="567" w:right="567"/>
    </w:pPr>
  </w:style>
  <w:style w:type="character" w:customStyle="1" w:styleId="81">
    <w:name w:val="Верхний колонтитул Знак"/>
    <w:basedOn w:val="7"/>
    <w:link w:val="15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2">
    <w:name w:val="Нижний колонтитул Знак"/>
    <w:basedOn w:val="7"/>
    <w:link w:val="17"/>
    <w:qFormat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3">
    <w:name w:val="Неразрешенное упоминание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</Words>
  <Characters>2319</Characters>
  <Lines>19</Lines>
  <Paragraphs>5</Paragraphs>
  <TotalTime>0</TotalTime>
  <ScaleCrop>false</ScaleCrop>
  <LinksUpToDate>false</LinksUpToDate>
  <CharactersWithSpaces>2720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2024-10-26T02:11:00Z</dcterms:created>
  <dc:creator>Vladimir Sosnin</dc:creator>
  <cp:lastModifiedBy>roflex</cp:lastModifiedBy>
  <dcterms:modified xsi:type="dcterms:W3CDTF">2024-12-26T18:45:33Z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