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36"/>
        </w:rPr>
        <w:t>Intent-Bound Memory Authorization for Persistent LLM-Agent Memory Poisoning</w:t>
      </w:r>
    </w:p>
    <w:p>
      <w:pPr>
        <w:spacing w:after="60"/>
        <w:jc w:val="center"/>
      </w:pPr>
      <w:r>
        <w:rPr>
          <w:rFonts w:ascii="Calibri" w:hAnsi="Calibri"/>
          <w:b w:val="0"/>
          <w:color w:val="111827"/>
          <w:sz w:val="19"/>
        </w:rPr>
        <w:t>Akshay Jain</w:t>
        <w:br/>
        <w:t>Independent Researcher</w:t>
        <w:br/>
        <w:t>jakshay623@gmail.com</w:t>
      </w:r>
    </w:p>
    <w:p>
      <w:pPr>
        <w:spacing w:after="60"/>
        <w:jc w:val="center"/>
      </w:pPr>
      <w:r>
        <w:rPr>
          <w:rFonts w:ascii="Calibri" w:hAnsi="Calibri"/>
          <w:b w:val="0"/>
          <w:color w:val="111827"/>
          <w:sz w:val="19"/>
        </w:rPr>
        <w:t>Sujit Suryawanshi</w:t>
        <w:br/>
        <w:t>Independent Researcher</w:t>
        <w:br/>
        <w:t>sujitsuryawanshi987@gmail.com</w:t>
      </w:r>
    </w:p>
    <w:p>
      <w:pPr>
        <w:jc w:val="center"/>
      </w:pPr>
      <w:r>
        <w:rPr>
          <w:rFonts w:ascii="Calibri" w:hAnsi="Calibri"/>
          <w:b w:val="0"/>
          <w:color w:val="667085"/>
          <w:sz w:val="18"/>
        </w:rPr>
        <w:t>Draft generated from Sealing-Jutsu repository artifacts, June 2026</w:t>
      </w:r>
    </w:p>
    <w:p>
      <w:pPr>
        <w:spacing w:before="240" w:after="100"/>
      </w:pPr>
      <w:r>
        <w:rPr>
          <w:rFonts w:ascii="Calibri" w:hAnsi="Calibri"/>
          <w:b/>
          <w:color w:val="1F4D78"/>
          <w:sz w:val="28"/>
        </w:rPr>
        <w:t>Abstract</w:t>
      </w:r>
    </w:p>
    <w:p>
      <w:pPr>
        <w:spacing w:after="120" w:line="259" w:lineRule="auto"/>
      </w:pPr>
      <w:r>
        <w:rPr>
          <w:rFonts w:ascii="Calibri" w:hAnsi="Calibri"/>
          <w:b w:val="0"/>
          <w:color w:val="111827"/>
          <w:sz w:val="20"/>
        </w:rPr>
        <w:t>Persistent memory gives LLM agents continuity across tasks, but it also turns retrieved memory into a long-lived attack surface. A poisoned memory injected through web content, tool output, OCR text, summaries, or experience logs can later resurface as normal context and steer recommendations or tool calls. This paper presents intent-bound memory authorization, a least-privilege memory control layer implemented in the CapsuleGuard prototype. CapsuleGuard compiles each stored memory into a capsule containing source type, topic scope, denied actions, authority score, influence budget, verification, lineage, freshness, and status. The central invariant is that retrieval is not authorization: a memory may be relevant without being allowed to influence a plan or action. Across a held-out workflow corpus, intent capsules reduce attack success from 33.33% for ambient memory to 0.00% while preserving 100.00% benign accuracy. On converted AgentDojo and InjecAgent traces, output moderation reaches 0.00% final ASR but still permits 30.00%-90.62% poison influence, whereas intent capsules reach 0.00% ASR and 0.00% poison influence. Live local LLM planner experiments across llama3, mistral, and phi3 reduce ambient final ASR of 22.22% to 0.00% under capsule-filtered authorization. The results support memory authorization as a complementary defense for persistent agent poisoning under the stated threat model.</w:t>
      </w:r>
    </w:p>
    <w:p>
      <w:pPr>
        <w:spacing w:after="160"/>
      </w:pPr>
      <w:r>
        <w:rPr>
          <w:rFonts w:ascii="Calibri" w:hAnsi="Calibri"/>
          <w:b/>
          <w:color w:val="111827"/>
          <w:sz w:val="20"/>
        </w:rPr>
        <w:t xml:space="preserve">Index Terms: </w:t>
      </w:r>
      <w:r>
        <w:rPr>
          <w:rFonts w:ascii="Calibri" w:hAnsi="Calibri"/>
          <w:b w:val="0"/>
          <w:color w:val="111827"/>
          <w:sz w:val="20"/>
        </w:rPr>
        <w:t>LLM agents, memory poisoning, prompt injection, least privilege, authorization, long-term memory, tool safety</w:t>
      </w:r>
    </w:p>
    <w:p>
      <w:pPr>
        <w:spacing w:before="240" w:after="100"/>
      </w:pPr>
      <w:r>
        <w:rPr>
          <w:rFonts w:ascii="Calibri" w:hAnsi="Calibri"/>
          <w:b/>
          <w:color w:val="1F4D78"/>
          <w:sz w:val="28"/>
        </w:rPr>
        <w:t>I. Introduction</w:t>
      </w:r>
    </w:p>
    <w:p>
      <w:pPr>
        <w:spacing w:after="120" w:line="259" w:lineRule="auto"/>
      </w:pPr>
      <w:r>
        <w:rPr>
          <w:rFonts w:ascii="Calibri" w:hAnsi="Calibri"/>
          <w:b w:val="0"/>
          <w:color w:val="111827"/>
          <w:sz w:val="20"/>
        </w:rPr>
        <w:t>LLM agents increasingly use long-term memory for personalization, tool reuse, session summaries, and prior-task experience. This persistent memory is valuable, but it allows adversarial content to survive beyond the conversation in which it was introduced. The resulting attack is not merely a prompt-injection problem; it is an authority problem. Once retrieved, a memory may influence planning as if relevance implied permission.</w:t>
      </w:r>
    </w:p>
    <w:p>
      <w:pPr>
        <w:spacing w:after="120" w:line="259" w:lineRule="auto"/>
      </w:pPr>
      <w:r>
        <w:rPr>
          <w:rFonts w:ascii="Calibri" w:hAnsi="Calibri"/>
          <w:b w:val="0"/>
          <w:color w:val="111827"/>
          <w:sz w:val="20"/>
        </w:rPr>
        <w:t>We argue that memory systems should separate three questions: whether a memory is relevant, where it came from, and what it is authorized to influence. Existing defenses often focus on suspicious text, source provenance, retrieval ranking, or final output moderation. Those layers remain useful, but they do not by themselves define action-specific memory authority.</w:t>
      </w:r>
    </w:p>
    <w:p>
      <w:pPr>
        <w:spacing w:before="160" w:after="100"/>
      </w:pPr>
      <w:r>
        <w:rPr>
          <w:rFonts w:ascii="Calibri" w:hAnsi="Calibri"/>
          <w:b/>
          <w:color w:val="1F4D78"/>
          <w:sz w:val="24"/>
        </w:rPr>
        <w:t>Contributions</w:t>
      </w:r>
    </w:p>
    <w:p>
      <w:pPr>
        <w:pStyle w:val="ListBullet"/>
        <w:spacing w:after="60"/>
      </w:pPr>
      <w:r>
        <w:rPr>
          <w:rFonts w:ascii="Calibri" w:hAnsi="Calibri"/>
          <w:b w:val="0"/>
          <w:color w:val="111827"/>
          <w:sz w:val="20"/>
        </w:rPr>
        <w:t>We formulate persistent memory poisoning as an ambient-authority failure in LLM-agent memory.</w:t>
      </w:r>
    </w:p>
    <w:p>
      <w:pPr>
        <w:pStyle w:val="ListBullet"/>
        <w:spacing w:after="60"/>
      </w:pPr>
      <w:r>
        <w:rPr>
          <w:rFonts w:ascii="Calibri" w:hAnsi="Calibri"/>
          <w:b w:val="0"/>
          <w:color w:val="111827"/>
          <w:sz w:val="20"/>
        </w:rPr>
        <w:t>We propose intent-bound capsules that bind each memory to explicit influence constraints.</w:t>
      </w:r>
    </w:p>
    <w:p>
      <w:pPr>
        <w:pStyle w:val="ListBullet"/>
        <w:spacing w:after="60"/>
      </w:pPr>
      <w:r>
        <w:rPr>
          <w:rFonts w:ascii="Calibri" w:hAnsi="Calibri"/>
          <w:b w:val="0"/>
          <w:color w:val="111827"/>
          <w:sz w:val="20"/>
        </w:rPr>
        <w:t>We implement CapsuleGuard, a reproducible prototype with baselines, stress suites, trace-corpus loading, signed provenance, vector-style retrieval, tool traces, and live LLM planner support.</w:t>
      </w:r>
    </w:p>
    <w:p>
      <w:pPr>
        <w:pStyle w:val="ListBullet"/>
        <w:spacing w:after="60"/>
      </w:pPr>
      <w:r>
        <w:rPr>
          <w:rFonts w:ascii="Calibri" w:hAnsi="Calibri"/>
          <w:b w:val="0"/>
          <w:color w:val="111827"/>
          <w:sz w:val="20"/>
        </w:rPr>
        <w:t>We introduce poison influence rate to distinguish late output blocking from pre-planning memory authorization.</w:t>
      </w:r>
    </w:p>
    <w:p>
      <w:pPr>
        <w:pStyle w:val="ListBullet"/>
        <w:spacing w:after="60"/>
      </w:pPr>
      <w:r>
        <w:rPr>
          <w:rFonts w:ascii="Calibri" w:hAnsi="Calibri"/>
          <w:b w:val="0"/>
          <w:color w:val="111827"/>
          <w:sz w:val="20"/>
        </w:rPr>
        <w:t>We evaluate against workflow, lifecycle-gap, converted AgentDojo/InjecAgent, stress-suite, ablation, threshold, and live LLM planner settings.</w:t>
      </w:r>
    </w:p>
    <w:p>
      <w:pPr>
        <w:spacing w:before="240" w:after="100"/>
      </w:pPr>
      <w:r>
        <w:rPr>
          <w:rFonts w:ascii="Calibri" w:hAnsi="Calibri"/>
          <w:b/>
          <w:color w:val="1F4D78"/>
          <w:sz w:val="28"/>
        </w:rPr>
        <w:t>II. Background and Related Work</w:t>
      </w:r>
    </w:p>
    <w:p>
      <w:pPr>
        <w:spacing w:after="120" w:line="259" w:lineRule="auto"/>
      </w:pPr>
      <w:r>
        <w:rPr>
          <w:rFonts w:ascii="Calibri" w:hAnsi="Calibri"/>
          <w:b w:val="0"/>
          <w:color w:val="111827"/>
          <w:sz w:val="20"/>
        </w:rPr>
        <w:t>Prior work demonstrates that agent memory can be poisoned through knowledge bases, tool output, web-agent context, query-only interaction, multimodal inputs, self-reinforcing injections, and poisoned experience retrieval. These attacks differ in entry point, but they share a common failure mode: stored content becomes future steering authority.</w:t>
      </w:r>
    </w:p>
    <w:p>
      <w:pPr>
        <w:spacing w:before="120" w:after="60"/>
      </w:pPr>
      <w:r>
        <w:rPr>
          <w:rFonts w:ascii="Calibri" w:hAnsi="Calibri"/>
          <w:b/>
          <w:color w:val="1F4D78"/>
          <w:sz w:val="19"/>
        </w:rPr>
        <w:t>Table I. Defense gap addressed by intent-bound authorization.</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E8EEF5"/>
            <w:vAlign w:val="center"/>
          </w:tcPr>
          <w:p>
            <w:r>
              <w:rPr>
                <w:rFonts w:ascii="Calibri" w:hAnsi="Calibri"/>
                <w:b/>
                <w:color w:val="111827"/>
                <w:sz w:val="17"/>
              </w:rPr>
              <w:t>Defense</w:t>
            </w:r>
          </w:p>
        </w:tc>
        <w:tc>
          <w:tcPr>
            <w:tcW w:type="dxa" w:w="3312"/>
            <w:shd w:fill="E8EEF5"/>
            <w:vAlign w:val="center"/>
          </w:tcPr>
          <w:p>
            <w:r>
              <w:rPr>
                <w:rFonts w:ascii="Calibri" w:hAnsi="Calibri"/>
                <w:b/>
                <w:color w:val="111827"/>
                <w:sz w:val="17"/>
              </w:rPr>
              <w:t>Primary check</w:t>
            </w:r>
          </w:p>
        </w:tc>
        <w:tc>
          <w:tcPr>
            <w:tcW w:type="dxa" w:w="3312"/>
            <w:shd w:fill="E8EEF5"/>
            <w:vAlign w:val="center"/>
          </w:tcPr>
          <w:p>
            <w:r>
              <w:rPr>
                <w:rFonts w:ascii="Calibri" w:hAnsi="Calibri"/>
                <w:b/>
                <w:color w:val="111827"/>
                <w:sz w:val="17"/>
              </w:rPr>
              <w:t>Residual gap</w:t>
            </w:r>
          </w:p>
        </w:tc>
      </w:tr>
      <w:tr>
        <w:tc>
          <w:tcPr>
            <w:tcW w:type="dxa" w:w="3312"/>
            <w:vAlign w:val="center"/>
          </w:tcPr>
          <w:p>
            <w:r>
              <w:rPr>
                <w:rFonts w:ascii="Calibri" w:hAnsi="Calibri"/>
                <w:b w:val="0"/>
                <w:color w:val="111827"/>
                <w:sz w:val="16"/>
              </w:rPr>
              <w:t>Keyword filtering</w:t>
            </w:r>
          </w:p>
        </w:tc>
        <w:tc>
          <w:tcPr>
            <w:tcW w:type="dxa" w:w="3312"/>
            <w:vAlign w:val="center"/>
          </w:tcPr>
          <w:p>
            <w:r>
              <w:rPr>
                <w:rFonts w:ascii="Calibri" w:hAnsi="Calibri"/>
                <w:b w:val="0"/>
                <w:color w:val="111827"/>
                <w:sz w:val="16"/>
              </w:rPr>
              <w:t>Suspicious text</w:t>
            </w:r>
          </w:p>
        </w:tc>
        <w:tc>
          <w:tcPr>
            <w:tcW w:type="dxa" w:w="3312"/>
            <w:vAlign w:val="center"/>
          </w:tcPr>
          <w:p>
            <w:r>
              <w:rPr>
                <w:rFonts w:ascii="Calibri" w:hAnsi="Calibri"/>
                <w:b w:val="0"/>
                <w:color w:val="111827"/>
                <w:sz w:val="16"/>
              </w:rPr>
              <w:t>Benign-phrased poison survives.</w:t>
            </w:r>
          </w:p>
        </w:tc>
      </w:tr>
      <w:tr>
        <w:tc>
          <w:tcPr>
            <w:tcW w:type="dxa" w:w="3312"/>
            <w:vAlign w:val="center"/>
          </w:tcPr>
          <w:p>
            <w:r>
              <w:rPr>
                <w:rFonts w:ascii="Calibri" w:hAnsi="Calibri"/>
                <w:b w:val="0"/>
                <w:color w:val="111827"/>
                <w:sz w:val="16"/>
              </w:rPr>
              <w:t>Provenance only</w:t>
            </w:r>
          </w:p>
        </w:tc>
        <w:tc>
          <w:tcPr>
            <w:tcW w:type="dxa" w:w="3312"/>
            <w:vAlign w:val="center"/>
          </w:tcPr>
          <w:p>
            <w:r>
              <w:rPr>
                <w:rFonts w:ascii="Calibri" w:hAnsi="Calibri"/>
                <w:b w:val="0"/>
                <w:color w:val="111827"/>
                <w:sz w:val="16"/>
              </w:rPr>
              <w:t>Source label</w:t>
            </w:r>
          </w:p>
        </w:tc>
        <w:tc>
          <w:tcPr>
            <w:tcW w:type="dxa" w:w="3312"/>
            <w:vAlign w:val="center"/>
          </w:tcPr>
          <w:p>
            <w:r>
              <w:rPr>
                <w:rFonts w:ascii="Calibri" w:hAnsi="Calibri"/>
                <w:b w:val="0"/>
                <w:color w:val="111827"/>
                <w:sz w:val="16"/>
              </w:rPr>
              <w:t>Source does not define allowed action influence.</w:t>
            </w:r>
          </w:p>
        </w:tc>
      </w:tr>
      <w:tr>
        <w:tc>
          <w:tcPr>
            <w:tcW w:type="dxa" w:w="3312"/>
            <w:vAlign w:val="center"/>
          </w:tcPr>
          <w:p>
            <w:r>
              <w:rPr>
                <w:rFonts w:ascii="Calibri" w:hAnsi="Calibri"/>
                <w:b w:val="0"/>
                <w:color w:val="111827"/>
                <w:sz w:val="16"/>
              </w:rPr>
              <w:t>Trust-score retrieval</w:t>
            </w:r>
          </w:p>
        </w:tc>
        <w:tc>
          <w:tcPr>
            <w:tcW w:type="dxa" w:w="3312"/>
            <w:vAlign w:val="center"/>
          </w:tcPr>
          <w:p>
            <w:r>
              <w:rPr>
                <w:rFonts w:ascii="Calibri" w:hAnsi="Calibri"/>
                <w:b w:val="0"/>
                <w:color w:val="111827"/>
                <w:sz w:val="16"/>
              </w:rPr>
              <w:t>Rank high-trust records</w:t>
            </w:r>
          </w:p>
        </w:tc>
        <w:tc>
          <w:tcPr>
            <w:tcW w:type="dxa" w:w="3312"/>
            <w:vAlign w:val="center"/>
          </w:tcPr>
          <w:p>
            <w:r>
              <w:rPr>
                <w:rFonts w:ascii="Calibri" w:hAnsi="Calibri"/>
                <w:b w:val="0"/>
                <w:color w:val="111827"/>
                <w:sz w:val="16"/>
              </w:rPr>
              <w:t>Trust score is not authorization.</w:t>
            </w:r>
          </w:p>
        </w:tc>
      </w:tr>
      <w:tr>
        <w:tc>
          <w:tcPr>
            <w:tcW w:type="dxa" w:w="3312"/>
            <w:vAlign w:val="center"/>
          </w:tcPr>
          <w:p>
            <w:r>
              <w:rPr>
                <w:rFonts w:ascii="Calibri" w:hAnsi="Calibri"/>
                <w:b w:val="0"/>
                <w:color w:val="111827"/>
                <w:sz w:val="16"/>
              </w:rPr>
              <w:t>Output moderation</w:t>
            </w:r>
          </w:p>
        </w:tc>
        <w:tc>
          <w:tcPr>
            <w:tcW w:type="dxa" w:w="3312"/>
            <w:vAlign w:val="center"/>
          </w:tcPr>
          <w:p>
            <w:r>
              <w:rPr>
                <w:rFonts w:ascii="Calibri" w:hAnsi="Calibri"/>
                <w:b w:val="0"/>
                <w:color w:val="111827"/>
                <w:sz w:val="16"/>
              </w:rPr>
              <w:t>Final response/action</w:t>
            </w:r>
          </w:p>
        </w:tc>
        <w:tc>
          <w:tcPr>
            <w:tcW w:type="dxa" w:w="3312"/>
            <w:vAlign w:val="center"/>
          </w:tcPr>
          <w:p>
            <w:r>
              <w:rPr>
                <w:rFonts w:ascii="Calibri" w:hAnsi="Calibri"/>
                <w:b w:val="0"/>
                <w:color w:val="111827"/>
                <w:sz w:val="16"/>
              </w:rPr>
              <w:t>Planner may already be poisoned.</w:t>
            </w:r>
          </w:p>
        </w:tc>
      </w:tr>
      <w:tr>
        <w:tc>
          <w:tcPr>
            <w:tcW w:type="dxa" w:w="3312"/>
            <w:vAlign w:val="center"/>
          </w:tcPr>
          <w:p>
            <w:r>
              <w:rPr>
                <w:rFonts w:ascii="Calibri" w:hAnsi="Calibri"/>
                <w:b w:val="0"/>
                <w:color w:val="111827"/>
                <w:sz w:val="16"/>
              </w:rPr>
              <w:t>Intent capsules</w:t>
            </w:r>
          </w:p>
        </w:tc>
        <w:tc>
          <w:tcPr>
            <w:tcW w:type="dxa" w:w="3312"/>
            <w:vAlign w:val="center"/>
          </w:tcPr>
          <w:p>
            <w:r>
              <w:rPr>
                <w:rFonts w:ascii="Calibri" w:hAnsi="Calibri"/>
                <w:b w:val="0"/>
                <w:color w:val="111827"/>
                <w:sz w:val="16"/>
              </w:rPr>
              <w:t>Influence permission</w:t>
            </w:r>
          </w:p>
        </w:tc>
        <w:tc>
          <w:tcPr>
            <w:tcW w:type="dxa" w:w="3312"/>
            <w:vAlign w:val="center"/>
          </w:tcPr>
          <w:p>
            <w:r>
              <w:rPr>
                <w:rFonts w:ascii="Calibri" w:hAnsi="Calibri"/>
                <w:b w:val="0"/>
                <w:color w:val="111827"/>
                <w:sz w:val="16"/>
              </w:rPr>
              <w:t>Complements, rather than replaces, other layers.</w:t>
            </w:r>
          </w:p>
        </w:tc>
      </w:tr>
    </w:tbl>
    <w:p>
      <w:pPr>
        <w:spacing w:after="40"/>
      </w:pPr>
    </w:p>
    <w:p>
      <w:pPr>
        <w:spacing w:before="240" w:after="100"/>
      </w:pPr>
      <w:r>
        <w:rPr>
          <w:rFonts w:ascii="Calibri" w:hAnsi="Calibri"/>
          <w:b/>
          <w:color w:val="1F4D78"/>
          <w:sz w:val="28"/>
        </w:rPr>
        <w:t>III. Threat Model</w:t>
      </w:r>
    </w:p>
    <w:p>
      <w:pPr>
        <w:spacing w:before="120" w:after="60"/>
        <w:jc w:val="center"/>
      </w:pPr>
      <w:r>
        <w:drawing>
          <wp:inline xmlns:a="http://schemas.openxmlformats.org/drawingml/2006/main" xmlns:pic="http://schemas.openxmlformats.org/drawingml/2006/picture">
            <wp:extent cx="5394960" cy="3057144"/>
            <wp:docPr id="1" name="Picture 1"/>
            <wp:cNvGraphicFramePr>
              <a:graphicFrameLocks noChangeAspect="1"/>
            </wp:cNvGraphicFramePr>
            <a:graphic>
              <a:graphicData uri="http://schemas.openxmlformats.org/drawingml/2006/picture">
                <pic:pic>
                  <pic:nvPicPr>
                    <pic:cNvPr id="0" name="figure2_threat_model_v2.png"/>
                    <pic:cNvPicPr/>
                  </pic:nvPicPr>
                  <pic:blipFill>
                    <a:blip r:embed="rId9"/>
                    <a:stretch>
                      <a:fillRect/>
                    </a:stretch>
                  </pic:blipFill>
                  <pic:spPr>
                    <a:xfrm>
                      <a:off x="0" y="0"/>
                      <a:ext cx="5394960" cy="3057144"/>
                    </a:xfrm>
                    <a:prstGeom prst="rect"/>
                  </pic:spPr>
                </pic:pic>
              </a:graphicData>
            </a:graphic>
          </wp:inline>
        </w:drawing>
      </w:r>
    </w:p>
    <w:p>
      <w:pPr>
        <w:spacing w:after="120"/>
        <w:jc w:val="center"/>
      </w:pPr>
      <w:r>
        <w:rPr>
          <w:rFonts w:ascii="Calibri" w:hAnsi="Calibri"/>
          <w:b w:val="0"/>
          <w:color w:val="667085"/>
          <w:sz w:val="17"/>
        </w:rPr>
        <w:t>Fig. 1. Threat model and trust boundaries.</w:t>
      </w:r>
    </w:p>
    <w:p>
      <w:pPr>
        <w:spacing w:after="120" w:line="259" w:lineRule="auto"/>
      </w:pPr>
      <w:r>
        <w:rPr>
          <w:rFonts w:ascii="Calibri" w:hAnsi="Calibri"/>
          <w:b w:val="0"/>
          <w:color w:val="111827"/>
          <w:sz w:val="20"/>
        </w:rPr>
        <w:t>The adversary can inject text through web pages, tool outputs, OCR-visible content, alt text, summaries, experience logs, or memory import paths. The adversary may use delayed triggers, cross-session activation, semantic paraphrases, split payloads, or retrieval-collision phrasing. The goal is to alter a recommendation, planning path, memory-derived preference, or medium/high-risk tool action.</w:t>
      </w:r>
    </w:p>
    <w:p>
      <w:pPr>
        <w:spacing w:after="120" w:line="259" w:lineRule="auto"/>
      </w:pPr>
      <w:r>
        <w:rPr>
          <w:rFonts w:ascii="Calibri" w:hAnsi="Calibri"/>
          <w:b w:val="0"/>
          <w:color w:val="111827"/>
          <w:sz w:val="20"/>
        </w:rPr>
        <w:t>The adversary cannot directly modify the system prompt, policy code, capsule authorization gate, benchmark labels, tool runtime, OCR binary, model weights, verified-writer identity, or cryptographic provenance. The core trust boundary is between retrieved memory as relevance evidence and retrieved memory as authority.</w:t>
      </w:r>
    </w:p>
    <w:p>
      <w:pPr>
        <w:spacing w:before="120" w:after="60"/>
      </w:pPr>
      <w:r>
        <w:rPr>
          <w:rFonts w:ascii="Calibri" w:hAnsi="Calibri"/>
          <w:b/>
          <w:color w:val="1F4D78"/>
          <w:sz w:val="19"/>
        </w:rPr>
        <w:t>Table II. Security objectives.</w:t>
      </w:r>
    </w:p>
    <w:tbl>
      <w:tblPr>
        <w:tblStyle w:val="TableGrid"/>
        <w:tblW w:type="auto" w:w="0"/>
        <w:tblLayout w:type="autofit"/>
        <w:tblLook w:firstColumn="1" w:firstRow="1" w:lastColumn="0" w:lastRow="0" w:noHBand="0" w:noVBand="1" w:val="04A0"/>
      </w:tblPr>
      <w:tblGrid>
        <w:gridCol w:w="4968"/>
        <w:gridCol w:w="4968"/>
      </w:tblGrid>
      <w:tr>
        <w:tc>
          <w:tcPr>
            <w:tcW w:type="dxa" w:w="4968"/>
            <w:shd w:fill="E8EEF5"/>
            <w:vAlign w:val="center"/>
          </w:tcPr>
          <w:p>
            <w:r>
              <w:rPr>
                <w:rFonts w:ascii="Calibri" w:hAnsi="Calibri"/>
                <w:b/>
                <w:color w:val="111827"/>
                <w:sz w:val="17"/>
              </w:rPr>
              <w:t>Objective</w:t>
            </w:r>
          </w:p>
        </w:tc>
        <w:tc>
          <w:tcPr>
            <w:tcW w:type="dxa" w:w="4968"/>
            <w:shd w:fill="E8EEF5"/>
            <w:vAlign w:val="center"/>
          </w:tcPr>
          <w:p>
            <w:r>
              <w:rPr>
                <w:rFonts w:ascii="Calibri" w:hAnsi="Calibri"/>
                <w:b/>
                <w:color w:val="111827"/>
                <w:sz w:val="17"/>
              </w:rPr>
              <w:t>Requirement</w:t>
            </w:r>
          </w:p>
        </w:tc>
      </w:tr>
      <w:tr>
        <w:tc>
          <w:tcPr>
            <w:tcW w:type="dxa" w:w="4968"/>
            <w:vAlign w:val="center"/>
          </w:tcPr>
          <w:p>
            <w:r>
              <w:rPr>
                <w:rFonts w:ascii="Calibri" w:hAnsi="Calibri"/>
                <w:b w:val="0"/>
                <w:color w:val="111827"/>
                <w:sz w:val="16"/>
              </w:rPr>
              <w:t>Recommendation integrity</w:t>
            </w:r>
          </w:p>
        </w:tc>
        <w:tc>
          <w:tcPr>
            <w:tcW w:type="dxa" w:w="4968"/>
            <w:vAlign w:val="center"/>
          </w:tcPr>
          <w:p>
            <w:r>
              <w:rPr>
                <w:rFonts w:ascii="Calibri" w:hAnsi="Calibri"/>
                <w:b w:val="0"/>
                <w:color w:val="111827"/>
                <w:sz w:val="16"/>
              </w:rPr>
              <w:t>Unauthorized memory must not choose attacker-preferred options.</w:t>
            </w:r>
          </w:p>
        </w:tc>
      </w:tr>
      <w:tr>
        <w:tc>
          <w:tcPr>
            <w:tcW w:type="dxa" w:w="4968"/>
            <w:vAlign w:val="center"/>
          </w:tcPr>
          <w:p>
            <w:r>
              <w:rPr>
                <w:rFonts w:ascii="Calibri" w:hAnsi="Calibri"/>
                <w:b w:val="0"/>
                <w:color w:val="111827"/>
                <w:sz w:val="16"/>
              </w:rPr>
              <w:t>Action safety</w:t>
            </w:r>
          </w:p>
        </w:tc>
        <w:tc>
          <w:tcPr>
            <w:tcW w:type="dxa" w:w="4968"/>
            <w:vAlign w:val="center"/>
          </w:tcPr>
          <w:p>
            <w:r>
              <w:rPr>
                <w:rFonts w:ascii="Calibri" w:hAnsi="Calibri"/>
                <w:b w:val="0"/>
                <w:color w:val="111827"/>
                <w:sz w:val="16"/>
              </w:rPr>
              <w:t>Medium/high-risk actions require explicit supporting authority.</w:t>
            </w:r>
          </w:p>
        </w:tc>
      </w:tr>
      <w:tr>
        <w:tc>
          <w:tcPr>
            <w:tcW w:type="dxa" w:w="4968"/>
            <w:vAlign w:val="center"/>
          </w:tcPr>
          <w:p>
            <w:r>
              <w:rPr>
                <w:rFonts w:ascii="Calibri" w:hAnsi="Calibri"/>
                <w:b w:val="0"/>
                <w:color w:val="111827"/>
                <w:sz w:val="16"/>
              </w:rPr>
              <w:t>Lifecycle integrity</w:t>
            </w:r>
          </w:p>
        </w:tc>
        <w:tc>
          <w:tcPr>
            <w:tcW w:type="dxa" w:w="4968"/>
            <w:vAlign w:val="center"/>
          </w:tcPr>
          <w:p>
            <w:r>
              <w:rPr>
                <w:rFonts w:ascii="Calibri" w:hAnsi="Calibri"/>
                <w:b w:val="0"/>
                <w:color w:val="111827"/>
                <w:sz w:val="16"/>
              </w:rPr>
              <w:t>Derived summaries must not launder weak memory authority.</w:t>
            </w:r>
          </w:p>
        </w:tc>
      </w:tr>
      <w:tr>
        <w:tc>
          <w:tcPr>
            <w:tcW w:type="dxa" w:w="4968"/>
            <w:vAlign w:val="center"/>
          </w:tcPr>
          <w:p>
            <w:r>
              <w:rPr>
                <w:rFonts w:ascii="Calibri" w:hAnsi="Calibri"/>
                <w:b w:val="0"/>
                <w:color w:val="111827"/>
                <w:sz w:val="16"/>
              </w:rPr>
              <w:t>Auditability</w:t>
            </w:r>
          </w:p>
        </w:tc>
        <w:tc>
          <w:tcPr>
            <w:tcW w:type="dxa" w:w="4968"/>
            <w:vAlign w:val="center"/>
          </w:tcPr>
          <w:p>
            <w:r>
              <w:rPr>
                <w:rFonts w:ascii="Calibri" w:hAnsi="Calibri"/>
                <w:b w:val="0"/>
                <w:color w:val="111827"/>
                <w:sz w:val="16"/>
              </w:rPr>
              <w:t>Blocked or sealed memories remain traceable.</w:t>
            </w:r>
          </w:p>
        </w:tc>
      </w:tr>
      <w:tr>
        <w:tc>
          <w:tcPr>
            <w:tcW w:type="dxa" w:w="4968"/>
            <w:vAlign w:val="center"/>
          </w:tcPr>
          <w:p>
            <w:r>
              <w:rPr>
                <w:rFonts w:ascii="Calibri" w:hAnsi="Calibri"/>
                <w:b w:val="0"/>
                <w:color w:val="111827"/>
                <w:sz w:val="16"/>
              </w:rPr>
              <w:t>Utility</w:t>
            </w:r>
          </w:p>
        </w:tc>
        <w:tc>
          <w:tcPr>
            <w:tcW w:type="dxa" w:w="4968"/>
            <w:vAlign w:val="center"/>
          </w:tcPr>
          <w:p>
            <w:r>
              <w:rPr>
                <w:rFonts w:ascii="Calibri" w:hAnsi="Calibri"/>
                <w:b w:val="0"/>
                <w:color w:val="111827"/>
                <w:sz w:val="16"/>
              </w:rPr>
              <w:t>Benign memory should remain useful.</w:t>
            </w:r>
          </w:p>
        </w:tc>
      </w:tr>
    </w:tbl>
    <w:p>
      <w:pPr>
        <w:spacing w:after="40"/>
      </w:pPr>
    </w:p>
    <w:p>
      <w:pPr>
        <w:spacing w:before="240" w:after="100"/>
      </w:pPr>
      <w:r>
        <w:rPr>
          <w:rFonts w:ascii="Calibri" w:hAnsi="Calibri"/>
          <w:b/>
          <w:color w:val="1F4D78"/>
          <w:sz w:val="28"/>
        </w:rPr>
        <w:t>IV. Intent-Bound Memory Capsules</w:t>
      </w:r>
    </w:p>
    <w:p>
      <w:pPr>
        <w:spacing w:before="120" w:after="60"/>
        <w:jc w:val="center"/>
      </w:pPr>
      <w:r>
        <w:drawing>
          <wp:inline xmlns:a="http://schemas.openxmlformats.org/drawingml/2006/main" xmlns:pic="http://schemas.openxmlformats.org/drawingml/2006/picture">
            <wp:extent cx="5394960" cy="3057144"/>
            <wp:docPr id="2" name="Picture 2"/>
            <wp:cNvGraphicFramePr>
              <a:graphicFrameLocks noChangeAspect="1"/>
            </wp:cNvGraphicFramePr>
            <a:graphic>
              <a:graphicData uri="http://schemas.openxmlformats.org/drawingml/2006/picture">
                <pic:pic>
                  <pic:nvPicPr>
                    <pic:cNvPr id="0" name="figure1_architecture_v2.png"/>
                    <pic:cNvPicPr/>
                  </pic:nvPicPr>
                  <pic:blipFill>
                    <a:blip r:embed="rId10"/>
                    <a:stretch>
                      <a:fillRect/>
                    </a:stretch>
                  </pic:blipFill>
                  <pic:spPr>
                    <a:xfrm>
                      <a:off x="0" y="0"/>
                      <a:ext cx="5394960" cy="3057144"/>
                    </a:xfrm>
                    <a:prstGeom prst="rect"/>
                  </pic:spPr>
                </pic:pic>
              </a:graphicData>
            </a:graphic>
          </wp:inline>
        </w:drawing>
      </w:r>
    </w:p>
    <w:p>
      <w:pPr>
        <w:spacing w:after="120"/>
        <w:jc w:val="center"/>
      </w:pPr>
      <w:r>
        <w:rPr>
          <w:rFonts w:ascii="Calibri" w:hAnsi="Calibri"/>
          <w:b w:val="0"/>
          <w:color w:val="667085"/>
          <w:sz w:val="17"/>
        </w:rPr>
        <w:t>Fig. 2. CapsuleGuard architecture.</w:t>
      </w:r>
    </w:p>
    <w:p>
      <w:pPr>
        <w:spacing w:after="120" w:line="259" w:lineRule="auto"/>
      </w:pPr>
      <w:r>
        <w:rPr>
          <w:rFonts w:ascii="Calibri" w:hAnsi="Calibri"/>
          <w:b w:val="0"/>
          <w:color w:val="111827"/>
          <w:sz w:val="20"/>
        </w:rPr>
        <w:t>A capsule is a memory record plus an influence contract. The contract stores the source class, memory kind, allowed topics, denied actions, source authority, influence budget, verification count, lineage, freshness, and status. A retrieved memory can be useful context while still being forbidden from authorizing a purchase, email, deletion, data sharing, or recommendation.</w:t>
      </w:r>
    </w:p>
    <w:p>
      <w:pPr>
        <w:spacing w:before="120" w:after="60"/>
      </w:pPr>
      <w:r>
        <w:rPr>
          <w:rFonts w:ascii="Calibri" w:hAnsi="Calibri"/>
          <w:b/>
          <w:color w:val="1F4D78"/>
          <w:sz w:val="19"/>
        </w:rPr>
        <w:t>Table III. Capsule controls.</w:t>
      </w:r>
    </w:p>
    <w:tbl>
      <w:tblPr>
        <w:tblStyle w:val="TableGrid"/>
        <w:tblW w:type="auto" w:w="0"/>
        <w:tblLayout w:type="autofit"/>
        <w:tblLook w:firstColumn="1" w:firstRow="1" w:lastColumn="0" w:lastRow="0" w:noHBand="0" w:noVBand="1" w:val="04A0"/>
      </w:tblPr>
      <w:tblGrid>
        <w:gridCol w:w="4968"/>
        <w:gridCol w:w="4968"/>
      </w:tblGrid>
      <w:tr>
        <w:tc>
          <w:tcPr>
            <w:tcW w:type="dxa" w:w="4968"/>
            <w:shd w:fill="E8EEF5"/>
            <w:vAlign w:val="center"/>
          </w:tcPr>
          <w:p>
            <w:r>
              <w:rPr>
                <w:rFonts w:ascii="Calibri" w:hAnsi="Calibri"/>
                <w:b/>
                <w:color w:val="111827"/>
                <w:sz w:val="17"/>
              </w:rPr>
              <w:t>Control</w:t>
            </w:r>
          </w:p>
        </w:tc>
        <w:tc>
          <w:tcPr>
            <w:tcW w:type="dxa" w:w="4968"/>
            <w:shd w:fill="E8EEF5"/>
            <w:vAlign w:val="center"/>
          </w:tcPr>
          <w:p>
            <w:r>
              <w:rPr>
                <w:rFonts w:ascii="Calibri" w:hAnsi="Calibri"/>
                <w:b/>
                <w:color w:val="111827"/>
                <w:sz w:val="17"/>
              </w:rPr>
              <w:t>Purpose</w:t>
            </w:r>
          </w:p>
        </w:tc>
      </w:tr>
      <w:tr>
        <w:tc>
          <w:tcPr>
            <w:tcW w:type="dxa" w:w="4968"/>
            <w:vAlign w:val="center"/>
          </w:tcPr>
          <w:p>
            <w:r>
              <w:rPr>
                <w:rFonts w:ascii="Calibri" w:hAnsi="Calibri"/>
                <w:b w:val="0"/>
                <w:color w:val="111827"/>
                <w:sz w:val="16"/>
              </w:rPr>
              <w:t>Topic scope</w:t>
            </w:r>
          </w:p>
        </w:tc>
        <w:tc>
          <w:tcPr>
            <w:tcW w:type="dxa" w:w="4968"/>
            <w:vAlign w:val="center"/>
          </w:tcPr>
          <w:p>
            <w:r>
              <w:rPr>
                <w:rFonts w:ascii="Calibri" w:hAnsi="Calibri"/>
                <w:b w:val="0"/>
                <w:color w:val="111827"/>
                <w:sz w:val="16"/>
              </w:rPr>
              <w:t>Limits influence to matching user intents.</w:t>
            </w:r>
          </w:p>
        </w:tc>
      </w:tr>
      <w:tr>
        <w:tc>
          <w:tcPr>
            <w:tcW w:type="dxa" w:w="4968"/>
            <w:vAlign w:val="center"/>
          </w:tcPr>
          <w:p>
            <w:r>
              <w:rPr>
                <w:rFonts w:ascii="Calibri" w:hAnsi="Calibri"/>
                <w:b w:val="0"/>
                <w:color w:val="111827"/>
                <w:sz w:val="16"/>
              </w:rPr>
              <w:t>Denied actions</w:t>
            </w:r>
          </w:p>
        </w:tc>
        <w:tc>
          <w:tcPr>
            <w:tcW w:type="dxa" w:w="4968"/>
            <w:vAlign w:val="center"/>
          </w:tcPr>
          <w:p>
            <w:r>
              <w:rPr>
                <w:rFonts w:ascii="Calibri" w:hAnsi="Calibri"/>
                <w:b w:val="0"/>
                <w:color w:val="111827"/>
                <w:sz w:val="16"/>
              </w:rPr>
              <w:t>Prevents weak sources from authorizing risky operations.</w:t>
            </w:r>
          </w:p>
        </w:tc>
      </w:tr>
      <w:tr>
        <w:tc>
          <w:tcPr>
            <w:tcW w:type="dxa" w:w="4968"/>
            <w:vAlign w:val="center"/>
          </w:tcPr>
          <w:p>
            <w:r>
              <w:rPr>
                <w:rFonts w:ascii="Calibri" w:hAnsi="Calibri"/>
                <w:b w:val="0"/>
                <w:color w:val="111827"/>
                <w:sz w:val="16"/>
              </w:rPr>
              <w:t>Authority floor</w:t>
            </w:r>
          </w:p>
        </w:tc>
        <w:tc>
          <w:tcPr>
            <w:tcW w:type="dxa" w:w="4968"/>
            <w:vAlign w:val="center"/>
          </w:tcPr>
          <w:p>
            <w:r>
              <w:rPr>
                <w:rFonts w:ascii="Calibri" w:hAnsi="Calibri"/>
                <w:b w:val="0"/>
                <w:color w:val="111827"/>
                <w:sz w:val="16"/>
              </w:rPr>
              <w:t>Requires stronger source authority for higher-risk actions.</w:t>
            </w:r>
          </w:p>
        </w:tc>
      </w:tr>
      <w:tr>
        <w:tc>
          <w:tcPr>
            <w:tcW w:type="dxa" w:w="4968"/>
            <w:vAlign w:val="center"/>
          </w:tcPr>
          <w:p>
            <w:r>
              <w:rPr>
                <w:rFonts w:ascii="Calibri" w:hAnsi="Calibri"/>
                <w:b w:val="0"/>
                <w:color w:val="111827"/>
                <w:sz w:val="16"/>
              </w:rPr>
              <w:t>Influence budget</w:t>
            </w:r>
          </w:p>
        </w:tc>
        <w:tc>
          <w:tcPr>
            <w:tcW w:type="dxa" w:w="4968"/>
            <w:vAlign w:val="center"/>
          </w:tcPr>
          <w:p>
            <w:r>
              <w:rPr>
                <w:rFonts w:ascii="Calibri" w:hAnsi="Calibri"/>
                <w:b w:val="0"/>
                <w:color w:val="111827"/>
                <w:sz w:val="16"/>
              </w:rPr>
              <w:t>Caps decision weight per memory.</w:t>
            </w:r>
          </w:p>
        </w:tc>
      </w:tr>
      <w:tr>
        <w:tc>
          <w:tcPr>
            <w:tcW w:type="dxa" w:w="4968"/>
            <w:vAlign w:val="center"/>
          </w:tcPr>
          <w:p>
            <w:r>
              <w:rPr>
                <w:rFonts w:ascii="Calibri" w:hAnsi="Calibri"/>
                <w:b w:val="0"/>
                <w:color w:val="111827"/>
                <w:sz w:val="16"/>
              </w:rPr>
              <w:t>Evidence quorum</w:t>
            </w:r>
          </w:p>
        </w:tc>
        <w:tc>
          <w:tcPr>
            <w:tcW w:type="dxa" w:w="4968"/>
            <w:vAlign w:val="center"/>
          </w:tcPr>
          <w:p>
            <w:r>
              <w:rPr>
                <w:rFonts w:ascii="Calibri" w:hAnsi="Calibri"/>
                <w:b w:val="0"/>
                <w:color w:val="111827"/>
                <w:sz w:val="16"/>
              </w:rPr>
              <w:t>Requires independent support for risky plans.</w:t>
            </w:r>
          </w:p>
        </w:tc>
      </w:tr>
      <w:tr>
        <w:tc>
          <w:tcPr>
            <w:tcW w:type="dxa" w:w="4968"/>
            <w:vAlign w:val="center"/>
          </w:tcPr>
          <w:p>
            <w:r>
              <w:rPr>
                <w:rFonts w:ascii="Calibri" w:hAnsi="Calibri"/>
                <w:b w:val="0"/>
                <w:color w:val="111827"/>
                <w:sz w:val="16"/>
              </w:rPr>
              <w:t>Lineage/freshness</w:t>
            </w:r>
          </w:p>
        </w:tc>
        <w:tc>
          <w:tcPr>
            <w:tcW w:type="dxa" w:w="4968"/>
            <w:vAlign w:val="center"/>
          </w:tcPr>
          <w:p>
            <w:r>
              <w:rPr>
                <w:rFonts w:ascii="Calibri" w:hAnsi="Calibri"/>
                <w:b w:val="0"/>
                <w:color w:val="111827"/>
                <w:sz w:val="16"/>
              </w:rPr>
              <w:t>Caps derived or stale records.</w:t>
            </w:r>
          </w:p>
        </w:tc>
      </w:tr>
      <w:tr>
        <w:tc>
          <w:tcPr>
            <w:tcW w:type="dxa" w:w="4968"/>
            <w:vAlign w:val="center"/>
          </w:tcPr>
          <w:p>
            <w:r>
              <w:rPr>
                <w:rFonts w:ascii="Calibri" w:hAnsi="Calibri"/>
                <w:b w:val="0"/>
                <w:color w:val="111827"/>
                <w:sz w:val="16"/>
              </w:rPr>
              <w:t>Sealing</w:t>
            </w:r>
          </w:p>
        </w:tc>
        <w:tc>
          <w:tcPr>
            <w:tcW w:type="dxa" w:w="4968"/>
            <w:vAlign w:val="center"/>
          </w:tcPr>
          <w:p>
            <w:r>
              <w:rPr>
                <w:rFonts w:ascii="Calibri" w:hAnsi="Calibri"/>
                <w:b w:val="0"/>
                <w:color w:val="111827"/>
                <w:sz w:val="16"/>
              </w:rPr>
              <w:t>Keeps suspicious memories auditable but ineligible.</w:t>
            </w:r>
          </w:p>
        </w:tc>
      </w:tr>
    </w:tbl>
    <w:p>
      <w:pPr>
        <w:spacing w:after="40"/>
      </w:pPr>
    </w:p>
    <w:p>
      <w:pPr>
        <w:spacing w:before="120" w:after="60"/>
        <w:jc w:val="center"/>
      </w:pPr>
      <w:r>
        <w:drawing>
          <wp:inline xmlns:a="http://schemas.openxmlformats.org/drawingml/2006/main" xmlns:pic="http://schemas.openxmlformats.org/drawingml/2006/picture">
            <wp:extent cx="5394960" cy="3236976"/>
            <wp:docPr id="3" name="Picture 3"/>
            <wp:cNvGraphicFramePr>
              <a:graphicFrameLocks noChangeAspect="1"/>
            </wp:cNvGraphicFramePr>
            <a:graphic>
              <a:graphicData uri="http://schemas.openxmlformats.org/drawingml/2006/picture">
                <pic:pic>
                  <pic:nvPicPr>
                    <pic:cNvPr id="0" name="figure3_trust_rules_v2.png"/>
                    <pic:cNvPicPr/>
                  </pic:nvPicPr>
                  <pic:blipFill>
                    <a:blip r:embed="rId11"/>
                    <a:stretch>
                      <a:fillRect/>
                    </a:stretch>
                  </pic:blipFill>
                  <pic:spPr>
                    <a:xfrm>
                      <a:off x="0" y="0"/>
                      <a:ext cx="5394960" cy="3236976"/>
                    </a:xfrm>
                    <a:prstGeom prst="rect"/>
                  </pic:spPr>
                </pic:pic>
              </a:graphicData>
            </a:graphic>
          </wp:inline>
        </w:drawing>
      </w:r>
    </w:p>
    <w:p>
      <w:pPr>
        <w:spacing w:after="120"/>
        <w:jc w:val="center"/>
      </w:pPr>
      <w:r>
        <w:rPr>
          <w:rFonts w:ascii="Calibri" w:hAnsi="Calibri"/>
          <w:b w:val="0"/>
          <w:color w:val="667085"/>
          <w:sz w:val="17"/>
        </w:rPr>
        <w:t>Fig. 3. Memory trust and influence rule set.</w:t>
      </w:r>
    </w:p>
    <w:p>
      <w:pPr>
        <w:spacing w:before="240" w:after="100"/>
      </w:pPr>
      <w:r>
        <w:rPr>
          <w:rFonts w:ascii="Calibri" w:hAnsi="Calibri"/>
          <w:b/>
          <w:color w:val="1F4D78"/>
          <w:sz w:val="28"/>
        </w:rPr>
        <w:t>V. Prototype</w:t>
      </w:r>
    </w:p>
    <w:p>
      <w:pPr>
        <w:spacing w:after="120" w:line="259" w:lineRule="auto"/>
      </w:pPr>
      <w:r>
        <w:rPr>
          <w:rFonts w:ascii="Calibri" w:hAnsi="Calibri"/>
          <w:b w:val="0"/>
          <w:color w:val="111827"/>
          <w:sz w:val="20"/>
        </w:rPr>
        <w:t>CapsuleGuard is implemented in Python in the Sealing-Jutsu repository. The prototype includes capsule compilation, policy gates, baseline agents, scenario generation, external trace-corpus loading, signed provenance, vector-style retrieval, safe tool traces, CSV/JSONL reporting, charts, and a live LLM planner harness. The current test suite contains 163 passing tests.</w:t>
      </w:r>
    </w:p>
    <w:p>
      <w:pPr>
        <w:spacing w:before="240" w:after="100"/>
      </w:pPr>
      <w:r>
        <w:rPr>
          <w:rFonts w:ascii="Calibri" w:hAnsi="Calibri"/>
          <w:b/>
          <w:color w:val="1F4D78"/>
          <w:sz w:val="28"/>
        </w:rPr>
        <w:t>VI. Evaluation Methodology</w:t>
      </w:r>
    </w:p>
    <w:p>
      <w:pPr>
        <w:spacing w:after="120" w:line="259" w:lineRule="auto"/>
      </w:pPr>
      <w:r>
        <w:rPr>
          <w:rFonts w:ascii="Calibri" w:hAnsi="Calibri"/>
          <w:b w:val="0"/>
          <w:color w:val="111827"/>
          <w:sz w:val="20"/>
        </w:rPr>
        <w:t>We compare intent capsules against ambient memory, keyword filtering, quarantine-only retrieval, trust-score retrieval, provenance-only retrieval, counterfactual memory, output moderation, and semantic output judging. We report attack success rate (ASR), unauthorized risky action rate, poison influence rate, benign accuracy, false positive rate, sealing rate, and latency.</w:t>
      </w:r>
    </w:p>
    <w:p>
      <w:pPr>
        <w:spacing w:after="120" w:line="259" w:lineRule="auto"/>
      </w:pPr>
      <w:r>
        <w:rPr>
          <w:rFonts w:ascii="Calibri" w:hAnsi="Calibri"/>
          <w:b w:val="0"/>
          <w:color w:val="111827"/>
          <w:sz w:val="20"/>
        </w:rPr>
        <w:t>Poison influence rate counts poisoned cases where poisoned memory is used by the planner and the planner selects the attacker target before final output blocking. This metric is central because a defense can block the final action while still allowing the planner to be compromised.</w:t>
      </w:r>
    </w:p>
    <w:p>
      <w:pPr>
        <w:spacing w:before="240" w:after="100"/>
      </w:pPr>
      <w:r>
        <w:rPr>
          <w:rFonts w:ascii="Calibri" w:hAnsi="Calibri"/>
          <w:b/>
          <w:color w:val="1F4D78"/>
          <w:sz w:val="28"/>
        </w:rPr>
        <w:t>VII. Results</w:t>
      </w:r>
    </w:p>
    <w:p>
      <w:pPr>
        <w:spacing w:before="160" w:after="100"/>
      </w:pPr>
      <w:r>
        <w:rPr>
          <w:rFonts w:ascii="Calibri" w:hAnsi="Calibri"/>
          <w:b/>
          <w:color w:val="1F4D78"/>
          <w:sz w:val="24"/>
        </w:rPr>
        <w:t>A. Held-Out Workflow Corpus</w:t>
      </w:r>
    </w:p>
    <w:p>
      <w:pPr>
        <w:spacing w:before="120" w:after="60"/>
      </w:pPr>
      <w:r>
        <w:rPr>
          <w:rFonts w:ascii="Calibri" w:hAnsi="Calibri"/>
          <w:b/>
          <w:color w:val="1F4D78"/>
          <w:sz w:val="19"/>
        </w:rPr>
        <w:t>Table IV. Held-out workflow-corpus result.</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fill="E8EEF5"/>
            <w:vAlign w:val="center"/>
          </w:tcPr>
          <w:p>
            <w:r>
              <w:rPr>
                <w:rFonts w:ascii="Calibri" w:hAnsi="Calibri"/>
                <w:b/>
                <w:color w:val="111827"/>
                <w:sz w:val="17"/>
              </w:rPr>
              <w:t>Agent</w:t>
            </w:r>
          </w:p>
        </w:tc>
        <w:tc>
          <w:tcPr>
            <w:tcW w:type="dxa" w:w="1656"/>
            <w:shd w:fill="E8EEF5"/>
            <w:vAlign w:val="center"/>
          </w:tcPr>
          <w:p>
            <w:r>
              <w:rPr>
                <w:rFonts w:ascii="Calibri" w:hAnsi="Calibri"/>
                <w:b/>
                <w:color w:val="111827"/>
                <w:sz w:val="17"/>
              </w:rPr>
              <w:t>ASR</w:t>
            </w:r>
          </w:p>
        </w:tc>
        <w:tc>
          <w:tcPr>
            <w:tcW w:type="dxa" w:w="1656"/>
            <w:shd w:fill="E8EEF5"/>
            <w:vAlign w:val="center"/>
          </w:tcPr>
          <w:p>
            <w:r>
              <w:rPr>
                <w:rFonts w:ascii="Calibri" w:hAnsi="Calibri"/>
                <w:b/>
                <w:color w:val="111827"/>
                <w:sz w:val="17"/>
              </w:rPr>
              <w:t>Risky</w:t>
            </w:r>
          </w:p>
        </w:tc>
        <w:tc>
          <w:tcPr>
            <w:tcW w:type="dxa" w:w="1656"/>
            <w:shd w:fill="E8EEF5"/>
            <w:vAlign w:val="center"/>
          </w:tcPr>
          <w:p>
            <w:r>
              <w:rPr>
                <w:rFonts w:ascii="Calibri" w:hAnsi="Calibri"/>
                <w:b/>
                <w:color w:val="111827"/>
                <w:sz w:val="17"/>
              </w:rPr>
              <w:t>Benign</w:t>
            </w:r>
          </w:p>
        </w:tc>
        <w:tc>
          <w:tcPr>
            <w:tcW w:type="dxa" w:w="1656"/>
            <w:shd w:fill="E8EEF5"/>
            <w:vAlign w:val="center"/>
          </w:tcPr>
          <w:p>
            <w:r>
              <w:rPr>
                <w:rFonts w:ascii="Calibri" w:hAnsi="Calibri"/>
                <w:b/>
                <w:color w:val="111827"/>
                <w:sz w:val="17"/>
              </w:rPr>
              <w:t>FPR</w:t>
            </w:r>
          </w:p>
        </w:tc>
        <w:tc>
          <w:tcPr>
            <w:tcW w:type="dxa" w:w="1656"/>
            <w:shd w:fill="E8EEF5"/>
            <w:vAlign w:val="center"/>
          </w:tcPr>
          <w:p>
            <w:r>
              <w:rPr>
                <w:rFonts w:ascii="Calibri" w:hAnsi="Calibri"/>
                <w:b/>
                <w:color w:val="111827"/>
                <w:sz w:val="17"/>
              </w:rPr>
              <w:t>Seal</w:t>
            </w:r>
          </w:p>
        </w:tc>
      </w:tr>
      <w:tr>
        <w:tc>
          <w:tcPr>
            <w:tcW w:type="dxa" w:w="1656"/>
            <w:vAlign w:val="center"/>
          </w:tcPr>
          <w:p>
            <w:r>
              <w:rPr>
                <w:rFonts w:ascii="Calibri" w:hAnsi="Calibri"/>
                <w:b w:val="0"/>
                <w:color w:val="111827"/>
                <w:sz w:val="16"/>
              </w:rPr>
              <w:t>ambient_memory</w:t>
            </w:r>
          </w:p>
        </w:tc>
        <w:tc>
          <w:tcPr>
            <w:tcW w:type="dxa" w:w="1656"/>
            <w:vAlign w:val="center"/>
          </w:tcPr>
          <w:p>
            <w:r>
              <w:rPr>
                <w:rFonts w:ascii="Calibri" w:hAnsi="Calibri"/>
                <w:b w:val="0"/>
                <w:color w:val="111827"/>
                <w:sz w:val="16"/>
              </w:rPr>
              <w:t>33.33%</w:t>
            </w:r>
          </w:p>
        </w:tc>
        <w:tc>
          <w:tcPr>
            <w:tcW w:type="dxa" w:w="1656"/>
            <w:vAlign w:val="center"/>
          </w:tcPr>
          <w:p>
            <w:r>
              <w:rPr>
                <w:rFonts w:ascii="Calibri" w:hAnsi="Calibri"/>
                <w:b w:val="0"/>
                <w:color w:val="111827"/>
                <w:sz w:val="16"/>
              </w:rPr>
              <w:t>22.22%</w:t>
            </w:r>
          </w:p>
        </w:tc>
        <w:tc>
          <w:tcPr>
            <w:tcW w:type="dxa" w:w="1656"/>
            <w:vAlign w:val="center"/>
          </w:tcPr>
          <w:p>
            <w:r>
              <w:rPr>
                <w:rFonts w:ascii="Calibri" w:hAnsi="Calibri"/>
                <w:b w:val="0"/>
                <w:color w:val="111827"/>
                <w:sz w:val="16"/>
              </w:rPr>
              <w:t>100.00%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keyword_filter</w:t>
            </w:r>
          </w:p>
        </w:tc>
        <w:tc>
          <w:tcPr>
            <w:tcW w:type="dxa" w:w="1656"/>
            <w:vAlign w:val="center"/>
          </w:tcPr>
          <w:p>
            <w:r>
              <w:rPr>
                <w:rFonts w:ascii="Calibri" w:hAnsi="Calibri"/>
                <w:b w:val="0"/>
                <w:color w:val="111827"/>
                <w:sz w:val="16"/>
              </w:rPr>
              <w:t>33.33%</w:t>
            </w:r>
          </w:p>
        </w:tc>
        <w:tc>
          <w:tcPr>
            <w:tcW w:type="dxa" w:w="1656"/>
            <w:vAlign w:val="center"/>
          </w:tcPr>
          <w:p>
            <w:r>
              <w:rPr>
                <w:rFonts w:ascii="Calibri" w:hAnsi="Calibri"/>
                <w:b w:val="0"/>
                <w:color w:val="111827"/>
                <w:sz w:val="16"/>
              </w:rPr>
              <w:t>22.22%</w:t>
            </w:r>
          </w:p>
        </w:tc>
        <w:tc>
          <w:tcPr>
            <w:tcW w:type="dxa" w:w="1656"/>
            <w:vAlign w:val="center"/>
          </w:tcPr>
          <w:p>
            <w:r>
              <w:rPr>
                <w:rFonts w:ascii="Calibri" w:hAnsi="Calibri"/>
                <w:b w:val="0"/>
                <w:color w:val="111827"/>
                <w:sz w:val="16"/>
              </w:rPr>
              <w:t>100.00%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output_moderation</w:t>
            </w:r>
          </w:p>
        </w:tc>
        <w:tc>
          <w:tcPr>
            <w:tcW w:type="dxa" w:w="1656"/>
            <w:vAlign w:val="center"/>
          </w:tcPr>
          <w:p>
            <w:r>
              <w:rPr>
                <w:rFonts w:ascii="Calibri" w:hAnsi="Calibri"/>
                <w:b w:val="0"/>
                <w:color w:val="111827"/>
                <w:sz w:val="16"/>
              </w:rPr>
              <w:t>33.33%</w:t>
            </w:r>
          </w:p>
        </w:tc>
        <w:tc>
          <w:tcPr>
            <w:tcW w:type="dxa" w:w="1656"/>
            <w:vAlign w:val="center"/>
          </w:tcPr>
          <w:p>
            <w:r>
              <w:rPr>
                <w:rFonts w:ascii="Calibri" w:hAnsi="Calibri"/>
                <w:b w:val="0"/>
                <w:color w:val="111827"/>
                <w:sz w:val="16"/>
              </w:rPr>
              <w:t>22.22%</w:t>
            </w:r>
          </w:p>
        </w:tc>
        <w:tc>
          <w:tcPr>
            <w:tcW w:type="dxa" w:w="1656"/>
            <w:vAlign w:val="center"/>
          </w:tcPr>
          <w:p>
            <w:r>
              <w:rPr>
                <w:rFonts w:ascii="Calibri" w:hAnsi="Calibri"/>
                <w:b w:val="0"/>
                <w:color w:val="111827"/>
                <w:sz w:val="16"/>
              </w:rPr>
              <w:t>100.00%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provenance_only</w:t>
            </w:r>
          </w:p>
        </w:tc>
        <w:tc>
          <w:tcPr>
            <w:tcW w:type="dxa" w:w="1656"/>
            <w:vAlign w:val="center"/>
          </w:tcPr>
          <w:p>
            <w:r>
              <w:rPr>
                <w:rFonts w:ascii="Calibri" w:hAnsi="Calibri"/>
                <w:b w:val="0"/>
                <w:color w:val="111827"/>
                <w:sz w:val="16"/>
              </w:rPr>
              <w:t>24.38%</w:t>
            </w:r>
          </w:p>
        </w:tc>
        <w:tc>
          <w:tcPr>
            <w:tcW w:type="dxa" w:w="1656"/>
            <w:vAlign w:val="center"/>
          </w:tcPr>
          <w:p>
            <w:r>
              <w:rPr>
                <w:rFonts w:ascii="Calibri" w:hAnsi="Calibri"/>
                <w:b w:val="0"/>
                <w:color w:val="111827"/>
                <w:sz w:val="16"/>
              </w:rPr>
              <w:t>16.25%</w:t>
            </w:r>
          </w:p>
        </w:tc>
        <w:tc>
          <w:tcPr>
            <w:tcW w:type="dxa" w:w="1656"/>
            <w:vAlign w:val="center"/>
          </w:tcPr>
          <w:p>
            <w:r>
              <w:rPr>
                <w:rFonts w:ascii="Calibri" w:hAnsi="Calibri"/>
                <w:b w:val="0"/>
                <w:color w:val="111827"/>
                <w:sz w:val="16"/>
              </w:rPr>
              <w:t>96.25%</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counterfactual_memory</w:t>
            </w:r>
          </w:p>
        </w:tc>
        <w:tc>
          <w:tcPr>
            <w:tcW w:type="dxa" w:w="1656"/>
            <w:vAlign w:val="center"/>
          </w:tcPr>
          <w:p>
            <w:r>
              <w:rPr>
                <w:rFonts w:ascii="Calibri" w:hAnsi="Calibri"/>
                <w:b w:val="0"/>
                <w:color w:val="111827"/>
                <w:sz w:val="16"/>
              </w:rPr>
              <w:t>3.96%</w:t>
            </w:r>
          </w:p>
        </w:tc>
        <w:tc>
          <w:tcPr>
            <w:tcW w:type="dxa" w:w="1656"/>
            <w:vAlign w:val="center"/>
          </w:tcPr>
          <w:p>
            <w:r>
              <w:rPr>
                <w:rFonts w:ascii="Calibri" w:hAnsi="Calibri"/>
                <w:b w:val="0"/>
                <w:color w:val="111827"/>
                <w:sz w:val="16"/>
              </w:rPr>
              <w:t>2.64%</w:t>
            </w:r>
          </w:p>
        </w:tc>
        <w:tc>
          <w:tcPr>
            <w:tcW w:type="dxa" w:w="1656"/>
            <w:vAlign w:val="center"/>
          </w:tcPr>
          <w:p>
            <w:r>
              <w:rPr>
                <w:rFonts w:ascii="Calibri" w:hAnsi="Calibri"/>
                <w:b w:val="0"/>
                <w:color w:val="111827"/>
                <w:sz w:val="16"/>
              </w:rPr>
              <w:t>91.25%</w:t>
            </w:r>
          </w:p>
        </w:tc>
        <w:tc>
          <w:tcPr>
            <w:tcW w:type="dxa" w:w="1656"/>
            <w:vAlign w:val="center"/>
          </w:tcPr>
          <w:p>
            <w:r>
              <w:rPr>
                <w:rFonts w:ascii="Calibri" w:hAnsi="Calibri"/>
                <w:b w:val="0"/>
                <w:color w:val="111827"/>
                <w:sz w:val="16"/>
              </w:rPr>
              <w:t>8.75%</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intent_capsules</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100.00%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8.33%</w:t>
            </w:r>
          </w:p>
        </w:tc>
      </w:tr>
    </w:tbl>
    <w:p>
      <w:pPr>
        <w:spacing w:after="40"/>
      </w:pPr>
    </w:p>
    <w:p>
      <w:pPr>
        <w:spacing w:after="120" w:line="259" w:lineRule="auto"/>
      </w:pPr>
      <w:r>
        <w:rPr>
          <w:rFonts w:ascii="Calibri" w:hAnsi="Calibri"/>
          <w:b w:val="0"/>
          <w:color w:val="111827"/>
          <w:sz w:val="20"/>
        </w:rPr>
        <w:t>Intent capsules are the only tested defense in this split to jointly achieve 0.00% ASR, 0.00% risky action, 100.00% benign accuracy, and 0.00% FPR.</w:t>
      </w:r>
    </w:p>
    <w:p>
      <w:pPr>
        <w:spacing w:before="160" w:after="100"/>
      </w:pPr>
      <w:r>
        <w:rPr>
          <w:rFonts w:ascii="Calibri" w:hAnsi="Calibri"/>
          <w:b/>
          <w:color w:val="1F4D78"/>
          <w:sz w:val="24"/>
        </w:rPr>
        <w:t>B. Poison Influence and Lifecycle Gap</w:t>
      </w:r>
    </w:p>
    <w:p>
      <w:pPr>
        <w:spacing w:before="120" w:after="60"/>
      </w:pPr>
      <w:r>
        <w:rPr>
          <w:rFonts w:ascii="Calibri" w:hAnsi="Calibri"/>
          <w:b/>
          <w:color w:val="1F4D78"/>
          <w:sz w:val="19"/>
        </w:rPr>
        <w:t>Table V. Lifecycle-gap result.</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fill="E8EEF5"/>
            <w:vAlign w:val="center"/>
          </w:tcPr>
          <w:p>
            <w:r>
              <w:rPr>
                <w:rFonts w:ascii="Calibri" w:hAnsi="Calibri"/>
                <w:b/>
                <w:color w:val="111827"/>
                <w:sz w:val="17"/>
              </w:rPr>
              <w:t>Agent</w:t>
            </w:r>
          </w:p>
        </w:tc>
        <w:tc>
          <w:tcPr>
            <w:tcW w:type="dxa" w:w="1987"/>
            <w:shd w:fill="E8EEF5"/>
            <w:vAlign w:val="center"/>
          </w:tcPr>
          <w:p>
            <w:r>
              <w:rPr>
                <w:rFonts w:ascii="Calibri" w:hAnsi="Calibri"/>
                <w:b/>
                <w:color w:val="111827"/>
                <w:sz w:val="17"/>
              </w:rPr>
              <w:t>ASR</w:t>
            </w:r>
          </w:p>
        </w:tc>
        <w:tc>
          <w:tcPr>
            <w:tcW w:type="dxa" w:w="1987"/>
            <w:shd w:fill="E8EEF5"/>
            <w:vAlign w:val="center"/>
          </w:tcPr>
          <w:p>
            <w:r>
              <w:rPr>
                <w:rFonts w:ascii="Calibri" w:hAnsi="Calibri"/>
                <w:b/>
                <w:color w:val="111827"/>
                <w:sz w:val="17"/>
              </w:rPr>
              <w:t>Risky</w:t>
            </w:r>
          </w:p>
        </w:tc>
        <w:tc>
          <w:tcPr>
            <w:tcW w:type="dxa" w:w="1987"/>
            <w:shd w:fill="E8EEF5"/>
            <w:vAlign w:val="center"/>
          </w:tcPr>
          <w:p>
            <w:r>
              <w:rPr>
                <w:rFonts w:ascii="Calibri" w:hAnsi="Calibri"/>
                <w:b/>
                <w:color w:val="111827"/>
                <w:sz w:val="17"/>
              </w:rPr>
              <w:t>Influence</w:t>
            </w:r>
          </w:p>
        </w:tc>
        <w:tc>
          <w:tcPr>
            <w:tcW w:type="dxa" w:w="1987"/>
            <w:shd w:fill="E8EEF5"/>
            <w:vAlign w:val="center"/>
          </w:tcPr>
          <w:p>
            <w:r>
              <w:rPr>
                <w:rFonts w:ascii="Calibri" w:hAnsi="Calibri"/>
                <w:b/>
                <w:color w:val="111827"/>
                <w:sz w:val="17"/>
              </w:rPr>
              <w:t>Benign</w:t>
            </w:r>
          </w:p>
        </w:tc>
      </w:tr>
      <w:tr>
        <w:tc>
          <w:tcPr>
            <w:tcW w:type="dxa" w:w="1987"/>
            <w:vAlign w:val="center"/>
          </w:tcPr>
          <w:p>
            <w:r>
              <w:rPr>
                <w:rFonts w:ascii="Calibri" w:hAnsi="Calibri"/>
                <w:b w:val="0"/>
                <w:color w:val="111827"/>
                <w:sz w:val="16"/>
              </w:rPr>
              <w:t>output_moderation</w:t>
            </w:r>
          </w:p>
        </w:tc>
        <w:tc>
          <w:tcPr>
            <w:tcW w:type="dxa" w:w="1987"/>
            <w:vAlign w:val="center"/>
          </w:tcPr>
          <w:p>
            <w:r>
              <w:rPr>
                <w:rFonts w:ascii="Calibri" w:hAnsi="Calibri"/>
                <w:b w:val="0"/>
                <w:color w:val="111827"/>
                <w:sz w:val="16"/>
              </w:rPr>
              <w:t>34.05%</w:t>
            </w:r>
          </w:p>
        </w:tc>
        <w:tc>
          <w:tcPr>
            <w:tcW w:type="dxa" w:w="1987"/>
            <w:vAlign w:val="center"/>
          </w:tcPr>
          <w:p>
            <w:r>
              <w:rPr>
                <w:rFonts w:ascii="Calibri" w:hAnsi="Calibri"/>
                <w:b w:val="0"/>
                <w:color w:val="111827"/>
                <w:sz w:val="16"/>
              </w:rPr>
              <w:t>23.83%</w:t>
            </w:r>
          </w:p>
        </w:tc>
        <w:tc>
          <w:tcPr>
            <w:tcW w:type="dxa" w:w="1987"/>
            <w:vAlign w:val="center"/>
          </w:tcPr>
          <w:p>
            <w:r>
              <w:rPr>
                <w:rFonts w:ascii="Calibri" w:hAnsi="Calibri"/>
                <w:b w:val="0"/>
                <w:color w:val="111827"/>
                <w:sz w:val="16"/>
              </w:rPr>
              <w:t>34.05%</w:t>
            </w:r>
          </w:p>
        </w:tc>
        <w:tc>
          <w:tcPr>
            <w:tcW w:type="dxa" w:w="1987"/>
            <w:vAlign w:val="center"/>
          </w:tcPr>
          <w:p>
            <w:r>
              <w:rPr>
                <w:rFonts w:ascii="Calibri" w:hAnsi="Calibri"/>
                <w:b w:val="0"/>
                <w:color w:val="111827"/>
                <w:sz w:val="16"/>
              </w:rPr>
              <w:t>100.00%</w:t>
            </w:r>
          </w:p>
        </w:tc>
      </w:tr>
      <w:tr>
        <w:tc>
          <w:tcPr>
            <w:tcW w:type="dxa" w:w="1987"/>
            <w:vAlign w:val="center"/>
          </w:tcPr>
          <w:p>
            <w:r>
              <w:rPr>
                <w:rFonts w:ascii="Calibri" w:hAnsi="Calibri"/>
                <w:b w:val="0"/>
                <w:color w:val="111827"/>
                <w:sz w:val="16"/>
              </w:rPr>
              <w:t>semantic_output_judge</w:t>
            </w:r>
          </w:p>
        </w:tc>
        <w:tc>
          <w:tcPr>
            <w:tcW w:type="dxa" w:w="1987"/>
            <w:vAlign w:val="center"/>
          </w:tcPr>
          <w:p>
            <w:r>
              <w:rPr>
                <w:rFonts w:ascii="Calibri" w:hAnsi="Calibri"/>
                <w:b w:val="0"/>
                <w:color w:val="111827"/>
                <w:sz w:val="16"/>
              </w:rPr>
              <w:t>13.10%</w:t>
            </w:r>
          </w:p>
        </w:tc>
        <w:tc>
          <w:tcPr>
            <w:tcW w:type="dxa" w:w="1987"/>
            <w:vAlign w:val="center"/>
          </w:tcPr>
          <w:p>
            <w:r>
              <w:rPr>
                <w:rFonts w:ascii="Calibri" w:hAnsi="Calibri"/>
                <w:b w:val="0"/>
                <w:color w:val="111827"/>
                <w:sz w:val="16"/>
              </w:rPr>
              <w:t>9.17%</w:t>
            </w:r>
          </w:p>
        </w:tc>
        <w:tc>
          <w:tcPr>
            <w:tcW w:type="dxa" w:w="1987"/>
            <w:vAlign w:val="center"/>
          </w:tcPr>
          <w:p>
            <w:r>
              <w:rPr>
                <w:rFonts w:ascii="Calibri" w:hAnsi="Calibri"/>
                <w:b w:val="0"/>
                <w:color w:val="111827"/>
                <w:sz w:val="16"/>
              </w:rPr>
              <w:t>34.05%</w:t>
            </w:r>
          </w:p>
        </w:tc>
        <w:tc>
          <w:tcPr>
            <w:tcW w:type="dxa" w:w="1987"/>
            <w:vAlign w:val="center"/>
          </w:tcPr>
          <w:p>
            <w:r>
              <w:rPr>
                <w:rFonts w:ascii="Calibri" w:hAnsi="Calibri"/>
                <w:b w:val="0"/>
                <w:color w:val="111827"/>
                <w:sz w:val="16"/>
              </w:rPr>
              <w:t>100.00%</w:t>
            </w:r>
          </w:p>
        </w:tc>
      </w:tr>
      <w:tr>
        <w:tc>
          <w:tcPr>
            <w:tcW w:type="dxa" w:w="1987"/>
            <w:vAlign w:val="center"/>
          </w:tcPr>
          <w:p>
            <w:r>
              <w:rPr>
                <w:rFonts w:ascii="Calibri" w:hAnsi="Calibri"/>
                <w:b w:val="0"/>
                <w:color w:val="111827"/>
                <w:sz w:val="16"/>
              </w:rPr>
              <w:t>ablation_no_denied_actions</w:t>
            </w:r>
          </w:p>
        </w:tc>
        <w:tc>
          <w:tcPr>
            <w:tcW w:type="dxa" w:w="1987"/>
            <w:vAlign w:val="center"/>
          </w:tcPr>
          <w:p>
            <w:r>
              <w:rPr>
                <w:rFonts w:ascii="Calibri" w:hAnsi="Calibri"/>
                <w:b w:val="0"/>
                <w:color w:val="111827"/>
                <w:sz w:val="16"/>
              </w:rPr>
              <w:t>0.00%</w:t>
            </w:r>
          </w:p>
        </w:tc>
        <w:tc>
          <w:tcPr>
            <w:tcW w:type="dxa" w:w="1987"/>
            <w:vAlign w:val="center"/>
          </w:tcPr>
          <w:p>
            <w:r>
              <w:rPr>
                <w:rFonts w:ascii="Calibri" w:hAnsi="Calibri"/>
                <w:b w:val="0"/>
                <w:color w:val="111827"/>
                <w:sz w:val="16"/>
              </w:rPr>
              <w:t>0.00%</w:t>
            </w:r>
          </w:p>
        </w:tc>
        <w:tc>
          <w:tcPr>
            <w:tcW w:type="dxa" w:w="1987"/>
            <w:vAlign w:val="center"/>
          </w:tcPr>
          <w:p>
            <w:r>
              <w:rPr>
                <w:rFonts w:ascii="Calibri" w:hAnsi="Calibri"/>
                <w:b w:val="0"/>
                <w:color w:val="111827"/>
                <w:sz w:val="16"/>
              </w:rPr>
              <w:t>57.14%</w:t>
            </w:r>
          </w:p>
        </w:tc>
        <w:tc>
          <w:tcPr>
            <w:tcW w:type="dxa" w:w="1987"/>
            <w:vAlign w:val="center"/>
          </w:tcPr>
          <w:p>
            <w:r>
              <w:rPr>
                <w:rFonts w:ascii="Calibri" w:hAnsi="Calibri"/>
                <w:b w:val="0"/>
                <w:color w:val="111827"/>
                <w:sz w:val="16"/>
              </w:rPr>
              <w:t>100.00%</w:t>
            </w:r>
          </w:p>
        </w:tc>
      </w:tr>
      <w:tr>
        <w:tc>
          <w:tcPr>
            <w:tcW w:type="dxa" w:w="1987"/>
            <w:vAlign w:val="center"/>
          </w:tcPr>
          <w:p>
            <w:r>
              <w:rPr>
                <w:rFonts w:ascii="Calibri" w:hAnsi="Calibri"/>
                <w:b w:val="0"/>
                <w:color w:val="111827"/>
                <w:sz w:val="16"/>
              </w:rPr>
              <w:t>intent_capsules</w:t>
            </w:r>
          </w:p>
        </w:tc>
        <w:tc>
          <w:tcPr>
            <w:tcW w:type="dxa" w:w="1987"/>
            <w:vAlign w:val="center"/>
          </w:tcPr>
          <w:p>
            <w:r>
              <w:rPr>
                <w:rFonts w:ascii="Calibri" w:hAnsi="Calibri"/>
                <w:b w:val="0"/>
                <w:color w:val="111827"/>
                <w:sz w:val="16"/>
              </w:rPr>
              <w:t>0.00%</w:t>
            </w:r>
          </w:p>
        </w:tc>
        <w:tc>
          <w:tcPr>
            <w:tcW w:type="dxa" w:w="1987"/>
            <w:vAlign w:val="center"/>
          </w:tcPr>
          <w:p>
            <w:r>
              <w:rPr>
                <w:rFonts w:ascii="Calibri" w:hAnsi="Calibri"/>
                <w:b w:val="0"/>
                <w:color w:val="111827"/>
                <w:sz w:val="16"/>
              </w:rPr>
              <w:t>0.00%</w:t>
            </w:r>
          </w:p>
        </w:tc>
        <w:tc>
          <w:tcPr>
            <w:tcW w:type="dxa" w:w="1987"/>
            <w:vAlign w:val="center"/>
          </w:tcPr>
          <w:p>
            <w:r>
              <w:rPr>
                <w:rFonts w:ascii="Calibri" w:hAnsi="Calibri"/>
                <w:b w:val="0"/>
                <w:color w:val="111827"/>
                <w:sz w:val="16"/>
              </w:rPr>
              <w:t>0.00%</w:t>
            </w:r>
          </w:p>
        </w:tc>
        <w:tc>
          <w:tcPr>
            <w:tcW w:type="dxa" w:w="1987"/>
            <w:vAlign w:val="center"/>
          </w:tcPr>
          <w:p>
            <w:r>
              <w:rPr>
                <w:rFonts w:ascii="Calibri" w:hAnsi="Calibri"/>
                <w:b w:val="0"/>
                <w:color w:val="111827"/>
                <w:sz w:val="16"/>
              </w:rPr>
              <w:t>100.00%</w:t>
            </w:r>
          </w:p>
        </w:tc>
      </w:tr>
    </w:tbl>
    <w:p>
      <w:pPr>
        <w:spacing w:after="40"/>
      </w:pPr>
    </w:p>
    <w:p>
      <w:pPr>
        <w:spacing w:before="160" w:after="100"/>
      </w:pPr>
      <w:r>
        <w:rPr>
          <w:rFonts w:ascii="Calibri" w:hAnsi="Calibri"/>
          <w:b/>
          <w:color w:val="1F4D78"/>
          <w:sz w:val="24"/>
        </w:rPr>
        <w:t>C. Converted AgentDojo/InjecAgent Traces</w:t>
      </w:r>
    </w:p>
    <w:p>
      <w:pPr>
        <w:spacing w:before="120" w:after="60"/>
      </w:pPr>
      <w:r>
        <w:rPr>
          <w:rFonts w:ascii="Calibri" w:hAnsi="Calibri"/>
          <w:b/>
          <w:color w:val="1F4D78"/>
          <w:sz w:val="19"/>
        </w:rPr>
        <w:t>Table VI. Converted external trace-corpus result.</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fill="E8EEF5"/>
            <w:vAlign w:val="center"/>
          </w:tcPr>
          <w:p>
            <w:r>
              <w:rPr>
                <w:rFonts w:ascii="Calibri" w:hAnsi="Calibri"/>
                <w:b/>
                <w:color w:val="111827"/>
                <w:sz w:val="17"/>
              </w:rPr>
              <w:t>Corpus</w:t>
            </w:r>
          </w:p>
        </w:tc>
        <w:tc>
          <w:tcPr>
            <w:tcW w:type="dxa" w:w="1656"/>
            <w:shd w:fill="E8EEF5"/>
            <w:vAlign w:val="center"/>
          </w:tcPr>
          <w:p>
            <w:r>
              <w:rPr>
                <w:rFonts w:ascii="Calibri" w:hAnsi="Calibri"/>
                <w:b/>
                <w:color w:val="111827"/>
                <w:sz w:val="17"/>
              </w:rPr>
              <w:t>Out ASR</w:t>
            </w:r>
          </w:p>
        </w:tc>
        <w:tc>
          <w:tcPr>
            <w:tcW w:type="dxa" w:w="1656"/>
            <w:shd w:fill="E8EEF5"/>
            <w:vAlign w:val="center"/>
          </w:tcPr>
          <w:p>
            <w:r>
              <w:rPr>
                <w:rFonts w:ascii="Calibri" w:hAnsi="Calibri"/>
                <w:b/>
                <w:color w:val="111827"/>
                <w:sz w:val="17"/>
              </w:rPr>
              <w:t>Out infl.</w:t>
            </w:r>
          </w:p>
        </w:tc>
        <w:tc>
          <w:tcPr>
            <w:tcW w:type="dxa" w:w="1656"/>
            <w:shd w:fill="E8EEF5"/>
            <w:vAlign w:val="center"/>
          </w:tcPr>
          <w:p>
            <w:r>
              <w:rPr>
                <w:rFonts w:ascii="Calibri" w:hAnsi="Calibri"/>
                <w:b/>
                <w:color w:val="111827"/>
                <w:sz w:val="17"/>
              </w:rPr>
              <w:t>Cap ASR</w:t>
            </w:r>
          </w:p>
        </w:tc>
        <w:tc>
          <w:tcPr>
            <w:tcW w:type="dxa" w:w="1656"/>
            <w:shd w:fill="E8EEF5"/>
            <w:vAlign w:val="center"/>
          </w:tcPr>
          <w:p>
            <w:r>
              <w:rPr>
                <w:rFonts w:ascii="Calibri" w:hAnsi="Calibri"/>
                <w:b/>
                <w:color w:val="111827"/>
                <w:sz w:val="17"/>
              </w:rPr>
              <w:t>Cap infl.</w:t>
            </w:r>
          </w:p>
        </w:tc>
        <w:tc>
          <w:tcPr>
            <w:tcW w:type="dxa" w:w="1656"/>
            <w:shd w:fill="E8EEF5"/>
            <w:vAlign w:val="center"/>
          </w:tcPr>
          <w:p>
            <w:r>
              <w:rPr>
                <w:rFonts w:ascii="Calibri" w:hAnsi="Calibri"/>
                <w:b/>
                <w:color w:val="111827"/>
                <w:sz w:val="17"/>
              </w:rPr>
              <w:t>Cap seal</w:t>
            </w:r>
          </w:p>
        </w:tc>
      </w:tr>
      <w:tr>
        <w:tc>
          <w:tcPr>
            <w:tcW w:type="dxa" w:w="1656"/>
            <w:vAlign w:val="center"/>
          </w:tcPr>
          <w:p>
            <w:r>
              <w:rPr>
                <w:rFonts w:ascii="Calibri" w:hAnsi="Calibri"/>
                <w:b w:val="0"/>
                <w:color w:val="111827"/>
                <w:sz w:val="16"/>
              </w:rPr>
              <w:t>AgentDojo all</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80.65%</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83.87%</w:t>
            </w:r>
          </w:p>
        </w:tc>
      </w:tr>
      <w:tr>
        <w:tc>
          <w:tcPr>
            <w:tcW w:type="dxa" w:w="1656"/>
            <w:vAlign w:val="center"/>
          </w:tcPr>
          <w:p>
            <w:r>
              <w:rPr>
                <w:rFonts w:ascii="Calibri" w:hAnsi="Calibri"/>
                <w:b w:val="0"/>
                <w:color w:val="111827"/>
                <w:sz w:val="16"/>
              </w:rPr>
              <w:t>InjecAgent all</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61.29%</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61.48%</w:t>
            </w:r>
          </w:p>
        </w:tc>
      </w:tr>
      <w:tr>
        <w:tc>
          <w:tcPr>
            <w:tcW w:type="dxa" w:w="1656"/>
            <w:vAlign w:val="center"/>
          </w:tcPr>
          <w:p>
            <w:r>
              <w:rPr>
                <w:rFonts w:ascii="Calibri" w:hAnsi="Calibri"/>
                <w:b w:val="0"/>
                <w:color w:val="111827"/>
                <w:sz w:val="16"/>
              </w:rPr>
              <w:t>InjecAgent DH</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30.00%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30.39%</w:t>
            </w:r>
          </w:p>
        </w:tc>
      </w:tr>
      <w:tr>
        <w:tc>
          <w:tcPr>
            <w:tcW w:type="dxa" w:w="1656"/>
            <w:vAlign w:val="center"/>
          </w:tcPr>
          <w:p>
            <w:r>
              <w:rPr>
                <w:rFonts w:ascii="Calibri" w:hAnsi="Calibri"/>
                <w:b w:val="0"/>
                <w:color w:val="111827"/>
                <w:sz w:val="16"/>
              </w:rPr>
              <w:t>InjecAgent DS</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90.62%</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90.62%</w:t>
            </w:r>
          </w:p>
        </w:tc>
      </w:tr>
    </w:tbl>
    <w:p>
      <w:pPr>
        <w:spacing w:after="40"/>
      </w:pPr>
    </w:p>
    <w:p>
      <w:pPr>
        <w:spacing w:after="120" w:line="259" w:lineRule="auto"/>
      </w:pPr>
      <w:r>
        <w:rPr>
          <w:rFonts w:ascii="Calibri" w:hAnsi="Calibri"/>
          <w:b w:val="0"/>
          <w:color w:val="111827"/>
          <w:sz w:val="20"/>
        </w:rPr>
        <w:t>On converted AgentDojo and InjecAgent traces, output moderation and semantic judges can reach 0.00% final ASR but still allow 30.00%-90.62% poison influence. Intent capsules reach 0.00% ASR and 0.00% poison influence across all converted splits.</w:t>
      </w:r>
    </w:p>
    <w:p>
      <w:pPr>
        <w:spacing w:before="160" w:after="100"/>
      </w:pPr>
      <w:r>
        <w:rPr>
          <w:rFonts w:ascii="Calibri" w:hAnsi="Calibri"/>
          <w:b/>
          <w:color w:val="1F4D78"/>
          <w:sz w:val="24"/>
        </w:rPr>
        <w:t>D. Stress and Live LLM Results</w:t>
      </w:r>
    </w:p>
    <w:p>
      <w:pPr>
        <w:spacing w:before="120" w:after="60"/>
      </w:pPr>
      <w:r>
        <w:rPr>
          <w:rFonts w:ascii="Calibri" w:hAnsi="Calibri"/>
          <w:b/>
          <w:color w:val="1F4D78"/>
          <w:sz w:val="19"/>
        </w:rPr>
        <w:t>Table VII. Stress-suite examples.</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fill="E8EEF5"/>
            <w:vAlign w:val="center"/>
          </w:tcPr>
          <w:p>
            <w:r>
              <w:rPr>
                <w:rFonts w:ascii="Calibri" w:hAnsi="Calibri"/>
                <w:b/>
                <w:color w:val="111827"/>
                <w:sz w:val="17"/>
              </w:rPr>
              <w:t>Suite</w:t>
            </w:r>
          </w:p>
        </w:tc>
        <w:tc>
          <w:tcPr>
            <w:tcW w:type="dxa" w:w="1987"/>
            <w:shd w:fill="E8EEF5"/>
            <w:vAlign w:val="center"/>
          </w:tcPr>
          <w:p>
            <w:r>
              <w:rPr>
                <w:rFonts w:ascii="Calibri" w:hAnsi="Calibri"/>
                <w:b/>
                <w:color w:val="111827"/>
                <w:sz w:val="17"/>
              </w:rPr>
              <w:t>Ambient ASR</w:t>
            </w:r>
          </w:p>
        </w:tc>
        <w:tc>
          <w:tcPr>
            <w:tcW w:type="dxa" w:w="1987"/>
            <w:shd w:fill="E8EEF5"/>
            <w:vAlign w:val="center"/>
          </w:tcPr>
          <w:p>
            <w:r>
              <w:rPr>
                <w:rFonts w:ascii="Calibri" w:hAnsi="Calibri"/>
                <w:b/>
                <w:color w:val="111827"/>
                <w:sz w:val="17"/>
              </w:rPr>
              <w:t>Provenance ASR</w:t>
            </w:r>
          </w:p>
        </w:tc>
        <w:tc>
          <w:tcPr>
            <w:tcW w:type="dxa" w:w="1987"/>
            <w:shd w:fill="E8EEF5"/>
            <w:vAlign w:val="center"/>
          </w:tcPr>
          <w:p>
            <w:r>
              <w:rPr>
                <w:rFonts w:ascii="Calibri" w:hAnsi="Calibri"/>
                <w:b/>
                <w:color w:val="111827"/>
                <w:sz w:val="17"/>
              </w:rPr>
              <w:t>Capsule ASR</w:t>
            </w:r>
          </w:p>
        </w:tc>
        <w:tc>
          <w:tcPr>
            <w:tcW w:type="dxa" w:w="1987"/>
            <w:shd w:fill="E8EEF5"/>
            <w:vAlign w:val="center"/>
          </w:tcPr>
          <w:p>
            <w:r>
              <w:rPr>
                <w:rFonts w:ascii="Calibri" w:hAnsi="Calibri"/>
                <w:b/>
                <w:color w:val="111827"/>
                <w:sz w:val="17"/>
              </w:rPr>
              <w:t>Capsule benign</w:t>
            </w:r>
          </w:p>
        </w:tc>
      </w:tr>
      <w:tr>
        <w:tc>
          <w:tcPr>
            <w:tcW w:type="dxa" w:w="1987"/>
            <w:vAlign w:val="center"/>
          </w:tcPr>
          <w:p>
            <w:r>
              <w:rPr>
                <w:rFonts w:ascii="Calibri" w:hAnsi="Calibri"/>
                <w:b w:val="0"/>
                <w:color w:val="111827"/>
                <w:sz w:val="16"/>
              </w:rPr>
              <w:t>Generated holdout</w:t>
            </w:r>
          </w:p>
        </w:tc>
        <w:tc>
          <w:tcPr>
            <w:tcW w:type="dxa" w:w="1987"/>
            <w:vAlign w:val="center"/>
          </w:tcPr>
          <w:p>
            <w:r>
              <w:rPr>
                <w:rFonts w:ascii="Calibri" w:hAnsi="Calibri"/>
                <w:b w:val="0"/>
                <w:color w:val="111827"/>
                <w:sz w:val="16"/>
              </w:rPr>
              <w:t>44.37%</w:t>
            </w:r>
          </w:p>
        </w:tc>
        <w:tc>
          <w:tcPr>
            <w:tcW w:type="dxa" w:w="1987"/>
            <w:vAlign w:val="center"/>
          </w:tcPr>
          <w:p>
            <w:r>
              <w:rPr>
                <w:rFonts w:ascii="Calibri" w:hAnsi="Calibri"/>
                <w:b w:val="0"/>
                <w:color w:val="111827"/>
                <w:sz w:val="16"/>
              </w:rPr>
              <w:t>13.13%</w:t>
            </w:r>
          </w:p>
        </w:tc>
        <w:tc>
          <w:tcPr>
            <w:tcW w:type="dxa" w:w="1987"/>
            <w:vAlign w:val="center"/>
          </w:tcPr>
          <w:p>
            <w:r>
              <w:rPr>
                <w:rFonts w:ascii="Calibri" w:hAnsi="Calibri"/>
                <w:b w:val="0"/>
                <w:color w:val="111827"/>
                <w:sz w:val="16"/>
              </w:rPr>
              <w:t>0.00%</w:t>
            </w:r>
          </w:p>
        </w:tc>
        <w:tc>
          <w:tcPr>
            <w:tcW w:type="dxa" w:w="1987"/>
            <w:vAlign w:val="center"/>
          </w:tcPr>
          <w:p>
            <w:r>
              <w:rPr>
                <w:rFonts w:ascii="Calibri" w:hAnsi="Calibri"/>
                <w:b w:val="0"/>
                <w:color w:val="111827"/>
                <w:sz w:val="16"/>
              </w:rPr>
              <w:t>100.00%</w:t>
            </w:r>
          </w:p>
        </w:tc>
      </w:tr>
      <w:tr>
        <w:tc>
          <w:tcPr>
            <w:tcW w:type="dxa" w:w="1987"/>
            <w:vAlign w:val="center"/>
          </w:tcPr>
          <w:p>
            <w:r>
              <w:rPr>
                <w:rFonts w:ascii="Calibri" w:hAnsi="Calibri"/>
                <w:b w:val="0"/>
                <w:color w:val="111827"/>
                <w:sz w:val="16"/>
              </w:rPr>
              <w:t>Advanced suite</w:t>
            </w:r>
          </w:p>
        </w:tc>
        <w:tc>
          <w:tcPr>
            <w:tcW w:type="dxa" w:w="1987"/>
            <w:vAlign w:val="center"/>
          </w:tcPr>
          <w:p>
            <w:r>
              <w:rPr>
                <w:rFonts w:ascii="Calibri" w:hAnsi="Calibri"/>
                <w:b w:val="0"/>
                <w:color w:val="111827"/>
                <w:sz w:val="16"/>
              </w:rPr>
              <w:t>17.41%</w:t>
            </w:r>
          </w:p>
        </w:tc>
        <w:tc>
          <w:tcPr>
            <w:tcW w:type="dxa" w:w="1987"/>
            <w:vAlign w:val="center"/>
          </w:tcPr>
          <w:p>
            <w:r>
              <w:rPr>
                <w:rFonts w:ascii="Calibri" w:hAnsi="Calibri"/>
                <w:b w:val="0"/>
                <w:color w:val="111827"/>
                <w:sz w:val="16"/>
              </w:rPr>
              <w:t>2.59%</w:t>
            </w:r>
          </w:p>
        </w:tc>
        <w:tc>
          <w:tcPr>
            <w:tcW w:type="dxa" w:w="1987"/>
            <w:vAlign w:val="center"/>
          </w:tcPr>
          <w:p>
            <w:r>
              <w:rPr>
                <w:rFonts w:ascii="Calibri" w:hAnsi="Calibri"/>
                <w:b w:val="0"/>
                <w:color w:val="111827"/>
                <w:sz w:val="16"/>
              </w:rPr>
              <w:t>0.00%</w:t>
            </w:r>
          </w:p>
        </w:tc>
        <w:tc>
          <w:tcPr>
            <w:tcW w:type="dxa" w:w="1987"/>
            <w:vAlign w:val="center"/>
          </w:tcPr>
          <w:p>
            <w:r>
              <w:rPr>
                <w:rFonts w:ascii="Calibri" w:hAnsi="Calibri"/>
                <w:b w:val="0"/>
                <w:color w:val="111827"/>
                <w:sz w:val="16"/>
              </w:rPr>
              <w:t>100.00%</w:t>
            </w:r>
          </w:p>
        </w:tc>
      </w:tr>
    </w:tbl>
    <w:p>
      <w:pPr>
        <w:spacing w:after="40"/>
      </w:pPr>
    </w:p>
    <w:p>
      <w:pPr>
        <w:spacing w:before="120" w:after="60"/>
      </w:pPr>
      <w:r>
        <w:rPr>
          <w:rFonts w:ascii="Calibri" w:hAnsi="Calibri"/>
          <w:b/>
          <w:color w:val="1F4D78"/>
          <w:sz w:val="19"/>
        </w:rPr>
        <w:t>Table VIII. Medium live LLM planner result.</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fill="E8EEF5"/>
            <w:vAlign w:val="center"/>
          </w:tcPr>
          <w:p>
            <w:r>
              <w:rPr>
                <w:rFonts w:ascii="Calibri" w:hAnsi="Calibri"/>
                <w:b/>
                <w:color w:val="111827"/>
                <w:sz w:val="17"/>
              </w:rPr>
              <w:t>Condition</w:t>
            </w:r>
          </w:p>
        </w:tc>
        <w:tc>
          <w:tcPr>
            <w:tcW w:type="dxa" w:w="1656"/>
            <w:shd w:fill="E8EEF5"/>
            <w:vAlign w:val="center"/>
          </w:tcPr>
          <w:p>
            <w:r>
              <w:rPr>
                <w:rFonts w:ascii="Calibri" w:hAnsi="Calibri"/>
                <w:b/>
                <w:color w:val="111827"/>
                <w:sz w:val="17"/>
              </w:rPr>
              <w:t>Rows</w:t>
            </w:r>
          </w:p>
        </w:tc>
        <w:tc>
          <w:tcPr>
            <w:tcW w:type="dxa" w:w="1656"/>
            <w:shd w:fill="E8EEF5"/>
            <w:vAlign w:val="center"/>
          </w:tcPr>
          <w:p>
            <w:r>
              <w:rPr>
                <w:rFonts w:ascii="Calibri" w:hAnsi="Calibri"/>
                <w:b/>
                <w:color w:val="111827"/>
                <w:sz w:val="17"/>
              </w:rPr>
              <w:t>Tempted</w:t>
            </w:r>
          </w:p>
        </w:tc>
        <w:tc>
          <w:tcPr>
            <w:tcW w:type="dxa" w:w="1656"/>
            <w:shd w:fill="E8EEF5"/>
            <w:vAlign w:val="center"/>
          </w:tcPr>
          <w:p>
            <w:r>
              <w:rPr>
                <w:rFonts w:ascii="Calibri" w:hAnsi="Calibri"/>
                <w:b/>
                <w:color w:val="111827"/>
                <w:sz w:val="17"/>
              </w:rPr>
              <w:t>Final ASR</w:t>
            </w:r>
          </w:p>
        </w:tc>
        <w:tc>
          <w:tcPr>
            <w:tcW w:type="dxa" w:w="1656"/>
            <w:shd w:fill="E8EEF5"/>
            <w:vAlign w:val="center"/>
          </w:tcPr>
          <w:p>
            <w:r>
              <w:rPr>
                <w:rFonts w:ascii="Calibri" w:hAnsi="Calibri"/>
                <w:b/>
                <w:color w:val="111827"/>
                <w:sz w:val="17"/>
              </w:rPr>
              <w:t>Risky</w:t>
            </w:r>
          </w:p>
        </w:tc>
        <w:tc>
          <w:tcPr>
            <w:tcW w:type="dxa" w:w="1656"/>
            <w:shd w:fill="E8EEF5"/>
            <w:vAlign w:val="center"/>
          </w:tcPr>
          <w:p>
            <w:r>
              <w:rPr>
                <w:rFonts w:ascii="Calibri" w:hAnsi="Calibri"/>
                <w:b/>
                <w:color w:val="111827"/>
                <w:sz w:val="17"/>
              </w:rPr>
              <w:t>Raw parse</w:t>
            </w:r>
          </w:p>
        </w:tc>
      </w:tr>
      <w:tr>
        <w:tc>
          <w:tcPr>
            <w:tcW w:type="dxa" w:w="1656"/>
            <w:vAlign w:val="center"/>
          </w:tcPr>
          <w:p>
            <w:r>
              <w:rPr>
                <w:rFonts w:ascii="Calibri" w:hAnsi="Calibri"/>
                <w:b w:val="0"/>
                <w:color w:val="111827"/>
                <w:sz w:val="16"/>
              </w:rPr>
              <w:t>ambient</w:t>
            </w:r>
          </w:p>
        </w:tc>
        <w:tc>
          <w:tcPr>
            <w:tcW w:type="dxa" w:w="1656"/>
            <w:vAlign w:val="center"/>
          </w:tcPr>
          <w:p>
            <w:r>
              <w:rPr>
                <w:rFonts w:ascii="Calibri" w:hAnsi="Calibri"/>
                <w:b w:val="0"/>
                <w:color w:val="111827"/>
                <w:sz w:val="16"/>
              </w:rPr>
              <w:t>108</w:t>
            </w:r>
          </w:p>
        </w:tc>
        <w:tc>
          <w:tcPr>
            <w:tcW w:type="dxa" w:w="1656"/>
            <w:vAlign w:val="center"/>
          </w:tcPr>
          <w:p>
            <w:r>
              <w:rPr>
                <w:rFonts w:ascii="Calibri" w:hAnsi="Calibri"/>
                <w:b w:val="0"/>
                <w:color w:val="111827"/>
                <w:sz w:val="16"/>
              </w:rPr>
              <w:t>22.22%</w:t>
            </w:r>
          </w:p>
        </w:tc>
        <w:tc>
          <w:tcPr>
            <w:tcW w:type="dxa" w:w="1656"/>
            <w:vAlign w:val="center"/>
          </w:tcPr>
          <w:p>
            <w:r>
              <w:rPr>
                <w:rFonts w:ascii="Calibri" w:hAnsi="Calibri"/>
                <w:b w:val="0"/>
                <w:color w:val="111827"/>
                <w:sz w:val="16"/>
              </w:rPr>
              <w:t>22.22%</w:t>
            </w:r>
          </w:p>
        </w:tc>
        <w:tc>
          <w:tcPr>
            <w:tcW w:type="dxa" w:w="1656"/>
            <w:vAlign w:val="center"/>
          </w:tcPr>
          <w:p>
            <w:r>
              <w:rPr>
                <w:rFonts w:ascii="Calibri" w:hAnsi="Calibri"/>
                <w:b w:val="0"/>
                <w:color w:val="111827"/>
                <w:sz w:val="16"/>
              </w:rPr>
              <w:t>22.22%</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capsule-filtered</w:t>
            </w:r>
          </w:p>
        </w:tc>
        <w:tc>
          <w:tcPr>
            <w:tcW w:type="dxa" w:w="1656"/>
            <w:vAlign w:val="center"/>
          </w:tcPr>
          <w:p>
            <w:r>
              <w:rPr>
                <w:rFonts w:ascii="Calibri" w:hAnsi="Calibri"/>
                <w:b w:val="0"/>
                <w:color w:val="111827"/>
                <w:sz w:val="16"/>
              </w:rPr>
              <w:t>108</w:t>
            </w:r>
          </w:p>
        </w:tc>
        <w:tc>
          <w:tcPr>
            <w:tcW w:type="dxa" w:w="1656"/>
            <w:vAlign w:val="center"/>
          </w:tcPr>
          <w:p>
            <w:r>
              <w:rPr>
                <w:rFonts w:ascii="Calibri" w:hAnsi="Calibri"/>
                <w:b w:val="0"/>
                <w:color w:val="111827"/>
                <w:sz w:val="16"/>
              </w:rPr>
              <w:t>2.78%</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bl>
    <w:p>
      <w:pPr>
        <w:spacing w:after="40"/>
      </w:pPr>
    </w:p>
    <w:p>
      <w:pPr>
        <w:spacing w:before="120" w:after="60"/>
      </w:pPr>
      <w:r>
        <w:rPr>
          <w:rFonts w:ascii="Calibri" w:hAnsi="Calibri"/>
          <w:b/>
          <w:color w:val="1F4D78"/>
          <w:sz w:val="19"/>
        </w:rPr>
        <w:t>Table IX. Defended live LLM result by model.</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fill="E8EEF5"/>
            <w:vAlign w:val="center"/>
          </w:tcPr>
          <w:p>
            <w:r>
              <w:rPr>
                <w:rFonts w:ascii="Calibri" w:hAnsi="Calibri"/>
                <w:b/>
                <w:color w:val="111827"/>
                <w:sz w:val="17"/>
              </w:rPr>
              <w:t>Model</w:t>
            </w:r>
          </w:p>
        </w:tc>
        <w:tc>
          <w:tcPr>
            <w:tcW w:type="dxa" w:w="1656"/>
            <w:shd w:fill="E8EEF5"/>
            <w:vAlign w:val="center"/>
          </w:tcPr>
          <w:p>
            <w:r>
              <w:rPr>
                <w:rFonts w:ascii="Calibri" w:hAnsi="Calibri"/>
                <w:b/>
                <w:color w:val="111827"/>
                <w:sz w:val="17"/>
              </w:rPr>
              <w:t>Rows</w:t>
            </w:r>
          </w:p>
        </w:tc>
        <w:tc>
          <w:tcPr>
            <w:tcW w:type="dxa" w:w="1656"/>
            <w:shd w:fill="E8EEF5"/>
            <w:vAlign w:val="center"/>
          </w:tcPr>
          <w:p>
            <w:r>
              <w:rPr>
                <w:rFonts w:ascii="Calibri" w:hAnsi="Calibri"/>
                <w:b/>
                <w:color w:val="111827"/>
                <w:sz w:val="17"/>
              </w:rPr>
              <w:t>Tempted</w:t>
            </w:r>
          </w:p>
        </w:tc>
        <w:tc>
          <w:tcPr>
            <w:tcW w:type="dxa" w:w="1656"/>
            <w:shd w:fill="E8EEF5"/>
            <w:vAlign w:val="center"/>
          </w:tcPr>
          <w:p>
            <w:r>
              <w:rPr>
                <w:rFonts w:ascii="Calibri" w:hAnsi="Calibri"/>
                <w:b/>
                <w:color w:val="111827"/>
                <w:sz w:val="17"/>
              </w:rPr>
              <w:t>Final ASR</w:t>
            </w:r>
          </w:p>
        </w:tc>
        <w:tc>
          <w:tcPr>
            <w:tcW w:type="dxa" w:w="1656"/>
            <w:shd w:fill="E8EEF5"/>
            <w:vAlign w:val="center"/>
          </w:tcPr>
          <w:p>
            <w:r>
              <w:rPr>
                <w:rFonts w:ascii="Calibri" w:hAnsi="Calibri"/>
                <w:b/>
                <w:color w:val="111827"/>
                <w:sz w:val="17"/>
              </w:rPr>
              <w:t>Risky</w:t>
            </w:r>
          </w:p>
        </w:tc>
        <w:tc>
          <w:tcPr>
            <w:tcW w:type="dxa" w:w="1656"/>
            <w:shd w:fill="E8EEF5"/>
            <w:vAlign w:val="center"/>
          </w:tcPr>
          <w:p>
            <w:r>
              <w:rPr>
                <w:rFonts w:ascii="Calibri" w:hAnsi="Calibri"/>
                <w:b/>
                <w:color w:val="111827"/>
                <w:sz w:val="17"/>
              </w:rPr>
              <w:t>Raw parse</w:t>
            </w:r>
          </w:p>
        </w:tc>
      </w:tr>
      <w:tr>
        <w:tc>
          <w:tcPr>
            <w:tcW w:type="dxa" w:w="1656"/>
            <w:vAlign w:val="center"/>
          </w:tcPr>
          <w:p>
            <w:r>
              <w:rPr>
                <w:rFonts w:ascii="Calibri" w:hAnsi="Calibri"/>
                <w:b w:val="0"/>
                <w:color w:val="111827"/>
                <w:sz w:val="16"/>
              </w:rPr>
              <w:t>llama3</w:t>
            </w:r>
          </w:p>
        </w:tc>
        <w:tc>
          <w:tcPr>
            <w:tcW w:type="dxa" w:w="1656"/>
            <w:vAlign w:val="center"/>
          </w:tcPr>
          <w:p>
            <w:r>
              <w:rPr>
                <w:rFonts w:ascii="Calibri" w:hAnsi="Calibri"/>
                <w:b w:val="0"/>
                <w:color w:val="111827"/>
                <w:sz w:val="16"/>
              </w:rPr>
              <w:t>36</w:t>
            </w:r>
          </w:p>
        </w:tc>
        <w:tc>
          <w:tcPr>
            <w:tcW w:type="dxa" w:w="1656"/>
            <w:vAlign w:val="center"/>
          </w:tcPr>
          <w:p>
            <w:r>
              <w:rPr>
                <w:rFonts w:ascii="Calibri" w:hAnsi="Calibri"/>
                <w:b w:val="0"/>
                <w:color w:val="111827"/>
                <w:sz w:val="16"/>
              </w:rPr>
              <w:t>2.78%</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mistral</w:t>
            </w:r>
          </w:p>
        </w:tc>
        <w:tc>
          <w:tcPr>
            <w:tcW w:type="dxa" w:w="1656"/>
            <w:vAlign w:val="center"/>
          </w:tcPr>
          <w:p>
            <w:r>
              <w:rPr>
                <w:rFonts w:ascii="Calibri" w:hAnsi="Calibri"/>
                <w:b w:val="0"/>
                <w:color w:val="111827"/>
                <w:sz w:val="16"/>
              </w:rPr>
              <w:t>36</w:t>
            </w:r>
          </w:p>
        </w:tc>
        <w:tc>
          <w:tcPr>
            <w:tcW w:type="dxa" w:w="1656"/>
            <w:vAlign w:val="center"/>
          </w:tcPr>
          <w:p>
            <w:r>
              <w:rPr>
                <w:rFonts w:ascii="Calibri" w:hAnsi="Calibri"/>
                <w:b w:val="0"/>
                <w:color w:val="111827"/>
                <w:sz w:val="16"/>
              </w:rPr>
              <w:t>2.78%</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phi3</w:t>
            </w:r>
          </w:p>
        </w:tc>
        <w:tc>
          <w:tcPr>
            <w:tcW w:type="dxa" w:w="1656"/>
            <w:vAlign w:val="center"/>
          </w:tcPr>
          <w:p>
            <w:r>
              <w:rPr>
                <w:rFonts w:ascii="Calibri" w:hAnsi="Calibri"/>
                <w:b w:val="0"/>
                <w:color w:val="111827"/>
                <w:sz w:val="16"/>
              </w:rPr>
              <w:t>36</w:t>
            </w:r>
          </w:p>
        </w:tc>
        <w:tc>
          <w:tcPr>
            <w:tcW w:type="dxa" w:w="1656"/>
            <w:vAlign w:val="center"/>
          </w:tcPr>
          <w:p>
            <w:r>
              <w:rPr>
                <w:rFonts w:ascii="Calibri" w:hAnsi="Calibri"/>
                <w:b w:val="0"/>
                <w:color w:val="111827"/>
                <w:sz w:val="16"/>
              </w:rPr>
              <w:t>2.78%</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bl>
    <w:p>
      <w:pPr>
        <w:spacing w:after="40"/>
      </w:pPr>
    </w:p>
    <w:p>
      <w:pPr>
        <w:spacing w:before="240" w:after="100"/>
      </w:pPr>
      <w:r>
        <w:rPr>
          <w:rFonts w:ascii="Calibri" w:hAnsi="Calibri"/>
          <w:b/>
          <w:color w:val="1F4D78"/>
          <w:sz w:val="28"/>
        </w:rPr>
        <w:t>VIII. Discussion</w:t>
      </w:r>
    </w:p>
    <w:p>
      <w:pPr>
        <w:spacing w:after="120" w:line="259" w:lineRule="auto"/>
      </w:pPr>
      <w:r>
        <w:rPr>
          <w:rFonts w:ascii="Calibri" w:hAnsi="Calibri"/>
          <w:b w:val="0"/>
          <w:color w:val="111827"/>
          <w:sz w:val="20"/>
        </w:rPr>
        <w:t>The evaluation suggests that ASR alone is insufficient for memory-security evaluation. Output moderation may prevent a visible unsafe action while leaving poisoned memory influence intact. Intent-bound authorization instead rejects unauthorized influence before the memory becomes planning authority.</w:t>
      </w:r>
    </w:p>
    <w:p>
      <w:pPr>
        <w:spacing w:before="240" w:after="100"/>
      </w:pPr>
      <w:r>
        <w:rPr>
          <w:rFonts w:ascii="Calibri" w:hAnsi="Calibri"/>
          <w:b/>
          <w:color w:val="1F4D78"/>
          <w:sz w:val="28"/>
        </w:rPr>
        <w:t>IX. Limitations</w:t>
      </w:r>
    </w:p>
    <w:p>
      <w:pPr>
        <w:pStyle w:val="ListBullet"/>
        <w:spacing w:after="60"/>
      </w:pPr>
      <w:r>
        <w:rPr>
          <w:rFonts w:ascii="Calibri" w:hAnsi="Calibri"/>
          <w:b w:val="0"/>
          <w:color w:val="111827"/>
          <w:sz w:val="20"/>
        </w:rPr>
        <w:t>The highest-volume benchmark uses a deterministic planner, although live LLM results are included as a realism check.</w:t>
      </w:r>
    </w:p>
    <w:p>
      <w:pPr>
        <w:pStyle w:val="ListBullet"/>
        <w:spacing w:after="60"/>
      </w:pPr>
      <w:r>
        <w:rPr>
          <w:rFonts w:ascii="Calibri" w:hAnsi="Calibri"/>
          <w:b w:val="0"/>
          <w:color w:val="111827"/>
          <w:sz w:val="20"/>
        </w:rPr>
        <w:t>Several corpora are generated, converted, or synthetic rather than collected from deployed user workflows.</w:t>
      </w:r>
    </w:p>
    <w:p>
      <w:pPr>
        <w:pStyle w:val="ListBullet"/>
        <w:spacing w:after="60"/>
      </w:pPr>
      <w:r>
        <w:rPr>
          <w:rFonts w:ascii="Calibri" w:hAnsi="Calibri"/>
          <w:b w:val="0"/>
          <w:color w:val="111827"/>
          <w:sz w:val="20"/>
        </w:rPr>
        <w:t>The raw-image multimodal/OCR pipeline is not fully evaluated.</w:t>
      </w:r>
    </w:p>
    <w:p>
      <w:pPr>
        <w:pStyle w:val="ListBullet"/>
        <w:spacing w:after="60"/>
      </w:pPr>
      <w:r>
        <w:rPr>
          <w:rFonts w:ascii="Calibri" w:hAnsi="Calibri"/>
          <w:b w:val="0"/>
          <w:color w:val="111827"/>
          <w:sz w:val="20"/>
        </w:rPr>
        <w:t>The prototype assumes policy code, verified identities, and cryptographic attestations are not compromised.</w:t>
      </w:r>
    </w:p>
    <w:p>
      <w:pPr>
        <w:pStyle w:val="ListBullet"/>
        <w:spacing w:after="60"/>
      </w:pPr>
      <w:r>
        <w:rPr>
          <w:rFonts w:ascii="Calibri" w:hAnsi="Calibri"/>
          <w:b w:val="0"/>
          <w:color w:val="111827"/>
          <w:sz w:val="20"/>
        </w:rPr>
        <w:t>The results support a defense layer under the stated threat model; they do not prove universal memory-poisoning security.</w:t>
      </w:r>
    </w:p>
    <w:p>
      <w:pPr>
        <w:spacing w:before="240" w:after="100"/>
      </w:pPr>
      <w:r>
        <w:rPr>
          <w:rFonts w:ascii="Calibri" w:hAnsi="Calibri"/>
          <w:b/>
          <w:color w:val="1F4D78"/>
          <w:sz w:val="28"/>
        </w:rPr>
        <w:t>X. Conclusion</w:t>
      </w:r>
    </w:p>
    <w:p>
      <w:pPr>
        <w:spacing w:after="120" w:line="259" w:lineRule="auto"/>
      </w:pPr>
      <w:r>
        <w:rPr>
          <w:rFonts w:ascii="Calibri" w:hAnsi="Calibri"/>
          <w:b w:val="0"/>
          <w:color w:val="111827"/>
          <w:sz w:val="20"/>
        </w:rPr>
        <w:t>Persistent memory poisoning exploits the gap between retrieval and authority. Intent-bound memory capsules close this gap by requiring memories to carry explicit influence contracts. CapsuleGuard's results show that memory authorization can reduce both final attack success and poisoned planning influence while preserving benign utility in the tested prototype.</w:t>
      </w:r>
    </w:p>
    <w:p>
      <w:pPr>
        <w:spacing w:before="240" w:after="100"/>
      </w:pPr>
      <w:r>
        <w:rPr>
          <w:rFonts w:ascii="Calibri" w:hAnsi="Calibri"/>
          <w:b/>
          <w:color w:val="1F4D78"/>
          <w:sz w:val="28"/>
        </w:rPr>
        <w:t>References</w:t>
      </w:r>
    </w:p>
    <w:p>
      <w:pPr>
        <w:spacing w:after="40"/>
        <w:ind w:hanging="317" w:left="317"/>
      </w:pPr>
      <w:r>
        <w:rPr>
          <w:rFonts w:ascii="Calibri" w:hAnsi="Calibri"/>
          <w:b w:val="0"/>
          <w:color w:val="111827"/>
          <w:sz w:val="17"/>
        </w:rPr>
        <w:t>[1] M. A. Ferrag, A. Lakas, N. Tihanyi, and M. Debbah, Securing LLM agents: From prompt sanitization to autonomous red teaming and beyond, Internet of Things and Cyber-Physical Systems, 2025.</w:t>
      </w:r>
    </w:p>
    <w:p>
      <w:pPr>
        <w:spacing w:after="40"/>
        <w:ind w:hanging="317" w:left="317"/>
      </w:pPr>
      <w:r>
        <w:rPr>
          <w:rFonts w:ascii="Calibri" w:hAnsi="Calibri"/>
          <w:b w:val="0"/>
          <w:color w:val="111827"/>
          <w:sz w:val="17"/>
        </w:rPr>
        <w:t>[2] J. Qian, Visual Inception: Compromising Long-term Planning in Agentic Recommenders via Multimodal Memory Poisoning, arXiv, 2026.</w:t>
      </w:r>
    </w:p>
    <w:p>
      <w:pPr>
        <w:spacing w:after="40"/>
        <w:ind w:hanging="317" w:left="317"/>
      </w:pPr>
      <w:r>
        <w:rPr>
          <w:rFonts w:ascii="Calibri" w:hAnsi="Calibri"/>
          <w:b w:val="0"/>
          <w:color w:val="111827"/>
          <w:sz w:val="17"/>
        </w:rPr>
        <w:t>[3] X. Yang, Y. He, S. Ji, B. Hooi, and J. S. Dong, Zombie Agents: Persistent Control of Self-Evolving LLM Agents via Self-Reinforcing Injections, arXiv, 2026.</w:t>
      </w:r>
    </w:p>
    <w:p>
      <w:pPr>
        <w:spacing w:after="40"/>
        <w:ind w:hanging="317" w:left="317"/>
      </w:pPr>
      <w:r>
        <w:rPr>
          <w:rFonts w:ascii="Calibri" w:hAnsi="Calibri"/>
          <w:b w:val="0"/>
          <w:color w:val="111827"/>
          <w:sz w:val="17"/>
        </w:rPr>
        <w:t>[4] Z. Chen, Z. Xiang, C. Xiao, D. Song, and B. Li, AgentPoison: Red-teaming LLM Agents via Poisoning Memory or Knowledge Bases, arXiv, 2024.</w:t>
      </w:r>
    </w:p>
    <w:p>
      <w:pPr>
        <w:spacing w:after="40"/>
        <w:ind w:hanging="317" w:left="317"/>
      </w:pPr>
      <w:r>
        <w:rPr>
          <w:rFonts w:ascii="Calibri" w:hAnsi="Calibri"/>
          <w:b w:val="0"/>
          <w:color w:val="111827"/>
          <w:sz w:val="17"/>
        </w:rPr>
        <w:t>[5] A. S. Patlan, A. Hebbar, P. Viswanath, and P. Mittal, Context manipulation attacks: Web agents are susceptible to corrupted memory, arXiv, 2025.</w:t>
      </w:r>
    </w:p>
    <w:p>
      <w:pPr>
        <w:spacing w:after="40"/>
        <w:ind w:hanging="317" w:left="317"/>
      </w:pPr>
      <w:r>
        <w:rPr>
          <w:rFonts w:ascii="Calibri" w:hAnsi="Calibri"/>
          <w:b w:val="0"/>
          <w:color w:val="111827"/>
          <w:sz w:val="17"/>
        </w:rPr>
        <w:t>[6] Z. Xu, X. Zhu, Y. Yao, M. Xue, and Y. Song, From Storage to Steering: Memory Control Flow Attacks on LLM Agents, arXiv, 2026.</w:t>
      </w:r>
    </w:p>
    <w:p>
      <w:pPr>
        <w:spacing w:after="40"/>
        <w:ind w:hanging="317" w:left="317"/>
      </w:pPr>
      <w:r>
        <w:rPr>
          <w:rFonts w:ascii="Calibri" w:hAnsi="Calibri"/>
          <w:b w:val="0"/>
          <w:color w:val="111827"/>
          <w:sz w:val="17"/>
        </w:rPr>
        <w:t>[7] H. Tian, Z. Sha, J. Wang, Y. Liu, Z. Huang, and X. Huang, InjecMEM: Memory Injection Attack on LLM Agent Memory Systems, OpenReview, 2025.</w:t>
      </w:r>
    </w:p>
    <w:p>
      <w:pPr>
        <w:spacing w:after="40"/>
        <w:ind w:hanging="317" w:left="317"/>
      </w:pPr>
      <w:r>
        <w:rPr>
          <w:rFonts w:ascii="Calibri" w:hAnsi="Calibri"/>
          <w:b w:val="0"/>
          <w:color w:val="111827"/>
          <w:sz w:val="17"/>
        </w:rPr>
        <w:t>[8] S. S. Srivastava and H. He, MemoryGraft: Persistent Compromise of LLM Agents via Poisoned Experience Retrieval, arXiv, 2025.</w:t>
      </w:r>
    </w:p>
    <w:p>
      <w:pPr>
        <w:spacing w:after="40"/>
        <w:ind w:hanging="317" w:left="317"/>
      </w:pPr>
      <w:r>
        <w:rPr>
          <w:rFonts w:ascii="Calibri" w:hAnsi="Calibri"/>
          <w:b w:val="0"/>
          <w:color w:val="111827"/>
          <w:sz w:val="17"/>
        </w:rPr>
        <w:t>[9] S. Dong et al., Memory Injection Attacks on LLM Agents via Query-Only Interaction, arXiv, 2025.</w:t>
      </w:r>
    </w:p>
    <w:p>
      <w:pPr>
        <w:spacing w:after="40"/>
        <w:ind w:hanging="317" w:left="317"/>
      </w:pPr>
      <w:r>
        <w:rPr>
          <w:rFonts w:ascii="Calibri" w:hAnsi="Calibri"/>
          <w:b w:val="0"/>
          <w:color w:val="111827"/>
          <w:sz w:val="17"/>
        </w:rPr>
        <w:t>[10] OWASP Foundation, OWASP Top 10 for Large Language Model Applications, 2025.</w:t>
      </w:r>
    </w:p>
    <w:p>
      <w:pPr>
        <w:spacing w:after="40"/>
        <w:ind w:hanging="317" w:left="317"/>
      </w:pPr>
      <w:r>
        <w:rPr>
          <w:rFonts w:ascii="Calibri" w:hAnsi="Calibri"/>
          <w:b w:val="0"/>
          <w:color w:val="111827"/>
          <w:sz w:val="17"/>
        </w:rPr>
        <w:t>[11] A. Jain and S. Suryawanshi, Sealing-Jutsu: CapsuleGuard prototype, https://github.com/Mr-Akuma/Sealing-Jutsu.</w:t>
      </w:r>
    </w:p>
    <w:sectPr w:rsidR="00FC693F" w:rsidRPr="0006063C" w:rsidSect="00034616">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