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4D78"/>
          <w:sz w:val="36"/>
        </w:rPr>
        <w:t>Post-Preprint Work Scope Analysis</w:t>
      </w:r>
    </w:p>
    <w:p>
      <w:pPr>
        <w:spacing w:after="100"/>
      </w:pPr>
      <w:r>
        <w:rPr>
          <w:rFonts w:ascii="Calibri" w:hAnsi="Calibri"/>
          <w:b w:val="0"/>
          <w:color w:val="111827"/>
          <w:sz w:val="20"/>
        </w:rPr>
        <w:t>This document analyzes the work recorded in the pasted chat segment after the printed preprint paper Sealing_Jutsu (1).pdf. It separates research-paper content from project logistics, reproducibility work, and out-of-scope material.</w:t>
      </w:r>
    </w:p>
    <w:p>
      <w:pPr>
        <w:spacing w:before="200" w:after="80"/>
      </w:pPr>
      <w:r>
        <w:rPr>
          <w:rFonts w:ascii="Calibri" w:hAnsi="Calibri"/>
          <w:b/>
          <w:color w:val="1F4D78"/>
          <w:sz w:val="28"/>
        </w:rPr>
        <w:t>Short Answer</w:t>
      </w:r>
    </w:p>
    <w:p>
      <w:pPr>
        <w:spacing w:after="100"/>
      </w:pPr>
      <w:r>
        <w:rPr>
          <w:rFonts w:ascii="Calibri" w:hAnsi="Calibri"/>
          <w:b w:val="0"/>
          <w:color w:val="111827"/>
          <w:sz w:val="20"/>
        </w:rPr>
        <w:t>Yes, the important research work done after the preprint has been added to the newer research papers.</w:t>
      </w:r>
    </w:p>
    <w:p>
      <w:pPr>
        <w:spacing w:after="100"/>
      </w:pPr>
      <w:r>
        <w:rPr>
          <w:rFonts w:ascii="Calibri" w:hAnsi="Calibri"/>
          <w:b w:val="0"/>
          <w:color w:val="111827"/>
          <w:sz w:val="20"/>
        </w:rPr>
        <w:t>The following are in scope for the paper:</w:t>
      </w:r>
    </w:p>
    <w:p>
      <w:pPr>
        <w:pStyle w:val="ListBullet"/>
      </w:pPr>
      <w:r>
        <w:rPr>
          <w:rFonts w:ascii="Calibri" w:hAnsi="Calibri"/>
          <w:b w:val="0"/>
          <w:color w:val="111827"/>
          <w:sz w:val="20"/>
        </w:rPr>
        <w:t>formal threat model</w:t>
      </w:r>
    </w:p>
    <w:p>
      <w:pPr>
        <w:pStyle w:val="ListBullet"/>
      </w:pPr>
      <w:r>
        <w:rPr>
          <w:rFonts w:ascii="Calibri" w:hAnsi="Calibri"/>
          <w:b w:val="0"/>
          <w:color w:val="111827"/>
          <w:sz w:val="20"/>
        </w:rPr>
        <w:t>poison influence rate</w:t>
      </w:r>
    </w:p>
    <w:p>
      <w:pPr>
        <w:pStyle w:val="ListBullet"/>
      </w:pPr>
      <w:r>
        <w:rPr>
          <w:rFonts w:ascii="Calibri" w:hAnsi="Calibri"/>
          <w:b w:val="0"/>
          <w:color w:val="111827"/>
          <w:sz w:val="20"/>
        </w:rPr>
        <w:t>output moderation versus capsule authorization argument</w:t>
      </w:r>
    </w:p>
    <w:p>
      <w:pPr>
        <w:pStyle w:val="ListBullet"/>
      </w:pPr>
      <w:r>
        <w:rPr>
          <w:rFonts w:ascii="Calibri" w:hAnsi="Calibri"/>
          <w:b w:val="0"/>
          <w:color w:val="111827"/>
          <w:sz w:val="20"/>
        </w:rPr>
        <w:t>converted AgentDojo/InjecAgent evidence</w:t>
      </w:r>
    </w:p>
    <w:p>
      <w:pPr>
        <w:pStyle w:val="ListBullet"/>
      </w:pPr>
      <w:r>
        <w:rPr>
          <w:rFonts w:ascii="Calibri" w:hAnsi="Calibri"/>
          <w:b w:val="0"/>
          <w:color w:val="111827"/>
          <w:sz w:val="20"/>
        </w:rPr>
        <w:t>memory lifecycle gap benchmark</w:t>
      </w:r>
    </w:p>
    <w:p>
      <w:pPr>
        <w:pStyle w:val="ListBullet"/>
      </w:pPr>
      <w:r>
        <w:rPr>
          <w:rFonts w:ascii="Calibri" w:hAnsi="Calibri"/>
          <w:b w:val="0"/>
          <w:color w:val="111827"/>
          <w:sz w:val="20"/>
        </w:rPr>
        <w:t>live LLM planner results</w:t>
      </w:r>
    </w:p>
    <w:p>
      <w:pPr>
        <w:pStyle w:val="ListBullet"/>
      </w:pPr>
      <w:r>
        <w:rPr>
          <w:rFonts w:ascii="Calibri" w:hAnsi="Calibri"/>
          <w:b w:val="0"/>
          <w:color w:val="111827"/>
          <w:sz w:val="20"/>
        </w:rPr>
        <w:t>threshold calibration</w:t>
      </w:r>
    </w:p>
    <w:p>
      <w:pPr>
        <w:pStyle w:val="ListBullet"/>
      </w:pPr>
      <w:r>
        <w:rPr>
          <w:rFonts w:ascii="Calibri" w:hAnsi="Calibri"/>
          <w:b w:val="0"/>
          <w:color w:val="111827"/>
          <w:sz w:val="20"/>
        </w:rPr>
        <w:t>honest limitations</w:t>
      </w:r>
    </w:p>
    <w:p>
      <w:pPr>
        <w:spacing w:after="100"/>
      </w:pPr>
      <w:r>
        <w:rPr>
          <w:rFonts w:ascii="Calibri" w:hAnsi="Calibri"/>
          <w:b w:val="0"/>
          <w:color w:val="111827"/>
          <w:sz w:val="20"/>
        </w:rPr>
        <w:t>The following should stay outside the paper body:</w:t>
      </w:r>
    </w:p>
    <w:p>
      <w:pPr>
        <w:pStyle w:val="ListBullet"/>
      </w:pPr>
      <w:r>
        <w:rPr>
          <w:rFonts w:ascii="Calibri" w:hAnsi="Calibri"/>
          <w:b w:val="0"/>
          <w:color w:val="111827"/>
          <w:sz w:val="20"/>
        </w:rPr>
        <w:t>commit hashes</w:t>
      </w:r>
    </w:p>
    <w:p>
      <w:pPr>
        <w:pStyle w:val="ListBullet"/>
      </w:pPr>
      <w:r>
        <w:rPr>
          <w:rFonts w:ascii="Calibri" w:hAnsi="Calibri"/>
          <w:b w:val="0"/>
          <w:color w:val="111827"/>
          <w:sz w:val="20"/>
        </w:rPr>
        <w:t>PDF-generation notes</w:t>
      </w:r>
    </w:p>
    <w:p>
      <w:pPr>
        <w:pStyle w:val="ListBullet"/>
      </w:pPr>
      <w:r>
        <w:rPr>
          <w:rFonts w:ascii="Calibri" w:hAnsi="Calibri"/>
          <w:b w:val="0"/>
          <w:color w:val="111827"/>
          <w:sz w:val="20"/>
        </w:rPr>
        <w:t>.gitattributes binary-safety notes</w:t>
      </w:r>
    </w:p>
    <w:p>
      <w:pPr>
        <w:pStyle w:val="ListBullet"/>
      </w:pPr>
      <w:r>
        <w:rPr>
          <w:rFonts w:ascii="Calibri" w:hAnsi="Calibri"/>
          <w:b w:val="0"/>
          <w:color w:val="111827"/>
          <w:sz w:val="20"/>
        </w:rPr>
        <w:t>file-location logistics</w:t>
      </w:r>
    </w:p>
    <w:p>
      <w:pPr>
        <w:pStyle w:val="ListBullet"/>
      </w:pPr>
      <w:r>
        <w:rPr>
          <w:rFonts w:ascii="Calibri" w:hAnsi="Calibri"/>
          <w:b w:val="0"/>
          <w:color w:val="111827"/>
          <w:sz w:val="20"/>
        </w:rPr>
        <w:t>chat-history/process narrative</w:t>
      </w:r>
    </w:p>
    <w:p>
      <w:pPr>
        <w:pStyle w:val="ListBullet"/>
      </w:pPr>
      <w:r>
        <w:rPr>
          <w:rFonts w:ascii="Calibri" w:hAnsi="Calibri"/>
          <w:b w:val="0"/>
          <w:color w:val="111827"/>
          <w:sz w:val="20"/>
        </w:rPr>
        <w:t>"after the preprint we did X" wording</w:t>
      </w:r>
    </w:p>
    <w:p>
      <w:pPr>
        <w:spacing w:after="100"/>
      </w:pPr>
      <w:r>
        <w:rPr>
          <w:rFonts w:ascii="Calibri" w:hAnsi="Calibri"/>
          <w:b w:val="0"/>
          <w:color w:val="111827"/>
          <w:sz w:val="20"/>
        </w:rPr>
        <w:t>Those items are useful for the repository log, but they are not research contributions.</w:t>
      </w:r>
    </w:p>
    <w:p>
      <w:pPr>
        <w:spacing w:before="200" w:after="80"/>
      </w:pPr>
      <w:r>
        <w:rPr>
          <w:rFonts w:ascii="Calibri" w:hAnsi="Calibri"/>
          <w:b/>
          <w:color w:val="1F4D78"/>
          <w:sz w:val="28"/>
        </w:rPr>
        <w:t>What Was Done After the Preprint</w:t>
      </w:r>
    </w:p>
    <w:p>
      <w:pPr>
        <w:spacing w:after="100"/>
      </w:pPr>
      <w:r>
        <w:rPr>
          <w:rFonts w:ascii="Calibri" w:hAnsi="Calibri"/>
          <w:b w:val="0"/>
          <w:color w:val="111827"/>
          <w:sz w:val="20"/>
        </w:rPr>
        <w:t>The printed preprint was:</w:t>
      </w:r>
    </w:p>
    <w:p>
      <w:pPr>
        <w:spacing w:after="100"/>
      </w:pPr>
      <w:r>
        <w:rPr>
          <w:rFonts w:ascii="Calibri" w:hAnsi="Calibri"/>
          <w:b w:val="0"/>
          <w:color w:val="111827"/>
          <w:sz w:val="20"/>
        </w:rPr>
        <w:t>C:\Users\User\Downloads\Sealing_Jutsu (1).pdf</w:t>
      </w:r>
    </w:p>
    <w:p>
      <w:pPr>
        <w:spacing w:after="100"/>
      </w:pPr>
      <w:r>
        <w:rPr>
          <w:rFonts w:ascii="Calibri" w:hAnsi="Calibri"/>
          <w:b w:val="0"/>
          <w:color w:val="111827"/>
          <w:sz w:val="20"/>
        </w:rPr>
        <w:t>After that preprint, the following work was completed.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E8EEF5"/>
            <w:vAlign w:val="center"/>
          </w:tcPr>
          <w:p>
            <w:r>
              <w:rPr>
                <w:rFonts w:ascii="Calibri" w:hAnsi="Calibri"/>
                <w:b/>
                <w:color w:val="111827"/>
                <w:sz w:val="18"/>
              </w:rPr>
              <w:t>Post-preprint item</w:t>
            </w:r>
          </w:p>
        </w:tc>
        <w:tc>
          <w:tcPr>
            <w:tcW w:type="dxa" w:w="2520"/>
            <w:shd w:fill="E8EEF5"/>
            <w:vAlign w:val="center"/>
          </w:tcPr>
          <w:p>
            <w:r>
              <w:rPr>
                <w:rFonts w:ascii="Calibri" w:hAnsi="Calibri"/>
                <w:b/>
                <w:color w:val="111827"/>
                <w:sz w:val="18"/>
              </w:rPr>
              <w:t>What happened</w:t>
            </w:r>
          </w:p>
        </w:tc>
        <w:tc>
          <w:tcPr>
            <w:tcW w:type="dxa" w:w="2520"/>
            <w:shd w:fill="E8EEF5"/>
            <w:vAlign w:val="center"/>
          </w:tcPr>
          <w:p>
            <w:r>
              <w:rPr>
                <w:rFonts w:ascii="Calibri" w:hAnsi="Calibri"/>
                <w:b/>
                <w:color w:val="111827"/>
                <w:sz w:val="18"/>
              </w:rPr>
              <w:t>In paper?</w:t>
            </w:r>
          </w:p>
        </w:tc>
        <w:tc>
          <w:tcPr>
            <w:tcW w:type="dxa" w:w="2520"/>
            <w:shd w:fill="E8EEF5"/>
            <w:vAlign w:val="center"/>
          </w:tcPr>
          <w:p>
            <w:r>
              <w:rPr>
                <w:rFonts w:ascii="Calibri" w:hAnsi="Calibri"/>
                <w:b/>
                <w:color w:val="111827"/>
                <w:sz w:val="18"/>
              </w:rPr>
              <w:t>Scope decision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rFonts w:ascii="Calibri" w:hAnsi="Calibri"/>
                <w:b w:val="0"/>
                <w:color w:val="111827"/>
                <w:sz w:val="17"/>
              </w:rPr>
              <w:t>v3 research paper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Calibri" w:hAnsi="Calibri"/>
                <w:b w:val="0"/>
                <w:color w:val="111827"/>
                <w:sz w:val="17"/>
              </w:rPr>
              <w:t>A new paper was written from the latest project evidence.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Calibri" w:hAnsi="Calibri"/>
                <w:b w:val="0"/>
                <w:color w:val="111827"/>
                <w:sz w:val="17"/>
              </w:rPr>
              <w:t>Yes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Calibri" w:hAnsi="Calibri"/>
                <w:b w:val="0"/>
                <w:color w:val="111827"/>
                <w:sz w:val="17"/>
              </w:rPr>
              <w:t>In scope as final paper artifact.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rFonts w:ascii="Calibri" w:hAnsi="Calibri"/>
                <w:b w:val="0"/>
                <w:color w:val="111827"/>
                <w:sz w:val="17"/>
              </w:rPr>
              <w:t>Poison influence rate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Calibri" w:hAnsi="Calibri"/>
                <w:b w:val="0"/>
                <w:color w:val="111827"/>
                <w:sz w:val="17"/>
              </w:rPr>
              <w:t>Added the argument that output moderation can block final action while still allowing poisoned planning influence.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Calibri" w:hAnsi="Calibri"/>
                <w:b w:val="0"/>
                <w:color w:val="111827"/>
                <w:sz w:val="17"/>
              </w:rPr>
              <w:t>Yes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Calibri" w:hAnsi="Calibri"/>
                <w:b w:val="0"/>
                <w:color w:val="111827"/>
                <w:sz w:val="17"/>
              </w:rPr>
              <w:t>In scope and important.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rFonts w:ascii="Calibri" w:hAnsi="Calibri"/>
                <w:b w:val="0"/>
                <w:color w:val="111827"/>
                <w:sz w:val="17"/>
              </w:rPr>
              <w:t>Converted AgentDojo/InjecAgent results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Calibri" w:hAnsi="Calibri"/>
                <w:b w:val="0"/>
                <w:color w:val="111827"/>
                <w:sz w:val="17"/>
              </w:rPr>
              <w:t>Added converted external trace evidence showing high poison influence for output moderation and 0% influence for intent capsules.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Calibri" w:hAnsi="Calibri"/>
                <w:b w:val="0"/>
                <w:color w:val="111827"/>
                <w:sz w:val="17"/>
              </w:rPr>
              <w:t>Yes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Calibri" w:hAnsi="Calibri"/>
                <w:b w:val="0"/>
                <w:color w:val="111827"/>
                <w:sz w:val="17"/>
              </w:rPr>
              <w:t>In scope and important.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rFonts w:ascii="Calibri" w:hAnsi="Calibri"/>
                <w:b w:val="0"/>
                <w:color w:val="111827"/>
                <w:sz w:val="17"/>
              </w:rPr>
              <w:t>Formal threat model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Calibri" w:hAnsi="Calibri"/>
                <w:b w:val="0"/>
                <w:color w:val="111827"/>
                <w:sz w:val="17"/>
              </w:rPr>
              <w:t>Added attacker capabilities, limits, trust boundaries, assumptions, and security objectives.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Calibri" w:hAnsi="Calibri"/>
                <w:b w:val="0"/>
                <w:color w:val="111827"/>
                <w:sz w:val="17"/>
              </w:rPr>
              <w:t>Yes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Calibri" w:hAnsi="Calibri"/>
                <w:b w:val="0"/>
                <w:color w:val="111827"/>
                <w:sz w:val="17"/>
              </w:rPr>
              <w:t>In scope and necessary.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rFonts w:ascii="Calibri" w:hAnsi="Calibri"/>
                <w:b w:val="0"/>
                <w:color w:val="111827"/>
                <w:sz w:val="17"/>
              </w:rPr>
              <w:t>Live LLM planner results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Calibri" w:hAnsi="Calibri"/>
                <w:b w:val="0"/>
                <w:color w:val="111827"/>
                <w:sz w:val="17"/>
              </w:rPr>
              <w:t>Added local live LLM evidence across llama3, mistral, and phi3.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Calibri" w:hAnsi="Calibri"/>
                <w:b w:val="0"/>
                <w:color w:val="111827"/>
                <w:sz w:val="17"/>
              </w:rPr>
              <w:t>Yes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Calibri" w:hAnsi="Calibri"/>
                <w:b w:val="0"/>
                <w:color w:val="111827"/>
                <w:sz w:val="17"/>
              </w:rPr>
              <w:t>In scope as realism check.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rFonts w:ascii="Calibri" w:hAnsi="Calibri"/>
                <w:b w:val="0"/>
                <w:color w:val="111827"/>
                <w:sz w:val="17"/>
              </w:rPr>
              <w:t>Threshold calibration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Calibri" w:hAnsi="Calibri"/>
                <w:b w:val="0"/>
                <w:color w:val="111827"/>
                <w:sz w:val="17"/>
              </w:rPr>
              <w:t>Added 16-point threshold sweep result.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Calibri" w:hAnsi="Calibri"/>
                <w:b w:val="0"/>
                <w:color w:val="111827"/>
                <w:sz w:val="17"/>
              </w:rPr>
              <w:t>Yes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Calibri" w:hAnsi="Calibri"/>
                <w:b w:val="0"/>
                <w:color w:val="111827"/>
                <w:sz w:val="17"/>
              </w:rPr>
              <w:t>In scope, but should be described as prototype-level calibration.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rFonts w:ascii="Calibri" w:hAnsi="Calibri"/>
                <w:b w:val="0"/>
                <w:color w:val="111827"/>
                <w:sz w:val="17"/>
              </w:rPr>
              <w:t>More honest limitations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Calibri" w:hAnsi="Calibri"/>
                <w:b w:val="0"/>
                <w:color w:val="111827"/>
                <w:sz w:val="17"/>
              </w:rPr>
              <w:t>Paper now says results are under tested threat model, not universal security.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Calibri" w:hAnsi="Calibri"/>
                <w:b w:val="0"/>
                <w:color w:val="111827"/>
                <w:sz w:val="17"/>
              </w:rPr>
              <w:t>Yes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Calibri" w:hAnsi="Calibri"/>
                <w:b w:val="0"/>
                <w:color w:val="111827"/>
                <w:sz w:val="17"/>
              </w:rPr>
              <w:t>In scope and reviewer-safe.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rFonts w:ascii="Calibri" w:hAnsi="Calibri"/>
                <w:b w:val="0"/>
                <w:color w:val="111827"/>
                <w:sz w:val="17"/>
              </w:rPr>
              <w:t>PDF version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Calibri" w:hAnsi="Calibri"/>
                <w:b w:val="0"/>
                <w:color w:val="111827"/>
                <w:sz w:val="17"/>
              </w:rPr>
              <w:t>Generated final paper PDF.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Calibri" w:hAnsi="Calibri"/>
                <w:b w:val="0"/>
                <w:color w:val="111827"/>
                <w:sz w:val="17"/>
              </w:rPr>
              <w:t>No, not as content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Calibri" w:hAnsi="Calibri"/>
                <w:b w:val="0"/>
                <w:color w:val="111827"/>
                <w:sz w:val="17"/>
              </w:rPr>
              <w:t>In scope for deliverable packaging, not a research claim.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rFonts w:ascii="Calibri" w:hAnsi="Calibri"/>
                <w:b w:val="0"/>
                <w:color w:val="111827"/>
                <w:sz w:val="17"/>
              </w:rPr>
              <w:t>Preprint-to-final log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Calibri" w:hAnsi="Calibri"/>
                <w:b w:val="0"/>
                <w:color w:val="111827"/>
                <w:sz w:val="17"/>
              </w:rPr>
              <w:t>Created a project history note.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Calibri" w:hAnsi="Calibri"/>
                <w:b w:val="0"/>
                <w:color w:val="111827"/>
                <w:sz w:val="17"/>
              </w:rPr>
              <w:t>No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Calibri" w:hAnsi="Calibri"/>
                <w:b w:val="0"/>
                <w:color w:val="111827"/>
                <w:sz w:val="17"/>
              </w:rPr>
              <w:t>In scope for repo/research notes, not paper body.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rFonts w:ascii="Calibri" w:hAnsi="Calibri"/>
                <w:b w:val="0"/>
                <w:color w:val="111827"/>
                <w:sz w:val="17"/>
              </w:rPr>
              <w:t>Post-preprint checklist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Calibri" w:hAnsi="Calibri"/>
                <w:b w:val="0"/>
                <w:color w:val="111827"/>
                <w:sz w:val="17"/>
              </w:rPr>
              <w:t>Added 5.1 Work Completed After the Preprint to the log.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Calibri" w:hAnsi="Calibri"/>
                <w:b w:val="0"/>
                <w:color w:val="111827"/>
                <w:sz w:val="17"/>
              </w:rPr>
              <w:t>No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Calibri" w:hAnsi="Calibri"/>
                <w:b w:val="0"/>
                <w:color w:val="111827"/>
                <w:sz w:val="17"/>
              </w:rPr>
              <w:t>In scope for project documentation, not paper body.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rFonts w:ascii="Calibri" w:hAnsi="Calibri"/>
                <w:b w:val="0"/>
                <w:color w:val="111827"/>
                <w:sz w:val="17"/>
              </w:rPr>
              <w:t>IEEE-style paper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Calibri" w:hAnsi="Calibri"/>
                <w:b w:val="0"/>
                <w:color w:val="111827"/>
                <w:sz w:val="17"/>
              </w:rPr>
              <w:t>Created a separate IEEE-style version with .md, .docx, .pdf, and .tex.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Calibri" w:hAnsi="Calibri"/>
                <w:b w:val="0"/>
                <w:color w:val="111827"/>
                <w:sz w:val="17"/>
              </w:rPr>
              <w:t>Separate paper artifact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Calibri" w:hAnsi="Calibri"/>
                <w:b w:val="0"/>
                <w:color w:val="111827"/>
                <w:sz w:val="17"/>
              </w:rPr>
              <w:t>In scope for formatting/submission prep, not new research evidence.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rFonts w:ascii="Calibri" w:hAnsi="Calibri"/>
                <w:b w:val="0"/>
                <w:color w:val="111827"/>
                <w:sz w:val="17"/>
              </w:rPr>
              <w:t>.gitattributes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Calibri" w:hAnsi="Calibri"/>
                <w:b w:val="0"/>
                <w:color w:val="111827"/>
                <w:sz w:val="17"/>
              </w:rPr>
              <w:t>Added binary handling for PDFs, DOCX, and images.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Calibri" w:hAnsi="Calibri"/>
                <w:b w:val="0"/>
                <w:color w:val="111827"/>
                <w:sz w:val="17"/>
              </w:rPr>
              <w:t>No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Calibri" w:hAnsi="Calibri"/>
                <w:b w:val="0"/>
                <w:color w:val="111827"/>
                <w:sz w:val="17"/>
              </w:rPr>
              <w:t>Repo hygiene only.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rFonts w:ascii="Calibri" w:hAnsi="Calibri"/>
                <w:b w:val="0"/>
                <w:color w:val="111827"/>
                <w:sz w:val="17"/>
              </w:rPr>
              <w:t>Commit hashes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Calibri" w:hAnsi="Calibri"/>
                <w:b w:val="0"/>
                <w:color w:val="111827"/>
                <w:sz w:val="17"/>
              </w:rPr>
              <w:t>Recorded pushed commits.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Calibri" w:hAnsi="Calibri"/>
                <w:b w:val="0"/>
                <w:color w:val="111827"/>
                <w:sz w:val="17"/>
              </w:rPr>
              <w:t>No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Calibri" w:hAnsi="Calibri"/>
                <w:b w:val="0"/>
                <w:color w:val="111827"/>
                <w:sz w:val="17"/>
              </w:rPr>
              <w:t>Useful for audit trail only.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rFonts w:ascii="Calibri" w:hAnsi="Calibri"/>
                <w:b w:val="0"/>
                <w:color w:val="111827"/>
                <w:sz w:val="17"/>
              </w:rPr>
              <w:t>File path notes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Calibri" w:hAnsi="Calibri"/>
                <w:b w:val="0"/>
                <w:color w:val="111827"/>
                <w:sz w:val="17"/>
              </w:rPr>
              <w:t>Mentioned locations of papers and diagrams.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Calibri" w:hAnsi="Calibri"/>
                <w:b w:val="0"/>
                <w:color w:val="111827"/>
                <w:sz w:val="17"/>
              </w:rPr>
              <w:t>No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Calibri" w:hAnsi="Calibri"/>
                <w:b w:val="0"/>
                <w:color w:val="111827"/>
                <w:sz w:val="17"/>
              </w:rPr>
              <w:t>Logistics only.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rFonts w:ascii="Calibri" w:hAnsi="Calibri"/>
                <w:b w:val="0"/>
                <w:color w:val="111827"/>
                <w:sz w:val="17"/>
              </w:rPr>
              <w:t>DOCX render limitation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Calibri" w:hAnsi="Calibri"/>
                <w:b w:val="0"/>
                <w:color w:val="111827"/>
                <w:sz w:val="17"/>
              </w:rPr>
              <w:t>Noted LibreOffice/Word rendering was unavailable.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Calibri" w:hAnsi="Calibri"/>
                <w:b w:val="0"/>
                <w:color w:val="111827"/>
                <w:sz w:val="17"/>
              </w:rPr>
              <w:t>No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Calibri" w:hAnsi="Calibri"/>
                <w:b w:val="0"/>
                <w:color w:val="111827"/>
                <w:sz w:val="17"/>
              </w:rPr>
              <w:t>QA note only; not research content.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color w:val="1F4D78"/>
          <w:sz w:val="28"/>
        </w:rPr>
        <w:t>What Is Already Added to the Research Paper</w:t>
      </w:r>
    </w:p>
    <w:p>
      <w:pPr>
        <w:spacing w:after="100"/>
      </w:pPr>
      <w:r>
        <w:rPr>
          <w:rFonts w:ascii="Calibri" w:hAnsi="Calibri"/>
          <w:b w:val="0"/>
          <w:color w:val="111827"/>
          <w:sz w:val="20"/>
        </w:rPr>
        <w:t>The v3 paper includes the actual research-relevant post-preprint items: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8EEF5"/>
            <w:vAlign w:val="center"/>
          </w:tcPr>
          <w:p>
            <w:r>
              <w:rPr>
                <w:rFonts w:ascii="Calibri" w:hAnsi="Calibri"/>
                <w:b/>
                <w:color w:val="111827"/>
                <w:sz w:val="18"/>
              </w:rPr>
              <w:t>Paper section</w:t>
            </w:r>
          </w:p>
        </w:tc>
        <w:tc>
          <w:tcPr>
            <w:tcW w:type="dxa" w:w="5040"/>
            <w:shd w:fill="E8EEF5"/>
            <w:vAlign w:val="center"/>
          </w:tcPr>
          <w:p>
            <w:r>
              <w:rPr>
                <w:rFonts w:ascii="Calibri" w:hAnsi="Calibri"/>
                <w:b/>
                <w:color w:val="111827"/>
                <w:sz w:val="18"/>
              </w:rPr>
              <w:t>Included content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Calibri" w:hAnsi="Calibri"/>
                <w:b w:val="0"/>
                <w:color w:val="111827"/>
                <w:sz w:val="17"/>
              </w:rPr>
              <w:t>Abstract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Calibri" w:hAnsi="Calibri"/>
                <w:b w:val="0"/>
                <w:color w:val="111827"/>
                <w:sz w:val="17"/>
              </w:rPr>
              <w:t>Updated with poison influence rate, AgentDojo/InjecAgent evidence, and live LLM result.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Calibri" w:hAnsi="Calibri"/>
                <w:b w:val="0"/>
                <w:color w:val="111827"/>
                <w:sz w:val="17"/>
              </w:rPr>
              <w:t>Introduction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Calibri" w:hAnsi="Calibri"/>
                <w:b w:val="0"/>
                <w:color w:val="111827"/>
                <w:sz w:val="17"/>
              </w:rPr>
              <w:t>Reframes the core claim as "retrieval is not authorization."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Calibri" w:hAnsi="Calibri"/>
                <w:b w:val="0"/>
                <w:color w:val="111827"/>
                <w:sz w:val="17"/>
              </w:rPr>
              <w:t>Contributions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Calibri" w:hAnsi="Calibri"/>
                <w:b w:val="0"/>
                <w:color w:val="111827"/>
                <w:sz w:val="17"/>
              </w:rPr>
              <w:t>Adds poison influence rate and broader evaluation coverage.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Calibri" w:hAnsi="Calibri"/>
                <w:b w:val="0"/>
                <w:color w:val="111827"/>
                <w:sz w:val="17"/>
              </w:rPr>
              <w:t>Threat Model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Calibri" w:hAnsi="Calibri"/>
                <w:b w:val="0"/>
                <w:color w:val="111827"/>
                <w:sz w:val="17"/>
              </w:rPr>
              <w:t>Adds formal attacker capabilities, limits, and trust boundary.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Calibri" w:hAnsi="Calibri"/>
                <w:b w:val="0"/>
                <w:color w:val="111827"/>
                <w:sz w:val="17"/>
              </w:rPr>
              <w:t>Evaluation Methodology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Calibri" w:hAnsi="Calibri"/>
                <w:b w:val="0"/>
                <w:color w:val="111827"/>
                <w:sz w:val="17"/>
              </w:rPr>
              <w:t>Defines poison influence rate and explains why ASR alone is insufficient.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Calibri" w:hAnsi="Calibri"/>
                <w:b w:val="0"/>
                <w:color w:val="111827"/>
                <w:sz w:val="17"/>
              </w:rPr>
              <w:t>Results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Calibri" w:hAnsi="Calibri"/>
                <w:b w:val="0"/>
                <w:color w:val="111827"/>
                <w:sz w:val="17"/>
              </w:rPr>
              <w:t>Includes workflow corpus, lifecycle-gap, converted external traces, stress suites, and live LLM results.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Calibri" w:hAnsi="Calibri"/>
                <w:b w:val="0"/>
                <w:color w:val="111827"/>
                <w:sz w:val="17"/>
              </w:rPr>
              <w:t>Discussion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Calibri" w:hAnsi="Calibri"/>
                <w:b w:val="0"/>
                <w:color w:val="111827"/>
                <w:sz w:val="17"/>
              </w:rPr>
              <w:t>Explains why output moderation is not equivalent to memory authorization.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Calibri" w:hAnsi="Calibri"/>
                <w:b w:val="0"/>
                <w:color w:val="111827"/>
                <w:sz w:val="17"/>
              </w:rPr>
              <w:t>Limitations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Calibri" w:hAnsi="Calibri"/>
                <w:b w:val="0"/>
                <w:color w:val="111827"/>
                <w:sz w:val="17"/>
              </w:rPr>
              <w:t>States prototype, synthetic/converted corpora, raw multimodal gaps, and non-universal claim.</w:t>
            </w:r>
          </w:p>
        </w:tc>
      </w:tr>
    </w:tbl>
    <w:p/>
    <w:p>
      <w:pPr>
        <w:spacing w:after="100"/>
      </w:pPr>
      <w:r>
        <w:rPr>
          <w:rFonts w:ascii="Calibri" w:hAnsi="Calibri"/>
          <w:b w:val="0"/>
          <w:color w:val="111827"/>
          <w:sz w:val="20"/>
        </w:rPr>
        <w:t>Current main research paper files:</w:t>
      </w:r>
    </w:p>
    <w:p>
      <w:pPr>
        <w:pStyle w:val="ListBullet"/>
      </w:pPr>
      <w:r>
        <w:rPr>
          <w:rFonts w:ascii="Calibri" w:hAnsi="Calibri"/>
          <w:b w:val="0"/>
          <w:color w:val="111827"/>
          <w:sz w:val="20"/>
        </w:rPr>
        <w:t>paper/Sealing_Jutsu_Research_Paper_v3.md</w:t>
      </w:r>
    </w:p>
    <w:p>
      <w:pPr>
        <w:pStyle w:val="ListBullet"/>
      </w:pPr>
      <w:r>
        <w:rPr>
          <w:rFonts w:ascii="Calibri" w:hAnsi="Calibri"/>
          <w:b w:val="0"/>
          <w:color w:val="111827"/>
          <w:sz w:val="20"/>
        </w:rPr>
        <w:t>paper/Sealing_Jutsu_Research_Paper_v3.docx</w:t>
      </w:r>
    </w:p>
    <w:p>
      <w:pPr>
        <w:pStyle w:val="ListBullet"/>
      </w:pPr>
      <w:r>
        <w:rPr>
          <w:rFonts w:ascii="Calibri" w:hAnsi="Calibri"/>
          <w:b w:val="0"/>
          <w:color w:val="111827"/>
          <w:sz w:val="20"/>
        </w:rPr>
        <w:t>paper/Sealing_Jutsu_Research_Paper_v3.pdf</w:t>
      </w:r>
    </w:p>
    <w:p>
      <w:pPr>
        <w:spacing w:after="100"/>
      </w:pPr>
      <w:r>
        <w:rPr>
          <w:rFonts w:ascii="Calibri" w:hAnsi="Calibri"/>
          <w:b w:val="0"/>
          <w:color w:val="111827"/>
          <w:sz w:val="20"/>
        </w:rPr>
        <w:t>Current IEEE-style paper files:</w:t>
      </w:r>
    </w:p>
    <w:p>
      <w:pPr>
        <w:pStyle w:val="ListBullet"/>
      </w:pPr>
      <w:r>
        <w:rPr>
          <w:rFonts w:ascii="Calibri" w:hAnsi="Calibri"/>
          <w:b w:val="0"/>
          <w:color w:val="111827"/>
          <w:sz w:val="20"/>
        </w:rPr>
        <w:t>paper/Sealing_Jutsu_IEEE_Style_Paper.md</w:t>
      </w:r>
    </w:p>
    <w:p>
      <w:pPr>
        <w:pStyle w:val="ListBullet"/>
      </w:pPr>
      <w:r>
        <w:rPr>
          <w:rFonts w:ascii="Calibri" w:hAnsi="Calibri"/>
          <w:b w:val="0"/>
          <w:color w:val="111827"/>
          <w:sz w:val="20"/>
        </w:rPr>
        <w:t>paper/Sealing_Jutsu_IEEE_Style_Paper.docx</w:t>
      </w:r>
    </w:p>
    <w:p>
      <w:pPr>
        <w:pStyle w:val="ListBullet"/>
      </w:pPr>
      <w:r>
        <w:rPr>
          <w:rFonts w:ascii="Calibri" w:hAnsi="Calibri"/>
          <w:b w:val="0"/>
          <w:color w:val="111827"/>
          <w:sz w:val="20"/>
        </w:rPr>
        <w:t>paper/Sealing_Jutsu_IEEE_Style_Paper.pdf</w:t>
      </w:r>
    </w:p>
    <w:p>
      <w:pPr>
        <w:pStyle w:val="ListBullet"/>
      </w:pPr>
      <w:r>
        <w:rPr>
          <w:rFonts w:ascii="Calibri" w:hAnsi="Calibri"/>
          <w:b w:val="0"/>
          <w:color w:val="111827"/>
          <w:sz w:val="20"/>
        </w:rPr>
        <w:t>paper/Sealing_Jutsu_IEEE_Style_Paper.tex</w:t>
      </w:r>
    </w:p>
    <w:p>
      <w:pPr>
        <w:spacing w:before="200" w:after="80"/>
      </w:pPr>
      <w:r>
        <w:rPr>
          <w:rFonts w:ascii="Calibri" w:hAnsi="Calibri"/>
          <w:b/>
          <w:color w:val="1F4D78"/>
          <w:sz w:val="28"/>
        </w:rPr>
        <w:t>What Is Out of Scope for the Paper Body</w:t>
      </w:r>
    </w:p>
    <w:p>
      <w:pPr>
        <w:spacing w:after="100"/>
      </w:pPr>
      <w:r>
        <w:rPr>
          <w:rFonts w:ascii="Calibri" w:hAnsi="Calibri"/>
          <w:b w:val="0"/>
          <w:color w:val="111827"/>
          <w:sz w:val="20"/>
        </w:rPr>
        <w:t>The following should not be written inside the research paper as research content.</w:t>
      </w:r>
    </w:p>
    <w:p>
      <w:pPr>
        <w:spacing w:before="140" w:after="60"/>
      </w:pPr>
      <w:r>
        <w:rPr>
          <w:rFonts w:ascii="Calibri" w:hAnsi="Calibri"/>
          <w:b/>
          <w:color w:val="1F4D78"/>
          <w:sz w:val="24"/>
        </w:rPr>
        <w:t>1. Commit History</w:t>
      </w:r>
    </w:p>
    <w:p>
      <w:pPr>
        <w:spacing w:after="100"/>
      </w:pPr>
      <w:r>
        <w:rPr>
          <w:rFonts w:ascii="Calibri" w:hAnsi="Calibri"/>
          <w:b w:val="0"/>
          <w:color w:val="111827"/>
          <w:sz w:val="20"/>
        </w:rPr>
        <w:t>Commit IDs prove the work was pushed, but papers do not normally list commit hashes in the body.</w:t>
      </w:r>
    </w:p>
    <w:p>
      <w:pPr>
        <w:spacing w:after="100"/>
      </w:pPr>
      <w:r>
        <w:rPr>
          <w:rFonts w:ascii="Calibri" w:hAnsi="Calibri"/>
          <w:b w:val="0"/>
          <w:color w:val="111827"/>
          <w:sz w:val="20"/>
        </w:rPr>
        <w:t>Use in:</w:t>
      </w:r>
    </w:p>
    <w:p>
      <w:pPr>
        <w:pStyle w:val="ListBullet"/>
      </w:pPr>
      <w:r>
        <w:rPr>
          <w:rFonts w:ascii="Calibri" w:hAnsi="Calibri"/>
          <w:b w:val="0"/>
          <w:color w:val="111827"/>
          <w:sz w:val="20"/>
        </w:rPr>
        <w:t>repository log</w:t>
      </w:r>
    </w:p>
    <w:p>
      <w:pPr>
        <w:pStyle w:val="ListBullet"/>
      </w:pPr>
      <w:r>
        <w:rPr>
          <w:rFonts w:ascii="Calibri" w:hAnsi="Calibri"/>
          <w:b w:val="0"/>
          <w:color w:val="111827"/>
          <w:sz w:val="20"/>
        </w:rPr>
        <w:t>reproducibility appendix, if needed</w:t>
      </w:r>
    </w:p>
    <w:p>
      <w:pPr>
        <w:pStyle w:val="ListBullet"/>
      </w:pPr>
      <w:r>
        <w:rPr>
          <w:rFonts w:ascii="Calibri" w:hAnsi="Calibri"/>
          <w:b w:val="0"/>
          <w:color w:val="111827"/>
          <w:sz w:val="20"/>
        </w:rPr>
        <w:t>artifact evaluation notes</w:t>
      </w:r>
    </w:p>
    <w:p>
      <w:pPr>
        <w:spacing w:after="100"/>
      </w:pPr>
      <w:r>
        <w:rPr>
          <w:rFonts w:ascii="Calibri" w:hAnsi="Calibri"/>
          <w:b w:val="0"/>
          <w:color w:val="111827"/>
          <w:sz w:val="20"/>
        </w:rPr>
        <w:t>Do not use as:</w:t>
      </w:r>
    </w:p>
    <w:p>
      <w:pPr>
        <w:pStyle w:val="ListBullet"/>
      </w:pPr>
      <w:r>
        <w:rPr>
          <w:rFonts w:ascii="Calibri" w:hAnsi="Calibri"/>
          <w:b w:val="0"/>
          <w:color w:val="111827"/>
          <w:sz w:val="20"/>
        </w:rPr>
        <w:t>main paper evidence</w:t>
      </w:r>
    </w:p>
    <w:p>
      <w:pPr>
        <w:pStyle w:val="ListBullet"/>
      </w:pPr>
      <w:r>
        <w:rPr>
          <w:rFonts w:ascii="Calibri" w:hAnsi="Calibri"/>
          <w:b w:val="0"/>
          <w:color w:val="111827"/>
          <w:sz w:val="20"/>
        </w:rPr>
        <w:t>research contribution</w:t>
      </w:r>
    </w:p>
    <w:p>
      <w:pPr>
        <w:spacing w:before="140" w:after="60"/>
      </w:pPr>
      <w:r>
        <w:rPr>
          <w:rFonts w:ascii="Calibri" w:hAnsi="Calibri"/>
          <w:b/>
          <w:color w:val="1F4D78"/>
          <w:sz w:val="24"/>
        </w:rPr>
        <w:t>2. PDF Generation Notes</w:t>
      </w:r>
    </w:p>
    <w:p>
      <w:pPr>
        <w:spacing w:after="100"/>
      </w:pPr>
      <w:r>
        <w:rPr>
          <w:rFonts w:ascii="Calibri" w:hAnsi="Calibri"/>
          <w:b w:val="0"/>
          <w:color w:val="111827"/>
          <w:sz w:val="20"/>
        </w:rPr>
        <w:t>The fact that the PDF was generated with reportlab because LibreOffice/Word was unavailable is useful project history, but not part of the research.</w:t>
      </w:r>
    </w:p>
    <w:p>
      <w:pPr>
        <w:spacing w:after="100"/>
      </w:pPr>
      <w:r>
        <w:rPr>
          <w:rFonts w:ascii="Calibri" w:hAnsi="Calibri"/>
          <w:b w:val="0"/>
          <w:color w:val="111827"/>
          <w:sz w:val="20"/>
        </w:rPr>
        <w:t>Use in:</w:t>
      </w:r>
    </w:p>
    <w:p>
      <w:pPr>
        <w:pStyle w:val="ListBullet"/>
      </w:pPr>
      <w:r>
        <w:rPr>
          <w:rFonts w:ascii="Calibri" w:hAnsi="Calibri"/>
          <w:b w:val="0"/>
          <w:color w:val="111827"/>
          <w:sz w:val="20"/>
        </w:rPr>
        <w:t>PAPER_PREPRINT_TO_FINAL_RESEARCH_LOG.md</w:t>
      </w:r>
    </w:p>
    <w:p>
      <w:pPr>
        <w:pStyle w:val="ListBullet"/>
      </w:pPr>
      <w:r>
        <w:rPr>
          <w:rFonts w:ascii="Calibri" w:hAnsi="Calibri"/>
          <w:b w:val="0"/>
          <w:color w:val="111827"/>
          <w:sz w:val="20"/>
        </w:rPr>
        <w:t>artifact build notes</w:t>
      </w:r>
    </w:p>
    <w:p>
      <w:pPr>
        <w:spacing w:after="100"/>
      </w:pPr>
      <w:r>
        <w:rPr>
          <w:rFonts w:ascii="Calibri" w:hAnsi="Calibri"/>
          <w:b w:val="0"/>
          <w:color w:val="111827"/>
          <w:sz w:val="20"/>
        </w:rPr>
        <w:t>Do not use in:</w:t>
      </w:r>
    </w:p>
    <w:p>
      <w:pPr>
        <w:pStyle w:val="ListBullet"/>
      </w:pPr>
      <w:r>
        <w:rPr>
          <w:rFonts w:ascii="Calibri" w:hAnsi="Calibri"/>
          <w:b w:val="0"/>
          <w:color w:val="111827"/>
          <w:sz w:val="20"/>
        </w:rPr>
        <w:t>abstract</w:t>
      </w:r>
    </w:p>
    <w:p>
      <w:pPr>
        <w:pStyle w:val="ListBullet"/>
      </w:pPr>
      <w:r>
        <w:rPr>
          <w:rFonts w:ascii="Calibri" w:hAnsi="Calibri"/>
          <w:b w:val="0"/>
          <w:color w:val="111827"/>
          <w:sz w:val="20"/>
        </w:rPr>
        <w:t>results</w:t>
      </w:r>
    </w:p>
    <w:p>
      <w:pPr>
        <w:pStyle w:val="ListBullet"/>
      </w:pPr>
      <w:r>
        <w:rPr>
          <w:rFonts w:ascii="Calibri" w:hAnsi="Calibri"/>
          <w:b w:val="0"/>
          <w:color w:val="111827"/>
          <w:sz w:val="20"/>
        </w:rPr>
        <w:t>methodology</w:t>
      </w:r>
    </w:p>
    <w:p>
      <w:pPr>
        <w:pStyle w:val="ListBullet"/>
      </w:pPr>
      <w:r>
        <w:rPr>
          <w:rFonts w:ascii="Calibri" w:hAnsi="Calibri"/>
          <w:b w:val="0"/>
          <w:color w:val="111827"/>
          <w:sz w:val="20"/>
        </w:rPr>
        <w:t>conclusion</w:t>
      </w:r>
    </w:p>
    <w:p>
      <w:pPr>
        <w:spacing w:before="140" w:after="60"/>
      </w:pPr>
      <w:r>
        <w:rPr>
          <w:rFonts w:ascii="Calibri" w:hAnsi="Calibri"/>
          <w:b/>
          <w:color w:val="1F4D78"/>
          <w:sz w:val="24"/>
        </w:rPr>
        <w:t>3. `.gitattributes` Binary Rules</w:t>
      </w:r>
    </w:p>
    <w:p>
      <w:pPr>
        <w:spacing w:after="100"/>
      </w:pPr>
      <w:r>
        <w:rPr>
          <w:rFonts w:ascii="Calibri" w:hAnsi="Calibri"/>
          <w:b w:val="0"/>
          <w:color w:val="111827"/>
          <w:sz w:val="20"/>
        </w:rPr>
        <w:t>Binary Git handling is good repository hygiene, but not a research contribution.</w:t>
      </w:r>
    </w:p>
    <w:p>
      <w:pPr>
        <w:spacing w:after="100"/>
      </w:pPr>
      <w:r>
        <w:rPr>
          <w:rFonts w:ascii="Calibri" w:hAnsi="Calibri"/>
          <w:b w:val="0"/>
          <w:color w:val="111827"/>
          <w:sz w:val="20"/>
        </w:rPr>
        <w:t>Use in:</w:t>
      </w:r>
    </w:p>
    <w:p>
      <w:pPr>
        <w:pStyle w:val="ListBullet"/>
      </w:pPr>
      <w:r>
        <w:rPr>
          <w:rFonts w:ascii="Calibri" w:hAnsi="Calibri"/>
          <w:b w:val="0"/>
          <w:color w:val="111827"/>
          <w:sz w:val="20"/>
        </w:rPr>
        <w:t>repo maintenance notes</w:t>
      </w:r>
    </w:p>
    <w:p>
      <w:pPr>
        <w:spacing w:after="100"/>
      </w:pPr>
      <w:r>
        <w:rPr>
          <w:rFonts w:ascii="Calibri" w:hAnsi="Calibri"/>
          <w:b w:val="0"/>
          <w:color w:val="111827"/>
          <w:sz w:val="20"/>
        </w:rPr>
        <w:t>Do not use as:</w:t>
      </w:r>
    </w:p>
    <w:p>
      <w:pPr>
        <w:pStyle w:val="ListBullet"/>
      </w:pPr>
      <w:r>
        <w:rPr>
          <w:rFonts w:ascii="Calibri" w:hAnsi="Calibri"/>
          <w:b w:val="0"/>
          <w:color w:val="111827"/>
          <w:sz w:val="20"/>
        </w:rPr>
        <w:t>system design claim</w:t>
      </w:r>
    </w:p>
    <w:p>
      <w:pPr>
        <w:pStyle w:val="ListBullet"/>
      </w:pPr>
      <w:r>
        <w:rPr>
          <w:rFonts w:ascii="Calibri" w:hAnsi="Calibri"/>
          <w:b w:val="0"/>
          <w:color w:val="111827"/>
          <w:sz w:val="20"/>
        </w:rPr>
        <w:t>security result</w:t>
      </w:r>
    </w:p>
    <w:p>
      <w:pPr>
        <w:spacing w:before="140" w:after="60"/>
      </w:pPr>
      <w:r>
        <w:rPr>
          <w:rFonts w:ascii="Calibri" w:hAnsi="Calibri"/>
          <w:b/>
          <w:color w:val="1F4D78"/>
          <w:sz w:val="24"/>
        </w:rPr>
        <w:t>4. "After the Preprint" Narrative</w:t>
      </w:r>
    </w:p>
    <w:p>
      <w:pPr>
        <w:spacing w:after="100"/>
      </w:pPr>
      <w:r>
        <w:rPr>
          <w:rFonts w:ascii="Calibri" w:hAnsi="Calibri"/>
          <w:b w:val="0"/>
          <w:color w:val="111827"/>
          <w:sz w:val="20"/>
        </w:rPr>
        <w:t>The final paper should not say:</w:t>
      </w:r>
    </w:p>
    <w:p>
      <w:pPr>
        <w:ind w:left="360"/>
      </w:pPr>
      <w:r>
        <w:rPr>
          <w:rFonts w:ascii="Calibri" w:hAnsi="Calibri"/>
          <w:b w:val="0"/>
          <w:color w:val="1F4D78"/>
          <w:sz w:val="20"/>
        </w:rPr>
        <w:t>After the preprint, we added...</w:t>
      </w:r>
    </w:p>
    <w:p>
      <w:pPr>
        <w:spacing w:after="100"/>
      </w:pPr>
      <w:r>
        <w:rPr>
          <w:rFonts w:ascii="Calibri" w:hAnsi="Calibri"/>
          <w:b w:val="0"/>
          <w:color w:val="111827"/>
          <w:sz w:val="20"/>
        </w:rPr>
        <w:t>Instead, the paper should present the final work coherently:</w:t>
      </w:r>
    </w:p>
    <w:p>
      <w:pPr>
        <w:ind w:left="360"/>
      </w:pPr>
      <w:r>
        <w:rPr>
          <w:rFonts w:ascii="Calibri" w:hAnsi="Calibri"/>
          <w:b w:val="0"/>
          <w:color w:val="1F4D78"/>
          <w:sz w:val="20"/>
        </w:rPr>
        <w:t>We evaluate poison influence rate...</w:t>
      </w:r>
    </w:p>
    <w:p>
      <w:pPr>
        <w:spacing w:after="100"/>
      </w:pPr>
      <w:r>
        <w:rPr>
          <w:rFonts w:ascii="Calibri" w:hAnsi="Calibri"/>
          <w:b w:val="0"/>
          <w:color w:val="111827"/>
          <w:sz w:val="20"/>
        </w:rPr>
        <w:t>The after-preprint narrative belongs in the project log.</w:t>
      </w:r>
    </w:p>
    <w:p>
      <w:pPr>
        <w:spacing w:before="140" w:after="60"/>
      </w:pPr>
      <w:r>
        <w:rPr>
          <w:rFonts w:ascii="Calibri" w:hAnsi="Calibri"/>
          <w:b/>
          <w:color w:val="1F4D78"/>
          <w:sz w:val="24"/>
        </w:rPr>
        <w:t>5. File Location Logistics</w:t>
      </w:r>
    </w:p>
    <w:p>
      <w:pPr>
        <w:spacing w:after="100"/>
      </w:pPr>
      <w:r>
        <w:rPr>
          <w:rFonts w:ascii="Calibri" w:hAnsi="Calibri"/>
          <w:b w:val="0"/>
          <w:color w:val="111827"/>
          <w:sz w:val="20"/>
        </w:rPr>
        <w:t>Paths such as:</w:t>
      </w:r>
    </w:p>
    <w:p>
      <w:pPr>
        <w:pStyle w:val="ListBullet"/>
      </w:pPr>
      <w:r>
        <w:rPr>
          <w:rFonts w:ascii="Calibri" w:hAnsi="Calibri"/>
          <w:b w:val="0"/>
          <w:color w:val="111827"/>
          <w:sz w:val="20"/>
        </w:rPr>
        <w:t>C:\Users\User\Downloads\Archive</w:t>
      </w:r>
    </w:p>
    <w:p>
      <w:pPr>
        <w:pStyle w:val="ListBullet"/>
      </w:pPr>
      <w:r>
        <w:rPr>
          <w:rFonts w:ascii="Calibri" w:hAnsi="Calibri"/>
          <w:b w:val="0"/>
          <w:color w:val="111827"/>
          <w:sz w:val="20"/>
        </w:rPr>
        <w:t>C:\Users\User\Sealing-Jutsu\paper</w:t>
      </w:r>
    </w:p>
    <w:p>
      <w:pPr>
        <w:pStyle w:val="ListBullet"/>
      </w:pPr>
      <w:r>
        <w:rPr>
          <w:rFonts w:ascii="Calibri" w:hAnsi="Calibri"/>
          <w:b w:val="0"/>
          <w:color w:val="111827"/>
          <w:sz w:val="20"/>
        </w:rPr>
        <w:t>figure file paths</w:t>
      </w:r>
    </w:p>
    <w:p>
      <w:pPr>
        <w:spacing w:after="100"/>
      </w:pPr>
      <w:r>
        <w:rPr>
          <w:rFonts w:ascii="Calibri" w:hAnsi="Calibri"/>
          <w:b w:val="0"/>
          <w:color w:val="111827"/>
          <w:sz w:val="20"/>
        </w:rPr>
        <w:t>are useful for us locally, but not for a research paper.</w:t>
      </w:r>
    </w:p>
    <w:p>
      <w:pPr>
        <w:spacing w:after="100"/>
      </w:pPr>
      <w:r>
        <w:rPr>
          <w:rFonts w:ascii="Calibri" w:hAnsi="Calibri"/>
          <w:b w:val="0"/>
          <w:color w:val="111827"/>
          <w:sz w:val="20"/>
        </w:rPr>
        <w:t>Use in:</w:t>
      </w:r>
    </w:p>
    <w:p>
      <w:pPr>
        <w:pStyle w:val="ListBullet"/>
      </w:pPr>
      <w:r>
        <w:rPr>
          <w:rFonts w:ascii="Calibri" w:hAnsi="Calibri"/>
          <w:b w:val="0"/>
          <w:color w:val="111827"/>
          <w:sz w:val="20"/>
        </w:rPr>
        <w:t>local project notes</w:t>
      </w:r>
    </w:p>
    <w:p>
      <w:pPr>
        <w:spacing w:after="100"/>
      </w:pPr>
      <w:r>
        <w:rPr>
          <w:rFonts w:ascii="Calibri" w:hAnsi="Calibri"/>
          <w:b w:val="0"/>
          <w:color w:val="111827"/>
          <w:sz w:val="20"/>
        </w:rPr>
        <w:t>Do not use in:</w:t>
      </w:r>
    </w:p>
    <w:p>
      <w:pPr>
        <w:pStyle w:val="ListBullet"/>
      </w:pPr>
      <w:r>
        <w:rPr>
          <w:rFonts w:ascii="Calibri" w:hAnsi="Calibri"/>
          <w:b w:val="0"/>
          <w:color w:val="111827"/>
          <w:sz w:val="20"/>
        </w:rPr>
        <w:t>submitted paper text</w:t>
      </w:r>
    </w:p>
    <w:p>
      <w:pPr>
        <w:spacing w:before="140" w:after="60"/>
      </w:pPr>
      <w:r>
        <w:rPr>
          <w:rFonts w:ascii="Calibri" w:hAnsi="Calibri"/>
          <w:b/>
          <w:color w:val="1F4D78"/>
          <w:sz w:val="24"/>
        </w:rPr>
        <w:t>6. Visual Render Limitation</w:t>
      </w:r>
    </w:p>
    <w:p>
      <w:pPr>
        <w:spacing w:after="100"/>
      </w:pPr>
      <w:r>
        <w:rPr>
          <w:rFonts w:ascii="Calibri" w:hAnsi="Calibri"/>
          <w:b w:val="0"/>
          <w:color w:val="111827"/>
          <w:sz w:val="20"/>
        </w:rPr>
        <w:t>The DOCX render limitation is a local tooling limitation, not a scientific limitation.</w:t>
      </w:r>
    </w:p>
    <w:p>
      <w:pPr>
        <w:spacing w:after="100"/>
      </w:pPr>
      <w:r>
        <w:rPr>
          <w:rFonts w:ascii="Calibri" w:hAnsi="Calibri"/>
          <w:b w:val="0"/>
          <w:color w:val="111827"/>
          <w:sz w:val="20"/>
        </w:rPr>
        <w:t>It should not be framed as a limitation of CapsuleGuard or the research.</w:t>
      </w:r>
    </w:p>
    <w:p>
      <w:pPr>
        <w:spacing w:before="200" w:after="80"/>
      </w:pPr>
      <w:r>
        <w:rPr>
          <w:rFonts w:ascii="Calibri" w:hAnsi="Calibri"/>
          <w:b/>
          <w:color w:val="1F4D78"/>
          <w:sz w:val="28"/>
        </w:rPr>
        <w:t>What Is In Scope but Must Be Framed Carefully</w:t>
      </w:r>
    </w:p>
    <w:p>
      <w:pPr>
        <w:spacing w:after="100"/>
      </w:pPr>
      <w:r>
        <w:rPr>
          <w:rFonts w:ascii="Calibri" w:hAnsi="Calibri"/>
          <w:b w:val="0"/>
          <w:color w:val="111827"/>
          <w:sz w:val="20"/>
        </w:rPr>
        <w:t>Some items are valid for the paper, but only with careful wording.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8EEF5"/>
            <w:vAlign w:val="center"/>
          </w:tcPr>
          <w:p>
            <w:r>
              <w:rPr>
                <w:rFonts w:ascii="Calibri" w:hAnsi="Calibri"/>
                <w:b/>
                <w:color w:val="111827"/>
                <w:sz w:val="18"/>
              </w:rPr>
              <w:t>Item</w:t>
            </w:r>
          </w:p>
        </w:tc>
        <w:tc>
          <w:tcPr>
            <w:tcW w:type="dxa" w:w="3360"/>
            <w:shd w:fill="E8EEF5"/>
            <w:vAlign w:val="center"/>
          </w:tcPr>
          <w:p>
            <w:r>
              <w:rPr>
                <w:rFonts w:ascii="Calibri" w:hAnsi="Calibri"/>
                <w:b/>
                <w:color w:val="111827"/>
                <w:sz w:val="18"/>
              </w:rPr>
              <w:t>Safe framing</w:t>
            </w:r>
          </w:p>
        </w:tc>
        <w:tc>
          <w:tcPr>
            <w:tcW w:type="dxa" w:w="3360"/>
            <w:shd w:fill="E8EEF5"/>
            <w:vAlign w:val="center"/>
          </w:tcPr>
          <w:p>
            <w:r>
              <w:rPr>
                <w:rFonts w:ascii="Calibri" w:hAnsi="Calibri"/>
                <w:b/>
                <w:color w:val="111827"/>
                <w:sz w:val="18"/>
              </w:rPr>
              <w:t>Unsafe framing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Calibri" w:hAnsi="Calibri"/>
                <w:b w:val="0"/>
                <w:color w:val="111827"/>
                <w:sz w:val="17"/>
              </w:rPr>
              <w:t>0% ASR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Calibri" w:hAnsi="Calibri"/>
                <w:b w:val="0"/>
                <w:color w:val="111827"/>
                <w:sz w:val="17"/>
              </w:rPr>
              <w:t>"0% ASR under tested benchmark conditions."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Calibri" w:hAnsi="Calibri"/>
                <w:b w:val="0"/>
                <w:color w:val="111827"/>
                <w:sz w:val="17"/>
              </w:rPr>
              <w:t>"Solves all poisoning."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Calibri" w:hAnsi="Calibri"/>
                <w:b w:val="0"/>
                <w:color w:val="111827"/>
                <w:sz w:val="17"/>
              </w:rPr>
              <w:t>0% poison influence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Calibri" w:hAnsi="Calibri"/>
                <w:b w:val="0"/>
                <w:color w:val="111827"/>
                <w:sz w:val="17"/>
              </w:rPr>
              <w:t>"0% poison influence in converted trace-corpus evaluation."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Calibri" w:hAnsi="Calibri"/>
                <w:b w:val="0"/>
                <w:color w:val="111827"/>
                <w:sz w:val="17"/>
              </w:rPr>
              <w:t>"No poisoned memory can ever influence an agent."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Calibri" w:hAnsi="Calibri"/>
                <w:b w:val="0"/>
                <w:color w:val="111827"/>
                <w:sz w:val="17"/>
              </w:rPr>
              <w:t>Live LLM result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Calibri" w:hAnsi="Calibri"/>
                <w:b w:val="0"/>
                <w:color w:val="111827"/>
                <w:sz w:val="17"/>
              </w:rPr>
              <w:t>"Realism check across local models."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Calibri" w:hAnsi="Calibri"/>
                <w:b w:val="0"/>
                <w:color w:val="111827"/>
                <w:sz w:val="17"/>
              </w:rPr>
              <w:t>"Conference-grade frontier-model validation."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Calibri" w:hAnsi="Calibri"/>
                <w:b w:val="0"/>
                <w:color w:val="111827"/>
                <w:sz w:val="17"/>
              </w:rPr>
              <w:t>Threshold sweep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Calibri" w:hAnsi="Calibri"/>
                <w:b w:val="0"/>
                <w:color w:val="111827"/>
                <w:sz w:val="17"/>
              </w:rPr>
              <w:t>"Prototype-level calibration sweep."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Calibri" w:hAnsi="Calibri"/>
                <w:b w:val="0"/>
                <w:color w:val="111827"/>
                <w:sz w:val="17"/>
              </w:rPr>
              <w:t>"Fully calibrated production policy."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Calibri" w:hAnsi="Calibri"/>
                <w:b w:val="0"/>
                <w:color w:val="111827"/>
                <w:sz w:val="17"/>
              </w:rPr>
              <w:t>Converted AgentDojo/InjecAgent traces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Calibri" w:hAnsi="Calibri"/>
                <w:b w:val="0"/>
                <w:color w:val="111827"/>
                <w:sz w:val="17"/>
              </w:rPr>
              <w:t>"Converted external-style trace evidence."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Calibri" w:hAnsi="Calibri"/>
                <w:b w:val="0"/>
                <w:color w:val="111827"/>
                <w:sz w:val="17"/>
              </w:rPr>
              <w:t>"Direct unmodified real-world deployment traces."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Calibri" w:hAnsi="Calibri"/>
                <w:b w:val="0"/>
                <w:color w:val="111827"/>
                <w:sz w:val="17"/>
              </w:rPr>
              <w:t>PDF/IEEE paper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Calibri" w:hAnsi="Calibri"/>
                <w:b w:val="0"/>
                <w:color w:val="111827"/>
                <w:sz w:val="17"/>
              </w:rPr>
              <w:t>"Presentation and submission artifacts."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Calibri" w:hAnsi="Calibri"/>
                <w:b w:val="0"/>
                <w:color w:val="111827"/>
                <w:sz w:val="17"/>
              </w:rPr>
              <w:t>"Additional experimental evidence."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color w:val="1F4D78"/>
          <w:sz w:val="28"/>
        </w:rPr>
        <w:t>Recommended Paper Boundary</w:t>
      </w:r>
    </w:p>
    <w:p>
      <w:pPr>
        <w:spacing w:after="100"/>
      </w:pPr>
      <w:r>
        <w:rPr>
          <w:rFonts w:ascii="Calibri" w:hAnsi="Calibri"/>
          <w:b w:val="0"/>
          <w:color w:val="111827"/>
          <w:sz w:val="20"/>
        </w:rPr>
        <w:t>The paper should claim:</w:t>
      </w:r>
    </w:p>
    <w:p>
      <w:pPr>
        <w:ind w:left="360"/>
      </w:pPr>
      <w:r>
        <w:rPr>
          <w:rFonts w:ascii="Calibri" w:hAnsi="Calibri"/>
          <w:b w:val="0"/>
          <w:color w:val="1F4D78"/>
          <w:sz w:val="20"/>
        </w:rPr>
        <w:t>Intent-bound memory capsules provide a least-privilege authorization layer for persistent agent memory. In the tested prototype, this layer reduces both final attack success and poisoned planning influence while preserving benign utility.</w:t>
      </w:r>
    </w:p>
    <w:p>
      <w:pPr>
        <w:spacing w:after="100"/>
      </w:pPr>
      <w:r>
        <w:rPr>
          <w:rFonts w:ascii="Calibri" w:hAnsi="Calibri"/>
          <w:b w:val="0"/>
          <w:color w:val="111827"/>
          <w:sz w:val="20"/>
        </w:rPr>
        <w:t>The paper should not claim:</w:t>
      </w:r>
    </w:p>
    <w:p>
      <w:pPr>
        <w:ind w:left="360"/>
      </w:pPr>
      <w:r>
        <w:rPr>
          <w:rFonts w:ascii="Calibri" w:hAnsi="Calibri"/>
          <w:b w:val="0"/>
          <w:color w:val="1F4D78"/>
          <w:sz w:val="20"/>
        </w:rPr>
        <w:t>CapsuleGuard solves all agent memory poisoning.</w:t>
      </w:r>
    </w:p>
    <w:p>
      <w:pPr>
        <w:spacing w:after="100"/>
      </w:pPr>
      <w:r>
        <w:rPr>
          <w:rFonts w:ascii="Calibri" w:hAnsi="Calibri"/>
          <w:b w:val="0"/>
          <w:color w:val="111827"/>
          <w:sz w:val="20"/>
        </w:rPr>
        <w:t>The strongest safe paper contribution is:</w:t>
      </w:r>
    </w:p>
    <w:p>
      <w:pPr>
        <w:ind w:left="360"/>
      </w:pPr>
      <w:r>
        <w:rPr>
          <w:rFonts w:ascii="Calibri" w:hAnsi="Calibri"/>
          <w:b w:val="0"/>
          <w:color w:val="1F4D78"/>
          <w:sz w:val="20"/>
        </w:rPr>
        <w:t>separating retrieval from authority, and measuring poison influence separately from final attack success.</w:t>
      </w:r>
    </w:p>
    <w:p>
      <w:pPr>
        <w:spacing w:before="200" w:after="80"/>
      </w:pPr>
      <w:r>
        <w:rPr>
          <w:rFonts w:ascii="Calibri" w:hAnsi="Calibri"/>
          <w:b/>
          <w:color w:val="1F4D78"/>
          <w:sz w:val="28"/>
        </w:rPr>
        <w:t>Final Scope Verdict</w:t>
      </w:r>
    </w:p>
    <w:p>
      <w:pPr>
        <w:spacing w:after="100"/>
      </w:pPr>
      <w:r>
        <w:rPr>
          <w:rFonts w:ascii="Calibri" w:hAnsi="Calibri"/>
          <w:b w:val="0"/>
          <w:color w:val="111827"/>
          <w:sz w:val="20"/>
        </w:rPr>
        <w:t>Nothing in the pasted chat is harmful by itself, but not everything belongs in the paper.</w:t>
      </w:r>
    </w:p>
    <w:p>
      <w:pPr>
        <w:spacing w:after="100"/>
      </w:pPr>
      <w:r>
        <w:rPr>
          <w:rFonts w:ascii="Calibri" w:hAnsi="Calibri"/>
          <w:b w:val="0"/>
          <w:color w:val="111827"/>
          <w:sz w:val="20"/>
        </w:rPr>
        <w:t>Research-paper material:</w:t>
      </w:r>
    </w:p>
    <w:p>
      <w:pPr>
        <w:pStyle w:val="ListBullet"/>
      </w:pPr>
      <w:r>
        <w:rPr>
          <w:rFonts w:ascii="Calibri" w:hAnsi="Calibri"/>
          <w:b w:val="0"/>
          <w:color w:val="111827"/>
          <w:sz w:val="20"/>
        </w:rPr>
        <w:t>threat model</w:t>
      </w:r>
    </w:p>
    <w:p>
      <w:pPr>
        <w:pStyle w:val="ListBullet"/>
      </w:pPr>
      <w:r>
        <w:rPr>
          <w:rFonts w:ascii="Calibri" w:hAnsi="Calibri"/>
          <w:b w:val="0"/>
          <w:color w:val="111827"/>
          <w:sz w:val="20"/>
        </w:rPr>
        <w:t>poison influence rate</w:t>
      </w:r>
    </w:p>
    <w:p>
      <w:pPr>
        <w:pStyle w:val="ListBullet"/>
      </w:pPr>
      <w:r>
        <w:rPr>
          <w:rFonts w:ascii="Calibri" w:hAnsi="Calibri"/>
          <w:b w:val="0"/>
          <w:color w:val="111827"/>
          <w:sz w:val="20"/>
        </w:rPr>
        <w:t>external converted-corpus evidence</w:t>
      </w:r>
    </w:p>
    <w:p>
      <w:pPr>
        <w:pStyle w:val="ListBullet"/>
      </w:pPr>
      <w:r>
        <w:rPr>
          <w:rFonts w:ascii="Calibri" w:hAnsi="Calibri"/>
          <w:b w:val="0"/>
          <w:color w:val="111827"/>
          <w:sz w:val="20"/>
        </w:rPr>
        <w:t>lifecycle-gap benchmark</w:t>
      </w:r>
    </w:p>
    <w:p>
      <w:pPr>
        <w:pStyle w:val="ListBullet"/>
      </w:pPr>
      <w:r>
        <w:rPr>
          <w:rFonts w:ascii="Calibri" w:hAnsi="Calibri"/>
          <w:b w:val="0"/>
          <w:color w:val="111827"/>
          <w:sz w:val="20"/>
        </w:rPr>
        <w:t>live LLM planner check</w:t>
      </w:r>
    </w:p>
    <w:p>
      <w:pPr>
        <w:pStyle w:val="ListBullet"/>
      </w:pPr>
      <w:r>
        <w:rPr>
          <w:rFonts w:ascii="Calibri" w:hAnsi="Calibri"/>
          <w:b w:val="0"/>
          <w:color w:val="111827"/>
          <w:sz w:val="20"/>
        </w:rPr>
        <w:t>calibration</w:t>
      </w:r>
    </w:p>
    <w:p>
      <w:pPr>
        <w:pStyle w:val="ListBullet"/>
      </w:pPr>
      <w:r>
        <w:rPr>
          <w:rFonts w:ascii="Calibri" w:hAnsi="Calibri"/>
          <w:b w:val="0"/>
          <w:color w:val="111827"/>
          <w:sz w:val="20"/>
        </w:rPr>
        <w:t>limitations</w:t>
      </w:r>
    </w:p>
    <w:p>
      <w:pPr>
        <w:spacing w:after="100"/>
      </w:pPr>
      <w:r>
        <w:rPr>
          <w:rFonts w:ascii="Calibri" w:hAnsi="Calibri"/>
          <w:b w:val="0"/>
          <w:color w:val="111827"/>
          <w:sz w:val="20"/>
        </w:rPr>
        <w:t>Repository/project-log material:</w:t>
      </w:r>
    </w:p>
    <w:p>
      <w:pPr>
        <w:pStyle w:val="ListBullet"/>
      </w:pPr>
      <w:r>
        <w:rPr>
          <w:rFonts w:ascii="Calibri" w:hAnsi="Calibri"/>
          <w:b w:val="0"/>
          <w:color w:val="111827"/>
          <w:sz w:val="20"/>
        </w:rPr>
        <w:t>commit hashes</w:t>
      </w:r>
    </w:p>
    <w:p>
      <w:pPr>
        <w:pStyle w:val="ListBullet"/>
      </w:pPr>
      <w:r>
        <w:rPr>
          <w:rFonts w:ascii="Calibri" w:hAnsi="Calibri"/>
          <w:b w:val="0"/>
          <w:color w:val="111827"/>
          <w:sz w:val="20"/>
        </w:rPr>
        <w:t>PDF generation process</w:t>
      </w:r>
    </w:p>
    <w:p>
      <w:pPr>
        <w:pStyle w:val="ListBullet"/>
      </w:pPr>
      <w:r>
        <w:rPr>
          <w:rFonts w:ascii="Calibri" w:hAnsi="Calibri"/>
          <w:b w:val="0"/>
          <w:color w:val="111827"/>
          <w:sz w:val="20"/>
        </w:rPr>
        <w:t>.gitattributes</w:t>
      </w:r>
    </w:p>
    <w:p>
      <w:pPr>
        <w:pStyle w:val="ListBullet"/>
      </w:pPr>
      <w:r>
        <w:rPr>
          <w:rFonts w:ascii="Calibri" w:hAnsi="Calibri"/>
          <w:b w:val="0"/>
          <w:color w:val="111827"/>
          <w:sz w:val="20"/>
        </w:rPr>
        <w:t>file locations</w:t>
      </w:r>
    </w:p>
    <w:p>
      <w:pPr>
        <w:pStyle w:val="ListBullet"/>
      </w:pPr>
      <w:r>
        <w:rPr>
          <w:rFonts w:ascii="Calibri" w:hAnsi="Calibri"/>
          <w:b w:val="0"/>
          <w:color w:val="111827"/>
          <w:sz w:val="20"/>
        </w:rPr>
        <w:t>preprint-to-final chronology</w:t>
      </w:r>
    </w:p>
    <w:p>
      <w:pPr>
        <w:pStyle w:val="ListBullet"/>
      </w:pPr>
      <w:r>
        <w:rPr>
          <w:rFonts w:ascii="Calibri" w:hAnsi="Calibri"/>
          <w:b w:val="0"/>
          <w:color w:val="111827"/>
          <w:sz w:val="20"/>
        </w:rPr>
        <w:t>local render-tool limitation</w:t>
      </w:r>
    </w:p>
    <w:p>
      <w:pPr>
        <w:spacing w:after="100"/>
      </w:pPr>
      <w:r>
        <w:rPr>
          <w:rFonts w:ascii="Calibri" w:hAnsi="Calibri"/>
          <w:b w:val="0"/>
          <w:color w:val="111827"/>
          <w:sz w:val="20"/>
        </w:rPr>
        <w:t>Separate submission-format material:</w:t>
      </w:r>
    </w:p>
    <w:p>
      <w:pPr>
        <w:pStyle w:val="ListBullet"/>
      </w:pPr>
      <w:r>
        <w:rPr>
          <w:rFonts w:ascii="Calibri" w:hAnsi="Calibri"/>
          <w:b w:val="0"/>
          <w:color w:val="111827"/>
          <w:sz w:val="20"/>
        </w:rPr>
        <w:t>IEEE-style .tex, .pdf, .docx, and .md</w:t>
      </w:r>
    </w:p>
    <w:p>
      <w:pPr>
        <w:spacing w:after="100"/>
      </w:pPr>
      <w:r>
        <w:rPr>
          <w:rFonts w:ascii="Calibri" w:hAnsi="Calibri"/>
          <w:b w:val="0"/>
          <w:color w:val="111827"/>
          <w:sz w:val="20"/>
        </w:rPr>
        <w:t>The v3 research paper and IEEE-style paper already contain the right research content. The process details are correctly kept in the research log instead of being inserted into the paper body.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