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62235" w:val="clear"/>
          </w:tcPr>
          <w:p>
            <w:pPr>
              <w:spacing w:before="4027"/>
            </w:pPr>
          </w:p>
          <w:p>
            <w:pPr>
              <w:pBdr>
                <w:bottom w:val="single" w:color="37DCF2" w:sz="6" w:space="8"/>
              </w:pBdr>
              <w:spacing w:after="500"/>
              <w:ind w:left="800" w:right="1200"/>
              <w:jc w:val="right"/>
            </w:pPr>
            <w:r>
              <w:rPr>
                <w:rFonts w:ascii="Arial" w:cs="Arial" w:eastAsia="Arial" w:hAnsi="Arial"/>
                <w:color w:val="37DCF2"/>
                <w:spacing w:val="40"/>
                <w:sz w:val="18"/>
                <w:szCs w:val="18"/>
              </w:rPr>
              <w:t xml:space="preserve">P R O J E C T   H A N D O V E R   R E P O R T</w:t>
            </w:r>
          </w:p>
          <w:p>
            <w:pPr>
              <w:bidi/>
              <w:spacing w:after="100" w:line="828" w:lineRule="atLeast"/>
              <w:ind w:start="1200" w:end="800"/>
            </w:pPr>
            <w:r>
              <w:rPr>
                <w:rFonts w:ascii="Arial" w:cs="Arial" w:eastAsia="Arial" w:hAnsi="Arial"/>
                <w:b/>
                <w:bCs/>
                <w:color w:val="FFFFFF"/>
                <w:sz w:val="72"/>
                <w:szCs w:val="72"/>
                <w:rtl/>
              </w:rPr>
              <w:t xml:space="preserve">تقرير التسليم النهائي</w:t>
            </w:r>
          </w:p>
          <w:p>
            <w:pPr>
              <w:bidi/>
              <w:spacing w:after="300" w:line="828" w:lineRule="atLeast"/>
              <w:ind w:start="1200" w:end="800"/>
            </w:pPr>
            <w:r>
              <w:rPr>
                <w:rFonts w:ascii="Arial" w:cs="Arial" w:eastAsia="Arial" w:hAnsi="Arial"/>
                <w:b/>
                <w:bCs/>
                <w:color w:val="FFFFFF"/>
                <w:sz w:val="72"/>
                <w:szCs w:val="72"/>
                <w:rtl/>
              </w:rPr>
              <w:t xml:space="preserve">نظام إدارة المخبز AlMoutmag</w:t>
            </w:r>
          </w:p>
          <w:p>
            <w:pPr>
              <w:bidi/>
              <w:spacing w:after="800"/>
              <w:ind w:start="1200" w:end="800"/>
            </w:pPr>
            <w:r>
              <w:rPr>
                <w:rFonts w:ascii="Arial" w:cs="Arial" w:eastAsia="Arial" w:hAnsi="Arial"/>
                <w:color w:val="B0B8C0"/>
                <w:sz w:val="24"/>
                <w:szCs w:val="24"/>
                <w:rtl/>
              </w:rPr>
              <w:t xml:space="preserve">وثيقة انطلاق معتمدة لمطوّر جديد — كل رقم فيها بمصدر منفّذ وقابل للتحقق</w:t>
            </w:r>
          </w:p>
          <w:p>
            <w:pPr>
              <w:bidi/>
              <w:spacing w:after="80"/>
              <w:ind w:start="1400" w:end="800"/>
            </w:pPr>
            <w:r>
              <w:rPr>
                <w:rFonts w:ascii="Arial" w:cs="Arial" w:eastAsia="Arial" w:hAnsi="Arial"/>
                <w:color w:val="37DCF2"/>
                <w:sz w:val="24"/>
                <w:szCs w:val="24"/>
                <w:rtl/>
              </w:rPr>
              <w:t xml:space="preserve">• </w:t>
            </w:r>
            <w:r>
              <w:rPr>
                <w:rFonts w:ascii="Arial" w:cs="Arial" w:eastAsia="Arial" w:hAnsi="Arial"/>
                <w:color w:val="90989F"/>
                <w:sz w:val="24"/>
                <w:szCs w:val="24"/>
                <w:rtl/>
              </w:rPr>
              <w:t xml:space="preserve">المستودع: github.com/q033511-pixel/bakery-system</w:t>
            </w:r>
          </w:p>
          <w:p>
            <w:pPr>
              <w:bidi/>
              <w:spacing w:after="80"/>
              <w:ind w:start="1400" w:end="800"/>
            </w:pPr>
            <w:r>
              <w:rPr>
                <w:rFonts w:ascii="Arial" w:cs="Arial" w:eastAsia="Arial" w:hAnsi="Arial"/>
                <w:color w:val="37DCF2"/>
                <w:sz w:val="24"/>
                <w:szCs w:val="24"/>
                <w:rtl/>
              </w:rPr>
              <w:t xml:space="preserve">• </w:t>
            </w:r>
            <w:r>
              <w:rPr>
                <w:rFonts w:ascii="Arial" w:cs="Arial" w:eastAsia="Arial" w:hAnsi="Arial"/>
                <w:color w:val="90989F"/>
                <w:sz w:val="24"/>
                <w:szCs w:val="24"/>
                <w:rtl/>
              </w:rPr>
              <w:t xml:space="preserve">حالة الكود عند التسليم: main = d779253 (المرحلة 4)</w:t>
            </w:r>
          </w:p>
          <w:p>
            <w:pPr>
              <w:bidi/>
              <w:spacing w:after="80"/>
              <w:ind w:start="1400" w:end="800"/>
            </w:pPr>
            <w:r>
              <w:rPr>
                <w:rFonts w:ascii="Arial" w:cs="Arial" w:eastAsia="Arial" w:hAnsi="Arial"/>
                <w:color w:val="37DCF2"/>
                <w:sz w:val="24"/>
                <w:szCs w:val="24"/>
                <w:rtl/>
              </w:rPr>
              <w:t xml:space="preserve">• </w:t>
            </w:r>
            <w:r>
              <w:rPr>
                <w:rFonts w:ascii="Arial" w:cs="Arial" w:eastAsia="Arial" w:hAnsi="Arial"/>
                <w:color w:val="90989F"/>
                <w:sz w:val="24"/>
                <w:szCs w:val="24"/>
                <w:rtl/>
              </w:rPr>
              <w:t xml:space="preserve">الإصدار المنشور للعميل: v8.2.0 — موقع حي وحزمة ويندوز مثبتة المصدر</w:t>
            </w:r>
          </w:p>
          <w:p>
            <w:pPr>
              <w:bidi/>
              <w:spacing w:after="80"/>
              <w:ind w:start="1400" w:end="800"/>
            </w:pPr>
            <w:r>
              <w:rPr>
                <w:rFonts w:ascii="Arial" w:cs="Arial" w:eastAsia="Arial" w:hAnsi="Arial"/>
                <w:color w:val="37DCF2"/>
                <w:sz w:val="24"/>
                <w:szCs w:val="24"/>
                <w:rtl/>
              </w:rPr>
              <w:t xml:space="preserve">• </w:t>
            </w:r>
            <w:r>
              <w:rPr>
                <w:rFonts w:ascii="Arial" w:cs="Arial" w:eastAsia="Arial" w:hAnsi="Arial"/>
                <w:color w:val="90989F"/>
                <w:sz w:val="24"/>
                <w:szCs w:val="24"/>
                <w:rtl/>
              </w:rPr>
              <w:t xml:space="preserve">بوابة الجودة: 160/160 اختباراً — CI أخضر على كل push وPR</w:t>
            </w:r>
          </w:p>
          <w:p>
            <w:pPr>
              <w:bidi/>
              <w:spacing w:after="80"/>
              <w:ind w:start="1400" w:end="800"/>
            </w:pPr>
            <w:r>
              <w:rPr>
                <w:rFonts w:ascii="Arial" w:cs="Arial" w:eastAsia="Arial" w:hAnsi="Arial"/>
                <w:color w:val="37DCF2"/>
                <w:sz w:val="24"/>
                <w:szCs w:val="24"/>
                <w:rtl/>
              </w:rPr>
              <w:t xml:space="preserve">• </w:t>
            </w:r>
            <w:r>
              <w:rPr>
                <w:rFonts w:ascii="Arial" w:cs="Arial" w:eastAsia="Arial" w:hAnsi="Arial"/>
                <w:color w:val="90989F"/>
                <w:sz w:val="24"/>
                <w:szCs w:val="24"/>
                <w:rtl/>
              </w:rPr>
              <w:t xml:space="preserve">تاريخ التسليم: 17 أكتوبر 2026</w:t>
            </w:r>
          </w:p>
          <w:p>
            <w:pPr>
              <w:spacing w:before="4027"/>
            </w:pPr>
          </w:p>
          <w:p>
            <w:pPr>
              <w:pBdr>
                <w:top w:val="single" w:color="37DCF2" w:sz="2" w:space="8"/>
              </w:pBdr>
              <w:bidi/>
              <w:spacing w:before="200"/>
              <w:ind w:start="1200" w:end="800"/>
            </w:pPr>
            <w:r>
              <w:rPr>
                <w:rFonts w:ascii="Arial" w:cs="Arial" w:eastAsia="Arial" w:hAnsi="Arial"/>
                <w:color w:val="687078"/>
                <w:sz w:val="16"/>
                <w:szCs w:val="16"/>
                <w:rtl/>
              </w:rPr>
              <w:t xml:space="preserve">وثيقة تسليم داخلية — تُقرأ مع CURRENT_SYSTEM_AUDIT.md وسجل الالتزامات في Git</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color w:val="0E3D47"/>
          <w:sz w:val="32"/>
          <w:szCs w:val="32"/>
          <w:rtl/>
        </w:rPr>
        <w:t xml:space="preserve">المحتويات</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الملخص التنفيذي</w:t>
          </w:r>
          <w:r>
            <w:tab/>
          </w:r>
          <w:r>
            <w:t>1</w:t>
          </w:r>
        </w:p>
        <w:p>
          <w:pPr>
            <w:pStyle w:val="9"/>
            <w:tabs>
              <w:tab w:val="right" w:leader="dot" w:pos="9026"/>
            </w:tabs>
            <w:spacing w:before="120" w:after="60"/>
          </w:pPr>
          <w:r>
            <w:t>أولاً: حالة المشروع لحظة التسليم</w:t>
          </w:r>
          <w:r>
            <w:tab/>
          </w:r>
          <w:r>
            <w:t>1</w:t>
          </w:r>
        </w:p>
        <w:p>
          <w:pPr>
            <w:pStyle w:val="9"/>
            <w:tabs>
              <w:tab w:val="right" w:leader="dot" w:pos="9026"/>
            </w:tabs>
            <w:spacing w:before="120" w:after="60"/>
          </w:pPr>
          <w:r>
            <w:t>ثانياً: البنية التقنية وأرقام النظام</w:t>
          </w:r>
          <w:r>
            <w:tab/>
          </w:r>
          <w:r>
            <w:t>2</w:t>
          </w:r>
        </w:p>
        <w:p>
          <w:pPr>
            <w:pStyle w:val="9"/>
            <w:tabs>
              <w:tab w:val="right" w:leader="dot" w:pos="9026"/>
            </w:tabs>
            <w:spacing w:before="120" w:after="60"/>
          </w:pPr>
          <w:r>
            <w:t>ثالثاً: دليل الانطلاق — التشغيل والاختبار والنشر</w:t>
          </w:r>
          <w:r>
            <w:tab/>
          </w:r>
          <w:r>
            <w:t>3</w:t>
          </w:r>
        </w:p>
        <w:p>
          <w:pPr>
            <w:pStyle w:val="11"/>
            <w:ind w:left="360"/>
            <w:tabs>
              <w:tab w:val="right" w:leader="dot" w:pos="9026"/>
            </w:tabs>
            <w:spacing w:before="120" w:after="60"/>
          </w:pPr>
          <w:r>
            <w:t>التشغيل المحلي</w:t>
          </w:r>
          <w:r>
            <w:tab/>
          </w:r>
          <w:r>
            <w:t>3</w:t>
          </w:r>
        </w:p>
        <w:p>
          <w:pPr>
            <w:pStyle w:val="11"/>
            <w:ind w:left="360"/>
            <w:tabs>
              <w:tab w:val="right" w:leader="dot" w:pos="9026"/>
            </w:tabs>
            <w:spacing w:before="120" w:after="60"/>
          </w:pPr>
          <w:r>
            <w:t>مجموعات الاختبارات — الفرق الإلزامي</w:t>
          </w:r>
          <w:r>
            <w:tab/>
          </w:r>
          <w:r>
            <w:t>3</w:t>
          </w:r>
        </w:p>
        <w:p>
          <w:pPr>
            <w:pStyle w:val="11"/>
            <w:ind w:left="360"/>
            <w:tabs>
              <w:tab w:val="right" w:leader="dot" w:pos="9026"/>
            </w:tabs>
            <w:spacing w:before="120" w:after="60"/>
          </w:pPr>
          <w:r>
            <w:t>النشر وبناء الإصدارات</w:t>
          </w:r>
          <w:r>
            <w:tab/>
          </w:r>
          <w:r>
            <w:t>4</w:t>
          </w:r>
        </w:p>
        <w:p>
          <w:pPr>
            <w:pStyle w:val="9"/>
            <w:tabs>
              <w:tab w:val="right" w:leader="dot" w:pos="9026"/>
            </w:tabs>
            <w:spacing w:before="120" w:after="60"/>
          </w:pPr>
          <w:r>
            <w:t>رابعاً: المزامنة المركزية — المنجز والمختبر وغير المختبر</w:t>
          </w:r>
          <w:r>
            <w:tab/>
          </w:r>
          <w:r>
            <w:t>4</w:t>
          </w:r>
        </w:p>
        <w:p>
          <w:pPr>
            <w:pStyle w:val="9"/>
            <w:tabs>
              <w:tab w:val="right" w:leader="dot" w:pos="9026"/>
            </w:tabs>
            <w:spacing w:before="120" w:after="60"/>
          </w:pPr>
          <w:r>
            <w:t>خامساً: خريطة الوثائق داخل المستودع</w:t>
          </w:r>
          <w:r>
            <w:tab/>
          </w:r>
          <w:r>
            <w:t>5</w:t>
          </w:r>
        </w:p>
        <w:p>
          <w:pPr>
            <w:pStyle w:val="9"/>
            <w:tabs>
              <w:tab w:val="right" w:leader="dot" w:pos="9026"/>
            </w:tabs>
            <w:spacing w:before="120" w:after="60"/>
          </w:pPr>
          <w:r>
            <w:t>سادساً: المتبقي وخارطة الطريق بعد التسليم</w:t>
          </w:r>
          <w:r>
            <w:tab/>
          </w:r>
          <w:r>
            <w:t>5</w:t>
          </w:r>
        </w:p>
        <w:p>
          <w:pPr>
            <w:pStyle w:val="9"/>
            <w:tabs>
              <w:tab w:val="right" w:leader="dot" w:pos="9026"/>
            </w:tabs>
            <w:spacing w:before="120" w:after="60"/>
          </w:pPr>
          <w:r>
            <w:t>سابعاً: القواعد الحمراء للتطوير القادم</w:t>
          </w:r>
          <w:r>
            <w:tab/>
          </w:r>
          <w:r>
            <w:t>6</w:t>
          </w:r>
        </w:p>
        <w:p>
          <w:pPr>
            <w:pStyle w:val="9"/>
            <w:tabs>
              <w:tab w:val="right" w:leader="dot" w:pos="9026"/>
            </w:tabs>
            <w:spacing w:before="120" w:after="60"/>
          </w:pPr>
          <w:r>
            <w:t>ثامناً: ملحق — الروابط والأوامر السريعة</w:t>
          </w:r>
          <w:r>
            <w:tab/>
          </w:r>
          <w:r>
            <w:t>6</w:t>
          </w:r>
        </w:p>
        <w:p>
          <w:r>
            <w:fldChar w:fldCharType="end"/>
          </w:r>
        </w:p>
      </w:sdtContent>
    </w:sdt>
    <w:p>
      <w:pPr>
        <w:bidi/>
        <w:spacing w:before="200"/>
        <w:sectPr>
          <w:footerReference w:type="default" r:id="rId6"/>
          <w:type w:val="nextPage"/>
          <w:pgSz w:w="11906" w:h="16838" w:orient="portrait"/>
          <w:pgMar w:top="1440" w:right="1701" w:bottom="1440" w:left="1417" w:header="708" w:footer="708" w:gutter="0"/>
          <w:pgNumType w:start="1" w:fmt="upperRoman"/>
          <w:docGrid w:linePitch="360"/>
        </w:sectPr>
      </w:pPr>
      <w:r>
        <w:rPr>
          <w:rFonts w:ascii="Arial" w:cs="Arial" w:eastAsia="Arial" w:hAnsi="Arial"/>
          <w:i/>
          <w:iCs/>
          <w:color w:val="888888"/>
          <w:sz w:val="18"/>
          <w:szCs w:val="18"/>
          <w:rtl/>
        </w:rPr>
        <w:t xml:space="preserve">ملاحظة: هذا الفهرس مولّد بحقول تلقائية. لضمان دقة أرقام الصفحات بعد أي تعديل، انقر بزر الفأرة الأيمن على الفهرس واختر «تحديث الحقل» ثم «تحديث الجدول بأكمله».</w:t>
      </w:r>
    </w:p>
    <w:p>
      <w:pPr>
        <w:pStyle w:val="Heading1"/>
        <w:bidi/>
        <w:spacing w:after="180" w:before="360" w:line="312"/>
      </w:pPr>
      <w:bookmarkStart w:name="_Toc1" w:id="1"/>
      <w:r>
        <w:rPr>
          <w:rFonts w:ascii="Arial" w:cs="Arial" w:eastAsia="Arial" w:hAnsi="Arial"/>
          <w:b/>
          <w:bCs/>
          <w:color w:val="0E3D47"/>
          <w:sz w:val="32"/>
          <w:szCs w:val="32"/>
          <w:rtl/>
        </w:rPr>
        <w:t xml:space="preserve">الملخص التنفيذي</w:t>
      </w:r>
      <w:bookmarkEnd w:id="1"/>
    </w:p>
    <w:p>
      <w:pPr>
        <w:bidi/>
        <w:spacing w:after="160" w:line="312"/>
        <w:jc w:val="both"/>
      </w:pPr>
      <w:r>
        <w:rPr>
          <w:rFonts w:ascii="Arial" w:cs="Arial" w:eastAsia="Arial" w:hAnsi="Arial"/>
          <w:color w:val="000000"/>
          <w:sz w:val="24"/>
          <w:szCs w:val="24"/>
          <w:rtl/>
        </w:rPr>
        <w:t xml:space="preserve">هذا التقرير هو وثيقة الانطلاق الرسمية لأي مطوّر يتولى المشروع بعد تاريخ التسليم. يحدد التقرير الحالة الفعلية للنظام بدقة قابلة للتحقق: آخر التزام على الفرع main هو d779253 بعنوان «المرحلة 4 — دمج المزامنة بالتطبيق ربطاً صريحاً ومدروساً»، والإصدار المنشور للعميل هو v8.2.0 بحزمة ويندوز مثبتة المصدر بمطابقة ذهبية (81/81 من ملفات البناء تطابق بالـhash بين الحزمة المنشورة وبناء وسم v8.2.0)، والموقع الحي يعمل على https://q033511-pixel.github.io/bakery-system/ وقد نُشر آلياً من التزام التسليم نفسه عبر GitHub Actions. أي مطالبة بحالة مختلفة عن ذلك لا تمتد إلى أدلة موثقة يجب التعامل معها بوصفها غير صحيحة حتى يثبت العكس.</w:t>
      </w:r>
    </w:p>
    <w:p>
      <w:pPr>
        <w:bidi/>
        <w:spacing w:after="160" w:line="312"/>
        <w:jc w:val="both"/>
      </w:pPr>
      <w:r>
        <w:rPr>
          <w:rFonts w:ascii="Arial" w:cs="Arial" w:eastAsia="Arial" w:hAnsi="Arial"/>
          <w:color w:val="000000"/>
          <w:sz w:val="24"/>
          <w:szCs w:val="24"/>
          <w:rtl/>
        </w:rPr>
        <w:t xml:space="preserve">النتيجة الإجمالية عند التسليم أن بوابة الجودة خضراء بالكامل وقابلة لإعادة التشغيل بأوامر موثقة: فحص الأنواع TypeScript صفر أخطاء، وlint صفر أخطاء وتحذيرات على ESLint 10.13 مع قواعد React الجديدة، و109 اختبارات محلية ناجحة تشمل 13 اختبار دمج على IndexedDB حقيقي، و51 اختبار خادم ناجحة على PostgreSQL 17.10 وPostgREST 12.2.12 حقيقيين — بإجمالي 160/160 — وبناء إنتاجي ناجح يولّد 106 ملفات precache لتطبيق PWA. وتعمل مهمة CI الموحدة (tests.yml) على كل push وكل PR وتشغّل بوابة الخادم كاملة بقاعدة نظيفة، وقد نجحت في آخر تشغيلين متتاليين (#6 على d779253 و#5 على 95f9a06).</w:t>
      </w:r>
    </w:p>
    <w:p>
      <w:pPr>
        <w:bidi/>
        <w:spacing w:after="160" w:line="312"/>
        <w:jc w:val="both"/>
      </w:pPr>
      <w:r>
        <w:rPr>
          <w:rFonts w:ascii="Arial" w:cs="Arial" w:eastAsia="Arial" w:hAnsi="Arial"/>
          <w:color w:val="000000"/>
          <w:sz w:val="24"/>
          <w:szCs w:val="24"/>
          <w:rtl/>
        </w:rPr>
        <w:t xml:space="preserve">الأمر الأدبي الأهم للمطوّر الجديد: المزامنة المركزية مدمجة في التطبيق لكنها معطلة افتراضياً بقرار معماري موثق، ولن تُفعّل لدى العميل قبل اجتياز قائمة التحقق السحابية كاملة — إنشاء مشروع Supabase تجريبي بمفاتيح المالك وإعادة suite الخادم ضده سحابياً ثم اختبار جهازين حقيقيين على السيناريوهات التسعة المعتمدة ثم دورة بيع/تحصيل/مخزون كاملة — وبعد موافقة صريحة من المالك على التكلفة. من يبدأ من هنا ملزم بالقواعد الحمراء في القسم التاسع، وأولها: لا ادعاء بلا إثبات منفّذ، ولا سر في Git ولا في المحادثة، ولا تجاوز قرار المالك.</w:t>
      </w:r>
    </w:p>
    <w:p>
      <w:pPr>
        <w:pStyle w:val="Heading1"/>
        <w:bidi/>
        <w:spacing w:after="180" w:before="360" w:line="312"/>
      </w:pPr>
      <w:bookmarkStart w:name="_Toc2" w:id="2"/>
      <w:r>
        <w:rPr>
          <w:rFonts w:ascii="Arial" w:cs="Arial" w:eastAsia="Arial" w:hAnsi="Arial"/>
          <w:b/>
          <w:bCs/>
          <w:color w:val="0E3D47"/>
          <w:sz w:val="32"/>
          <w:szCs w:val="32"/>
          <w:rtl/>
        </w:rPr>
        <w:t xml:space="preserve">أولاً: حالة المشروع لحظة التسليم</w:t>
      </w:r>
      <w:bookmarkEnd w:id="2"/>
    </w:p>
    <w:p>
      <w:pPr>
        <w:bidi/>
        <w:spacing w:after="160" w:line="312"/>
        <w:jc w:val="both"/>
      </w:pPr>
      <w:r>
        <w:rPr>
          <w:rFonts w:ascii="Arial" w:cs="Arial" w:eastAsia="Arial" w:hAnsi="Arial"/>
          <w:color w:val="000000"/>
          <w:sz w:val="24"/>
          <w:szCs w:val="24"/>
          <w:rtl/>
        </w:rPr>
        <w:t xml:space="preserve">تحققت كل بند في الجدول التالي بأمر منفّذ يوم التسليم 17 أكتوبر 2026: قراءة git المحلية والمتوندة ls-remote عن بُعد، واستعلام GitHub API للإصدارات وبيانات الأصول وأحجامها وأعداد التحميل الفعلية، واستعلام واجهة Actions لحالة التشغيلات، وفحص الموقع الحي بطلب curl مباشر، وتشغيل بوابة الجودة كاملة على الشجرة المحلية بعد المزامنة. هذا الجدول هو خط الأساس الذي يقيس عليه أي عمل قادم، وأي انحراف عنه يجب أن يُوثق فوراً في CURRENT_SYSTEM_AUDIT.md لا في المحادثة وحدها.</w:t>
      </w:r>
    </w:p>
    <w:p>
      <w:pPr>
        <w:keepNext/>
        <w:bidi/>
        <w:spacing w:after="90" w:before="220" w:line="312"/>
      </w:pPr>
      <w:r>
        <w:rPr>
          <w:rFonts w:ascii="Arial" w:cs="Arial" w:eastAsia="Arial" w:hAnsi="Arial"/>
          <w:b/>
          <w:bCs/>
          <w:color w:val="444444"/>
          <w:sz w:val="21"/>
          <w:szCs w:val="21"/>
          <w:rtl/>
        </w:rPr>
        <w:t xml:space="preserve">الجدول 1: حالة التسليم الموثقة — كل صف بمصدر تحقق مستقل</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1933"/>
        <w:gridCol w:w="4394"/>
        <w:gridCol w:w="2461"/>
      </w:tblGrid>
      <w:tr>
        <w:trPr>
          <w:cantSplit/>
          <w:tblHeader/>
        </w:trPr>
        <w:tc>
          <w:tcPr>
            <w:tcW w:type="pct" w:w="11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البند</w:t>
            </w:r>
          </w:p>
        </w:tc>
        <w:tc>
          <w:tcPr>
            <w:tcW w:type="pct" w:w="25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القيمة الموثقة عند التسليم</w:t>
            </w:r>
          </w:p>
        </w:tc>
        <w:tc>
          <w:tcPr>
            <w:tcW w:type="pct" w:w="14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مصدر التحقق</w:t>
            </w:r>
          </w:p>
        </w:tc>
      </w:tr>
      <w:tr>
        <w:trPr>
          <w:cantSplit/>
        </w:trPr>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آخر التزام على main</w:t>
            </w:r>
          </w:p>
        </w:tc>
        <w:tc>
          <w:tcPr>
            <w:tcW w:type="pct" w:w="2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d779253 — المرحلة 4: دمج المزامنة ربطاً صريحاً معطل افتراضياً — 160/160</w:t>
            </w:r>
          </w:p>
        </w:tc>
        <w:tc>
          <w:tcPr>
            <w:tcW w:type="pct" w:w="1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git log وls-remote</w:t>
            </w:r>
          </w:p>
        </w:tc>
      </w:tr>
      <w:tr>
        <w:trPr>
          <w:cantSplit/>
        </w:trPr>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الإصدار المنشور</w:t>
            </w:r>
          </w:p>
        </w:tc>
        <w:tc>
          <w:tcPr>
            <w:tcW w:type="pct" w:w="2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v8.2.0 يشير إلى التزام 27adcdd (2026-10-15)</w:t>
            </w:r>
          </w:p>
        </w:tc>
        <w:tc>
          <w:tcPr>
            <w:tcW w:type="pct" w:w="1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git show v8.2.0</w:t>
            </w:r>
          </w:p>
        </w:tc>
      </w:tr>
      <w:tr>
        <w:trPr>
          <w:cantSplit/>
        </w:trPr>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أصول الإصدار الفعلية</w:t>
            </w:r>
          </w:p>
        </w:tc>
        <w:tc>
          <w:tcPr>
            <w:tcW w:type="pct" w:w="2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ZIP بحجم 107,346,827 بايت + Portable بحجم 72,263,807 بايت + أداتا إعادة تنصيب وتحديث — بتحميلات فعلية مسجلة</w:t>
            </w:r>
          </w:p>
        </w:tc>
        <w:tc>
          <w:tcPr>
            <w:tcW w:type="pct" w:w="1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Releases API</w:t>
            </w:r>
          </w:p>
        </w:tc>
      </w:tr>
      <w:tr>
        <w:trPr>
          <w:cantSplit/>
        </w:trPr>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إثبات مصدر حزمة EXE</w:t>
            </w:r>
          </w:p>
        </w:tc>
        <w:tc>
          <w:tcPr>
            <w:tcW w:type="pct" w:w="2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مطابقة 81/81 ملف بناء بالـhash بين الحزمة المنشورة وبناء الوسم — لا يوجد أي ملف مزامنة داخلها</w:t>
            </w:r>
          </w:p>
        </w:tc>
        <w:tc>
          <w:tcPr>
            <w:tcW w:type="pct" w:w="1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فك app.asar ومقارنة hash</w:t>
            </w:r>
          </w:p>
        </w:tc>
      </w:tr>
      <w:tr>
        <w:trPr>
          <w:cantSplit/>
        </w:trPr>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الموقع الحي</w:t>
            </w:r>
          </w:p>
        </w:tc>
        <w:tc>
          <w:tcPr>
            <w:tcW w:type="pct" w:w="2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 200 — منشور آلياً من d779253 (تشغيل النشر رقم 26)</w:t>
            </w:r>
          </w:p>
        </w:tc>
        <w:tc>
          <w:tcPr>
            <w:tcW w:type="pct" w:w="1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curl + Actions API</w:t>
            </w:r>
          </w:p>
        </w:tc>
      </w:tr>
      <w:tr>
        <w:trPr>
          <w:cantSplit/>
        </w:trPr>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CI الاختبارات</w:t>
            </w:r>
          </w:p>
        </w:tc>
        <w:tc>
          <w:tcPr>
            <w:tcW w:type="pct" w:w="2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نجاح كامل (unit + server) على d779253 — تشغيل رقم 6</w:t>
            </w:r>
          </w:p>
        </w:tc>
        <w:tc>
          <w:tcPr>
            <w:tcW w:type="pct" w:w="1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Actions API</w:t>
            </w:r>
          </w:p>
        </w:tc>
      </w:tr>
      <w:tr>
        <w:trPr>
          <w:cantSplit/>
        </w:trPr>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فرع مرجعي</w:t>
            </w:r>
          </w:p>
        </w:tc>
        <w:tc>
          <w:tcPr>
            <w:tcW w:type="pct" w:w="2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sync-prototype — نموذج أولي مؤرشف، مضمونه مدمج في main</w:t>
            </w:r>
          </w:p>
        </w:tc>
        <w:tc>
          <w:tcPr>
            <w:tcW w:type="pct" w:w="1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ls-remote</w:t>
            </w:r>
          </w:p>
        </w:tc>
      </w:tr>
      <w:tr>
        <w:trPr>
          <w:cantSplit/>
        </w:trPr>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الشجرة المحلية للتسليم</w:t>
            </w:r>
          </w:p>
        </w:tc>
        <w:tc>
          <w:tcPr>
            <w:tcW w:type="pct" w:w="2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نظيفة ومطابقة تماماً لـorigin/main</w:t>
            </w:r>
          </w:p>
        </w:tc>
        <w:tc>
          <w:tcPr>
            <w:tcW w:type="pct" w:w="1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git status</w:t>
            </w:r>
          </w:p>
        </w:tc>
      </w:tr>
    </w:tbl>
    <w:p>
      <w:pPr>
        <w:spacing w:after="120"/>
      </w:pPr>
    </w:p>
    <w:p>
      <w:pPr>
        <w:pStyle w:val="Heading1"/>
        <w:bidi/>
        <w:spacing w:after="180" w:before="360" w:line="312"/>
      </w:pPr>
      <w:bookmarkStart w:name="_Toc3" w:id="3"/>
      <w:r>
        <w:rPr>
          <w:rFonts w:ascii="Arial" w:cs="Arial" w:eastAsia="Arial" w:hAnsi="Arial"/>
          <w:b/>
          <w:bCs/>
          <w:color w:val="0E3D47"/>
          <w:sz w:val="32"/>
          <w:szCs w:val="32"/>
          <w:rtl/>
        </w:rPr>
        <w:t xml:space="preserve">ثانياً: البنية التقنية وأرقام النظام</w:t>
      </w:r>
      <w:bookmarkEnd w:id="3"/>
    </w:p>
    <w:p>
      <w:pPr>
        <w:bidi/>
        <w:spacing w:after="160" w:line="312"/>
        <w:jc w:val="both"/>
      </w:pPr>
      <w:r>
        <w:rPr>
          <w:rFonts w:ascii="Arial" w:cs="Arial" w:eastAsia="Arial" w:hAnsi="Arial"/>
          <w:color w:val="000000"/>
          <w:sz w:val="24"/>
          <w:szCs w:val="24"/>
          <w:rtl/>
        </w:rPr>
        <w:t xml:space="preserve">النظام محلي أولاً بالتصميم: الواجهة React 18 بلغة TypeScript الوضع الصارم مع Vite وTailwind باتجاه RTL، وطبقة البيانات Dexie فوق IndexedDB عبر محول adapter.ts الذي يحاكي واجهة supabase-js كاملة — وهو نقطة الاستبدال المعتمدة عند الانتقال للسحابة الحقيقية دون إعادة كتابة الواجهات. طبقة منطق العمل تتكون من 35 معالجاً (9 في opsCore و26 في opsExtra) مطابقين واحداً لواحد لدوال SQL في قاعدة الخادم، وكلها بمعاملات ذرية وidempotency بمعرف عملية فريد. النسختان المنشورتان هما تطبيق PWA قابل للتثبيت يعمل أوفلاين بعامل خدمة، ونسخة ويندوز Electron تُبنى من الشجرة نفسها بمسارات نسبية.</w:t>
      </w:r>
    </w:p>
    <w:p>
      <w:pPr>
        <w:bidi/>
        <w:spacing w:after="160" w:line="312"/>
        <w:jc w:val="both"/>
      </w:pPr>
      <w:r>
        <w:rPr>
          <w:rFonts w:ascii="Arial" w:cs="Arial" w:eastAsia="Arial" w:hAnsi="Arial"/>
          <w:color w:val="000000"/>
          <w:sz w:val="24"/>
          <w:szCs w:val="24"/>
          <w:rtl/>
        </w:rPr>
        <w:t xml:space="preserve">طبقة الخادم المعتمدة للمزامنة المركزية محمّلة في 8 ملفات migrations متسلسلة من 0001 إلى 0008 تحمل 44 جدولاً و71 دالة SQL و90 سياسة RLS في 3,436 سطراً. أما التطبيق فحجمه 100 ملف TypeScript في 22,711 سطراً موزعة على 15 مجلد ميزة مستقلة. الأرقام التالية مأخوذة بالعدّ الآلي من الشجرة يوم التسليم وتطابق CURRENT_SYSTEM_AUDIT.md حرفياً؛ أي تعديل مستقبلي على الكود يجب أن ينعكس في التدقيق لا أن يبقى الرقمان مختلفين.</w:t>
      </w:r>
    </w:p>
    <w:p>
      <w:pPr>
        <w:keepNext/>
        <w:bidi/>
        <w:spacing w:after="90" w:before="220" w:line="312"/>
      </w:pPr>
      <w:r>
        <w:rPr>
          <w:rFonts w:ascii="Arial" w:cs="Arial" w:eastAsia="Arial" w:hAnsi="Arial"/>
          <w:b/>
          <w:bCs/>
          <w:color w:val="444444"/>
          <w:sz w:val="21"/>
          <w:szCs w:val="21"/>
          <w:rtl/>
        </w:rPr>
        <w:t xml:space="preserve">الجدول 2: أرقام النظام بالعدّ الآلي يوم التسليم</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2636"/>
        <w:gridCol w:w="1933"/>
        <w:gridCol w:w="4218"/>
      </w:tblGrid>
      <w:tr>
        <w:trPr>
          <w:cantSplit/>
          <w:tblHeader/>
        </w:trPr>
        <w:tc>
          <w:tcPr>
            <w:tcW w:type="pct" w:w="15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البند</w:t>
            </w:r>
          </w:p>
        </w:tc>
        <w:tc>
          <w:tcPr>
            <w:tcW w:type="pct" w:w="11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القيمة</w:t>
            </w:r>
          </w:p>
        </w:tc>
        <w:tc>
          <w:tcPr>
            <w:tcW w:type="pct" w:w="24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ملاحظة</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جداول SQL</w:t>
            </w:r>
          </w:p>
        </w:tc>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44</w:t>
            </w:r>
          </w:p>
        </w:tc>
        <w:tc>
          <w:tcPr>
            <w:tcW w:type="pct" w:w="2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42 أساسية + جدولا الأجهزة وطابور المزامنة</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دوال SQL</w:t>
            </w:r>
          </w:p>
        </w:tc>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71</w:t>
            </w:r>
          </w:p>
        </w:tc>
        <w:tc>
          <w:tcPr>
            <w:tcW w:type="pct" w:w="2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في migrations 0001 إلى 0008</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سياسات RLS</w:t>
            </w:r>
          </w:p>
        </w:tc>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90</w:t>
            </w:r>
          </w:p>
        </w:tc>
        <w:tc>
          <w:tcPr>
            <w:tcW w:type="pct" w:w="2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عزل كل عمل تجاري بمعرّف العمل</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أسطر SQL</w:t>
            </w:r>
          </w:p>
        </w:tc>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3,436</w:t>
            </w:r>
          </w:p>
        </w:tc>
        <w:tc>
          <w:tcPr>
            <w:tcW w:type="pct" w:w="2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في 8 ملفات migrations</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ملفات TypeScript</w:t>
            </w:r>
          </w:p>
        </w:tc>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100 ملف / 22,711 سطراً</w:t>
            </w:r>
          </w:p>
        </w:tc>
        <w:tc>
          <w:tcPr>
            <w:tcW w:type="pct" w:w="2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شامل محرك المزامنة ودمجه والاختبارات</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وحدات الواجهة</w:t>
            </w:r>
          </w:p>
        </w:tc>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15</w:t>
            </w:r>
          </w:p>
        </w:tc>
        <w:tc>
          <w:tcPr>
            <w:tcW w:type="pct" w:w="2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مجلدات الميزات في src/features</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معالجات العمل</w:t>
            </w:r>
          </w:p>
        </w:tc>
        <w:tc>
          <w:tcPr>
            <w:tcW w:type="pct" w:w="11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35</w:t>
            </w:r>
          </w:p>
        </w:tc>
        <w:tc>
          <w:tcPr>
            <w:tcW w:type="pct" w:w="2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9 أساسية + 26 موسعة — مطابقة دوال SQL</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اختبارات آلية</w:t>
            </w:r>
          </w:p>
        </w:tc>
        <w:tc>
          <w:tcPr>
            <w:tcW w:type="pct" w:w="11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160</w:t>
            </w:r>
          </w:p>
        </w:tc>
        <w:tc>
          <w:tcPr>
            <w:tcW w:type="pct" w:w="2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109 محلية + 51 على خادم حقيقي</w:t>
            </w:r>
          </w:p>
        </w:tc>
      </w:tr>
    </w:tbl>
    <w:p>
      <w:pPr>
        <w:spacing w:after="120"/>
      </w:pPr>
    </w:p>
    <w:p>
      <w:pPr>
        <w:pStyle w:val="Heading1"/>
        <w:bidi/>
        <w:spacing w:after="180" w:before="360" w:line="312"/>
      </w:pPr>
      <w:bookmarkStart w:name="_Toc4" w:id="4"/>
      <w:r>
        <w:rPr>
          <w:rFonts w:ascii="Arial" w:cs="Arial" w:eastAsia="Arial" w:hAnsi="Arial"/>
          <w:b/>
          <w:bCs/>
          <w:color w:val="0E3D47"/>
          <w:sz w:val="32"/>
          <w:szCs w:val="32"/>
          <w:rtl/>
        </w:rPr>
        <w:t xml:space="preserve">ثالثاً: دليل الانطلاق — التشغيل والاختبار والنشر</w:t>
      </w:r>
      <w:bookmarkEnd w:id="4"/>
    </w:p>
    <w:p>
      <w:pPr>
        <w:pStyle w:val="Heading2"/>
        <w:bidi/>
        <w:spacing w:after="130" w:before="260" w:line="312"/>
      </w:pPr>
      <w:bookmarkStart w:name="_Toc5" w:id="5"/>
      <w:r>
        <w:rPr>
          <w:rFonts w:ascii="Arial" w:cs="Arial" w:eastAsia="Arial" w:hAnsi="Arial"/>
          <w:b/>
          <w:bCs/>
          <w:color w:val="1B6B7A"/>
          <w:sz w:val="28"/>
          <w:szCs w:val="28"/>
          <w:rtl/>
        </w:rPr>
        <w:t xml:space="preserve">التشغيل المحلي</w:t>
      </w:r>
      <w:bookmarkEnd w:id="5"/>
    </w:p>
    <w:p>
      <w:pPr>
        <w:bidi/>
        <w:spacing w:after="160" w:line="312"/>
        <w:jc w:val="both"/>
      </w:pPr>
      <w:r>
        <w:rPr>
          <w:rFonts w:ascii="Arial" w:cs="Arial" w:eastAsia="Arial" w:hAnsi="Arial"/>
          <w:color w:val="000000"/>
          <w:sz w:val="24"/>
          <w:szCs w:val="24"/>
          <w:rtl/>
        </w:rPr>
        <w:t xml:space="preserve">يبدأ المطوّر الجديد باستنساخ المستودع ثم تنفيذ npm ci لتثبيت التبعيات بدقة القفل، ثم npm run dev لتشغيل بيئة التطوير المحلية. التطبيق يعمل منذ أول تشغيل بلا أي خادم أو حساب: بيانات كل جهاز محلية في IndexedDB عبر Dexie، والإعداد الأولي مع نظام PIN رباعي يتم من داخل الواجهة. هذا ليس قصوراً مؤقتاً بل التصميم المعتمد: النسخة المحلية مستقلة تماماً، ونقل البيانات بين جهازين يتم حالياً بناقل ملفات JSON موثق في v8.1.4 — وهو ناقل ملفات لا مزامنة باتفاق صريح في كل وثائق المشروع.</w:t>
      </w:r>
    </w:p>
    <w:p>
      <w:pPr>
        <w:pStyle w:val="Heading2"/>
        <w:bidi/>
        <w:spacing w:after="130" w:before="260" w:line="312"/>
      </w:pPr>
      <w:bookmarkStart w:name="_Toc6" w:id="6"/>
      <w:r>
        <w:rPr>
          <w:rFonts w:ascii="Arial" w:cs="Arial" w:eastAsia="Arial" w:hAnsi="Arial"/>
          <w:b/>
          <w:bCs/>
          <w:color w:val="1B6B7A"/>
          <w:sz w:val="28"/>
          <w:szCs w:val="28"/>
          <w:rtl/>
        </w:rPr>
        <w:t xml:space="preserve">مجموعات الاختبارات — الفرق الإلزامي</w:t>
      </w:r>
      <w:bookmarkEnd w:id="6"/>
    </w:p>
    <w:p>
      <w:pPr>
        <w:bidi/>
        <w:spacing w:after="160" w:line="312"/>
        <w:jc w:val="both"/>
      </w:pPr>
      <w:r>
        <w:rPr>
          <w:rFonts w:ascii="Arial" w:cs="Arial" w:eastAsia="Arial" w:hAnsi="Arial"/>
          <w:color w:val="000000"/>
          <w:sz w:val="24"/>
          <w:szCs w:val="24"/>
          <w:rtl/>
        </w:rPr>
        <w:t xml:space="preserve">ثلاث مجموعات اختبارات في المشروع ولا يجوز الخلط بينها عند التقرير عن النتائج. المجموعة الأولى اختبارات التطبيق (86) تغطي الوحدات المالية والتسعير ودفتر الذمم وPIN وناقل البيانات. الثانية اختبارات محرك المزامنة في الذاكرة (10). الثالثة اختبارات دمج المزامنة على IndexedDB حقيقي (13) تغطي البوابة المعطلة افتراضياً وحالة PENDING_SYNC قبل الإقرار وidempotency عبر الأجهزة والتعويض المالي باتجاه الصندوق. المجموعات الثلاث تعمل تلقائياً بأمر واحد بلا قاعدة بيانات، بينما تحتاج اختبارات الخادم وطبقة النقل (51) بيئة حقيقية كاملة كما تفعل مهمة CI.</w:t>
      </w:r>
    </w:p>
    <w:p>
      <w:pPr>
        <w:keepNext/>
        <w:bidi/>
        <w:spacing w:after="90" w:before="220" w:line="312"/>
      </w:pPr>
      <w:r>
        <w:rPr>
          <w:rFonts w:ascii="Arial" w:cs="Arial" w:eastAsia="Arial" w:hAnsi="Arial"/>
          <w:b/>
          <w:bCs/>
          <w:color w:val="444444"/>
          <w:sz w:val="21"/>
          <w:szCs w:val="21"/>
          <w:rtl/>
        </w:rPr>
        <w:t xml:space="preserve">الجدول 3: مجموعات الاختبارات الثلاث وأوامر تشغيلها الدقيقة</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2109"/>
        <w:gridCol w:w="879"/>
        <w:gridCol w:w="2109"/>
        <w:gridCol w:w="2109"/>
        <w:gridCol w:w="1582"/>
      </w:tblGrid>
      <w:tr>
        <w:trPr>
          <w:cantSplit/>
          <w:tblHeader/>
        </w:trPr>
        <w:tc>
          <w:tcPr>
            <w:tcW w:type="pct" w:w="12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المجموعة</w:t>
            </w:r>
          </w:p>
        </w:tc>
        <w:tc>
          <w:tcPr>
            <w:tcW w:type="pct" w:w="5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العدد</w:t>
            </w:r>
          </w:p>
        </w:tc>
        <w:tc>
          <w:tcPr>
            <w:tcW w:type="pct" w:w="12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الأمر</w:t>
            </w:r>
          </w:p>
        </w:tc>
        <w:tc>
          <w:tcPr>
            <w:tcW w:type="pct" w:w="12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المتطلبات</w:t>
            </w:r>
          </w:p>
        </w:tc>
        <w:tc>
          <w:tcPr>
            <w:tcW w:type="pct" w:w="9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النتيجة عند التسليم</w:t>
            </w:r>
          </w:p>
        </w:tc>
      </w:tr>
      <w:tr>
        <w:trPr>
          <w:cantSplit/>
        </w:trPr>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اختبارات التطبيق</w:t>
            </w:r>
          </w:p>
        </w:tc>
        <w:tc>
          <w:tcPr>
            <w:tcW w:type="pct" w:w="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86</w:t>
            </w:r>
          </w:p>
        </w:tc>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ضمن npm test</w:t>
            </w:r>
          </w:p>
        </w:tc>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لا شيء</w:t>
            </w:r>
          </w:p>
        </w:tc>
        <w:tc>
          <w:tcPr>
            <w:tcW w:type="pct" w:w="9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86/86</w:t>
            </w:r>
          </w:p>
        </w:tc>
      </w:tr>
      <w:tr>
        <w:trPr>
          <w:cantSplit/>
        </w:trPr>
        <w:tc>
          <w:tcPr>
            <w:tcW w:type="pct" w:w="12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محرك المزامنة (ذاكرة)</w:t>
            </w:r>
          </w:p>
        </w:tc>
        <w:tc>
          <w:tcPr>
            <w:tcW w:type="pct" w:w="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10</w:t>
            </w:r>
          </w:p>
        </w:tc>
        <w:tc>
          <w:tcPr>
            <w:tcW w:type="pct" w:w="12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ضمن npm test</w:t>
            </w:r>
          </w:p>
        </w:tc>
        <w:tc>
          <w:tcPr>
            <w:tcW w:type="pct" w:w="12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لا شيء</w:t>
            </w:r>
          </w:p>
        </w:tc>
        <w:tc>
          <w:tcPr>
            <w:tcW w:type="pct" w:w="9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10/10</w:t>
            </w:r>
          </w:p>
        </w:tc>
      </w:tr>
      <w:tr>
        <w:trPr>
          <w:cantSplit/>
        </w:trPr>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دمج المزامنة (IndexedDB)</w:t>
            </w:r>
          </w:p>
        </w:tc>
        <w:tc>
          <w:tcPr>
            <w:tcW w:type="pct" w:w="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13</w:t>
            </w:r>
          </w:p>
        </w:tc>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ضمن npm test</w:t>
            </w:r>
          </w:p>
        </w:tc>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fake-indexeddb</w:t>
            </w:r>
          </w:p>
        </w:tc>
        <w:tc>
          <w:tcPr>
            <w:tcW w:type="pct" w:w="9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13/13</w:t>
            </w:r>
          </w:p>
        </w:tc>
      </w:tr>
      <w:tr>
        <w:trPr>
          <w:cantSplit/>
        </w:trPr>
        <w:tc>
          <w:tcPr>
            <w:tcW w:type="pct" w:w="12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المجموع المحلي</w:t>
            </w:r>
          </w:p>
        </w:tc>
        <w:tc>
          <w:tcPr>
            <w:tcW w:type="pct" w:w="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109</w:t>
            </w:r>
          </w:p>
        </w:tc>
        <w:tc>
          <w:tcPr>
            <w:tcW w:type="pct" w:w="12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test</w:t>
            </w:r>
          </w:p>
        </w:tc>
        <w:tc>
          <w:tcPr>
            <w:tcW w:type="pct" w:w="12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لا شيء — تخطٍ ذاتي موثق لاختبارات الخادم</w:t>
            </w:r>
          </w:p>
        </w:tc>
        <w:tc>
          <w:tcPr>
            <w:tcW w:type="pct" w:w="9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109/109 + 51 متخطى</w:t>
            </w:r>
          </w:p>
        </w:tc>
      </w:tr>
      <w:tr>
        <w:trPr>
          <w:cantSplit/>
        </w:trPr>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الخادم + طبقة النقل</w:t>
            </w:r>
          </w:p>
        </w:tc>
        <w:tc>
          <w:tcPr>
            <w:tcW w:type="pct" w:w="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51</w:t>
            </w:r>
          </w:p>
        </w:tc>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مهمة server في tests.yml أو بيئة مكافئة محلياً</w:t>
            </w:r>
          </w:p>
        </w:tc>
        <w:tc>
          <w:tcPr>
            <w:tcW w:type="pct" w:w="12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PostgreSQL 17 + migrations من قاعدة نظيفة + PostgREST 12 + بوابة /rest/v1 + متغيرات TEST_DATABASE_URL وPOSTGREST_URL وTEST_JWT_SECRET</w:t>
            </w:r>
          </w:p>
        </w:tc>
        <w:tc>
          <w:tcPr>
            <w:tcW w:type="pct" w:w="9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51/51 ضمن 160/160</w:t>
            </w:r>
          </w:p>
        </w:tc>
      </w:tr>
    </w:tbl>
    <w:p>
      <w:pPr>
        <w:spacing w:after="120"/>
      </w:pPr>
    </w:p>
    <w:p>
      <w:pPr>
        <w:bidi/>
        <w:spacing w:after="160" w:line="312"/>
        <w:jc w:val="both"/>
      </w:pPr>
      <w:r>
        <w:rPr>
          <w:rFonts w:ascii="Arial" w:cs="Arial" w:eastAsia="Arial" w:hAnsi="Arial"/>
          <w:color w:val="000000"/>
          <w:sz w:val="24"/>
          <w:szCs w:val="24"/>
          <w:rtl/>
        </w:rPr>
        <w:t xml:space="preserve">قاعدة ذهبية في هذه المنطقة: الاختبارات الموسعة (الخادم + النقل) تتطلب قاعدة نظيفة قُطبّقت عليها المهاجرات من الصفر في كل تشغيل — تشغيلها على قاعدة مستعملة يفشل لأن سيناريوهات العالم تُبنى بترتيب معتمد، وهذا سلوك مقصود مطابق لما تفعله حاوية CI الجديدة في كل مرة. من يريد محاكاة مهمة الخادم محلياً يتبع خطوات tests.yml حرفياً خطوة خطوة بدل محاولة اختصارها.</w:t>
      </w:r>
    </w:p>
    <w:p>
      <w:pPr>
        <w:pStyle w:val="Heading2"/>
        <w:bidi/>
        <w:spacing w:after="130" w:before="260" w:line="312"/>
      </w:pPr>
      <w:bookmarkStart w:name="_Toc7" w:id="7"/>
      <w:r>
        <w:rPr>
          <w:rFonts w:ascii="Arial" w:cs="Arial" w:eastAsia="Arial" w:hAnsi="Arial"/>
          <w:b/>
          <w:bCs/>
          <w:color w:val="1B6B7A"/>
          <w:sz w:val="28"/>
          <w:szCs w:val="28"/>
          <w:rtl/>
        </w:rPr>
        <w:t xml:space="preserve">النشر وبناء الإصدارات</w:t>
      </w:r>
      <w:bookmarkEnd w:id="7"/>
    </w:p>
    <w:p>
      <w:pPr>
        <w:bidi/>
        <w:spacing w:after="160" w:line="312"/>
        <w:jc w:val="both"/>
      </w:pPr>
      <w:r>
        <w:rPr>
          <w:rFonts w:ascii="Arial" w:cs="Arial" w:eastAsia="Arial" w:hAnsi="Arial"/>
          <w:color w:val="000000"/>
          <w:sz w:val="24"/>
          <w:szCs w:val="24"/>
          <w:rtl/>
        </w:rPr>
        <w:t xml:space="preserve">نشر الموقع آلي بالكامل: كل push إلى main يشغّل deploy.yml الذي ينفذ lint ثم الاختبارات ثم البناء بنفس عدّة الجودة ثم يرفع النتيجة إلى GitHub Pages — لذا لا توجد خطوة نشر يدوية يُمكن نسيانها، ولا يُنشر بناء لم تختبر العدّة أولاً. أما نسخة ويندوز فقواعدها أكثر صرامة لأن تاريخ المشروع فيه درس مؤسس موثق: تُبنى EXE من شجرة نظيفة مطابقة لالتزام موثق فقط، بعلم VITE_BASE_PATH=./ الخاص بالمسارات النسبية عبر روتين desktop المثبت، ثم تُرفع أصولاً لإصدار وسم جديد. والتحقق المؤسسي إلزامي: أصل EXE يُفحص من داخل الحزمة النهائية (فك app.asar) لا من مجلد dist الوسيط، وكل إصدار يُوثق بمصدر بنائه في سجل الإصدار الموحد أعلى CURRENT_SYSTEM_AUDIT.md.</w:t>
      </w:r>
    </w:p>
    <w:p>
      <w:pPr>
        <w:pStyle w:val="Heading1"/>
        <w:bidi/>
        <w:spacing w:after="180" w:before="360" w:line="312"/>
      </w:pPr>
      <w:bookmarkStart w:name="_Toc8" w:id="8"/>
      <w:r>
        <w:rPr>
          <w:rFonts w:ascii="Arial" w:cs="Arial" w:eastAsia="Arial" w:hAnsi="Arial"/>
          <w:b/>
          <w:bCs/>
          <w:color w:val="0E3D47"/>
          <w:sz w:val="32"/>
          <w:szCs w:val="32"/>
          <w:rtl/>
        </w:rPr>
        <w:t xml:space="preserve">رابعاً: المزامنة المركزية — المنجز والمختبر وغير المختبر</w:t>
      </w:r>
      <w:bookmarkEnd w:id="8"/>
    </w:p>
    <w:p>
      <w:pPr>
        <w:bidi/>
        <w:spacing w:after="160" w:line="312"/>
        <w:jc w:val="both"/>
      </w:pPr>
      <w:r>
        <w:rPr>
          <w:rFonts w:ascii="Arial" w:cs="Arial" w:eastAsia="Arial" w:hAnsi="Arial"/>
          <w:color w:val="000000"/>
          <w:sz w:val="24"/>
          <w:szCs w:val="24"/>
          <w:rtl/>
        </w:rPr>
        <w:t xml:space="preserve">المنجز ومختبر على بنية حقيقية محلياً: محرك المزامنة engine.ts ينفذ آلة الحالات السبع (محلي فقط، في انتظار المزامنة، جارٍ المزامنة، متزامن، فشل، مرفوض، تعارض) مع ترتيب تبعيات صحيح وطابور Dexie دائم ينجو من الإغلاق؛ وطبقة النقل supabaseTransport.ts مختبرة أمام PostgREST 12 حقيقي — نفس محرك الـAPI الذي يشغله Supabase — بعشرة اختبارات HTTP تغطي رفض JWT الفعلي برمز 401 وإبطال الأجهزة وتدويرها ورفض التكرار DUPLICATE دون تكرار مالي وعزل RLS؛ وخدمة central.ts تربط ذلك كله بالتطبيق ربطاً صريحاً: التفعيل يدوي فقط من مركز المزامنة، والطابور الدائم يبني على إصدار Dexie الرابع، والمسحوب يُطبق بضخ معرف العمل، والفواتير المحلية المعنية تُعوَّض مالياً بإبطال موجّه أو تُعلَّم CONFLICT إذا لم تملك إبطالاً.</w:t>
      </w:r>
    </w:p>
    <w:p>
      <w:pPr>
        <w:bidi/>
        <w:spacing w:after="160" w:line="312"/>
        <w:jc w:val="both"/>
      </w:pPr>
      <w:r>
        <w:rPr>
          <w:rFonts w:ascii="Arial" w:cs="Arial" w:eastAsia="Arial" w:hAnsi="Arial"/>
          <w:color w:val="000000"/>
          <w:sz w:val="24"/>
          <w:szCs w:val="24"/>
          <w:rtl/>
        </w:rPr>
        <w:t xml:space="preserve">وما لم يُختبر بعد لا يجوز ادعاؤه بأي صورة: لم يُجرب بعد مشروع Supabase سحابي فعلي بمفاتيح المالك — بما يعنيه ذلك من مصادقة GoTrue الحقيقية وRLS مستضاف فعلاً، فالـJWT التجريبي المحلي ليس بديلاً كاملاً عن مصادقة الإنتاج — ولم يُختبر جهازان حقيقيان (الموقع المنشور وEXE فعلي) على نفس المشروع السحابي عبر السيناريوهات التسعة المعتمدة أدناه. وحتى نجاح استدعاء RPC واحد أو دورة واحدة لا يُخوّل تفعيل المزامنة لدى العميل: الشرط هو اجتياز الدورة الكاملة بيعاً وتحصيلاً ومخزوناً بتكرارات وتعارضات، ثم موافقة المالك على التكلفة والاستضافة.</w:t>
      </w:r>
    </w:p>
    <w:p>
      <w:pPr>
        <w:keepNext/>
        <w:bidi/>
        <w:spacing w:after="90" w:before="220" w:line="312"/>
      </w:pPr>
      <w:r>
        <w:rPr>
          <w:rFonts w:ascii="Arial" w:cs="Arial" w:eastAsia="Arial" w:hAnsi="Arial"/>
          <w:b/>
          <w:bCs/>
          <w:color w:val="444444"/>
          <w:sz w:val="21"/>
          <w:szCs w:val="21"/>
          <w:rtl/>
        </w:rPr>
        <w:t xml:space="preserve">الجدول 4: السيناريوهات التسعة المعتمدة لاختبار الجهازين الحقيقيين</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703"/>
        <w:gridCol w:w="8085"/>
      </w:tblGrid>
      <w:tr>
        <w:trPr>
          <w:cantSplit/>
          <w:tblHeader/>
        </w:trPr>
        <w:tc>
          <w:tcPr>
            <w:tcW w:type="pct" w:w="4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w:t>
            </w:r>
          </w:p>
        </w:tc>
        <w:tc>
          <w:tcPr>
            <w:tcW w:type="pct" w:w="46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السيناريو المعتمد</w:t>
            </w:r>
          </w:p>
        </w:tc>
      </w:tr>
      <w:tr>
        <w:trPr>
          <w:cantSplit/>
        </w:trPr>
        <w:tc>
          <w:tcPr>
            <w:tcW w:type="pct" w:w="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w:t>
            </w:r>
          </w:p>
        </w:tc>
        <w:tc>
          <w:tcPr>
            <w:tcW w:type="pct" w:w="4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بيع من الموقع يظهر على EXE على نفس المشروع السحابي</w:t>
            </w:r>
          </w:p>
        </w:tc>
      </w:tr>
      <w:tr>
        <w:trPr>
          <w:cantSplit/>
        </w:trPr>
        <w:tc>
          <w:tcPr>
            <w:tcW w:type="pct" w:w="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2</w:t>
            </w:r>
          </w:p>
        </w:tc>
        <w:tc>
          <w:tcPr>
            <w:tcW w:type="pct" w:w="46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بيع من EXE يظهر على الموقع</w:t>
            </w:r>
          </w:p>
        </w:tc>
      </w:tr>
      <w:tr>
        <w:trPr>
          <w:cantSplit/>
        </w:trPr>
        <w:tc>
          <w:tcPr>
            <w:tcW w:type="pct" w:w="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3</w:t>
            </w:r>
          </w:p>
        </w:tc>
        <w:tc>
          <w:tcPr>
            <w:tcW w:type="pct" w:w="4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التحصيل ينعكس على كشف الحساب في الجهازين ويطابق الرصيد</w:t>
            </w:r>
          </w:p>
        </w:tc>
      </w:tr>
      <w:tr>
        <w:trPr>
          <w:cantSplit/>
        </w:trPr>
        <w:tc>
          <w:tcPr>
            <w:tcW w:type="pct" w:w="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4</w:t>
            </w:r>
          </w:p>
        </w:tc>
        <w:tc>
          <w:tcPr>
            <w:tcW w:type="pct" w:w="46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فاتورة شراء تنعكس على مستحقات المورد والمخزون معاً</w:t>
            </w:r>
          </w:p>
        </w:tc>
      </w:tr>
      <w:tr>
        <w:trPr>
          <w:cantSplit/>
        </w:trPr>
        <w:tc>
          <w:tcPr>
            <w:tcW w:type="pct" w:w="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5</w:t>
            </w:r>
          </w:p>
        </w:tc>
        <w:tc>
          <w:tcPr>
            <w:tcW w:type="pct" w:w="4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انقطاع الشبكة ثم إعادة التشغيل ثم إعادة المزامنة — بلا فقدان ولا تكرار</w:t>
            </w:r>
          </w:p>
        </w:tc>
      </w:tr>
      <w:tr>
        <w:trPr>
          <w:cantSplit/>
        </w:trPr>
        <w:tc>
          <w:tcPr>
            <w:tcW w:type="pct" w:w="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6</w:t>
            </w:r>
          </w:p>
        </w:tc>
        <w:tc>
          <w:tcPr>
            <w:tcW w:type="pct" w:w="46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إرسال نفس العملية مرتين (ضغط مكرر) — استقبال مرة واحدة فقط</w:t>
            </w:r>
          </w:p>
        </w:tc>
      </w:tr>
      <w:tr>
        <w:trPr>
          <w:cantSplit/>
        </w:trPr>
        <w:tc>
          <w:tcPr>
            <w:tcW w:type="pct" w:w="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7</w:t>
            </w:r>
          </w:p>
        </w:tc>
        <w:tc>
          <w:tcPr>
            <w:tcW w:type="pct" w:w="4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الخادم يرفض العملية غير الصحيحة برفض مسبب يظهر في مركز المزامنة</w:t>
            </w:r>
          </w:p>
        </w:tc>
      </w:tr>
      <w:tr>
        <w:trPr>
          <w:cantSplit/>
        </w:trPr>
        <w:tc>
          <w:tcPr>
            <w:tcW w:type="pct" w:w="4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8</w:t>
            </w:r>
          </w:p>
        </w:tc>
        <w:tc>
          <w:tcPr>
            <w:tcW w:type="pct" w:w="46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بيعان متزامنان يتجاوزان المتاح — لا رصيد سالب ولا تكرار خصم</w:t>
            </w:r>
          </w:p>
        </w:tc>
      </w:tr>
      <w:tr>
        <w:trPr>
          <w:cantSplit/>
        </w:trPr>
        <w:tc>
          <w:tcPr>
            <w:tcW w:type="pct" w:w="4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9</w:t>
            </w:r>
          </w:p>
        </w:tc>
        <w:tc>
          <w:tcPr>
            <w:tcW w:type="pct" w:w="4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نسخ احتياطي واسترجاع + مطابقة الأرصدة صفرية الفرق بعد الترحيل</w:t>
            </w:r>
          </w:p>
        </w:tc>
      </w:tr>
    </w:tbl>
    <w:p>
      <w:pPr>
        <w:spacing w:after="120"/>
      </w:pPr>
    </w:p>
    <w:p>
      <w:pPr>
        <w:keepNext/>
        <w:bidi/>
        <w:spacing w:after="90" w:before="220" w:line="312"/>
      </w:pPr>
      <w:r>
        <w:rPr>
          <w:rFonts w:ascii="Arial" w:cs="Arial" w:eastAsia="Arial" w:hAnsi="Arial"/>
          <w:b/>
          <w:bCs/>
          <w:color w:val="444444"/>
          <w:sz w:val="21"/>
          <w:szCs w:val="21"/>
          <w:rtl/>
        </w:rPr>
        <w:t xml:space="preserve">الجدول 5: القواعد الذهبية للمزامنة — غير قابلة للتفاوض</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2988"/>
        <w:gridCol w:w="5800"/>
      </w:tblGrid>
      <w:tr>
        <w:trPr>
          <w:cantSplit/>
          <w:tblHeader/>
        </w:trPr>
        <w:tc>
          <w:tcPr>
            <w:tcW w:type="pct" w:w="17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القاعدة</w:t>
            </w:r>
          </w:p>
        </w:tc>
        <w:tc>
          <w:tcPr>
            <w:tcW w:type="pct" w:w="33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تفصيلها التنفيذي</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آلة الحالات السبع</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لا تُعرض حالة SYNCED إلا بعد إقرار الخادم الصريح — قبلها PENDING_SYNC أو SYNCING</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منع التكرار</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operation_id فريد مع قيد فريد في الخادم — إعادة الإرسال تُجاب DUPLICATE دون أثر مالي ثانٍ</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منع الفوز الأخير</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ممنوع last-write-wins للفواتير والمدفوعات — التعارض يُعلَّم CONFLICT ويُحل بإجراء بشري موثق</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أسرار بأربعة امتناعات</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لا سر في المحادثة ولا في Git ولا في المتصفح ولا داخل EXE — Service Role Key في الخادم فقط</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التجربة ليست الإنتاج</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بيئة الاختبار التجريبية وJWT المحلي ليسا بديلاً كاملاً — إعادة الاختبار مطلوبة على Supabase الفعلي</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التفعيل بقرار المالك</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لا تفعيل ولا ترحيل بيانات إنتاج قبل اجتياز الجدول أعلاه وموافقة موثقة على التكلفة</w:t>
            </w:r>
          </w:p>
        </w:tc>
      </w:tr>
    </w:tbl>
    <w:p>
      <w:pPr>
        <w:spacing w:after="120"/>
      </w:pPr>
    </w:p>
    <w:p>
      <w:pPr>
        <w:bidi/>
        <w:spacing w:after="160" w:line="312"/>
        <w:jc w:val="both"/>
      </w:pPr>
      <w:r>
        <w:rPr>
          <w:rFonts w:ascii="Arial" w:cs="Arial" w:eastAsia="Arial" w:hAnsi="Arial"/>
          <w:color w:val="000000"/>
          <w:sz w:val="24"/>
          <w:szCs w:val="24"/>
          <w:rtl/>
        </w:rPr>
        <w:t xml:space="preserve">الدرس الهندسي الذي يبرر هذا التشدد موثق بالأرقام: أربعة عيوب حقيقية في المهاجرات وتسريب صلاحية EXECUTE للمستخدم anon في ملف 0008 — كلها اكتُشفت فقط أمام PostgreSQL وPostgREST حقيقيين رغم أن البيئة المحاكاة كانت خضراء قبلها، وكان بعضها كافياً لإسقاط التطبيق على السحابة من أول يوم أو فتح باباً أمنياً. من هنا القاعدة: أي انتقال بيئة (محلي إلى سحابي) يعني إعادة suite الخادم كاملة على البيئة الجديدة، لا الاكتفاء بنجاح البيئة السابقة.</w:t>
      </w:r>
    </w:p>
    <w:p>
      <w:pPr>
        <w:pStyle w:val="Heading1"/>
        <w:bidi/>
        <w:spacing w:after="180" w:before="360" w:line="312"/>
      </w:pPr>
      <w:bookmarkStart w:name="_Toc9" w:id="9"/>
      <w:r>
        <w:rPr>
          <w:rFonts w:ascii="Arial" w:cs="Arial" w:eastAsia="Arial" w:hAnsi="Arial"/>
          <w:b/>
          <w:bCs/>
          <w:color w:val="0E3D47"/>
          <w:sz w:val="32"/>
          <w:szCs w:val="32"/>
          <w:rtl/>
        </w:rPr>
        <w:t xml:space="preserve">خامساً: خريطة الوثائق داخل المستودع</w:t>
      </w:r>
      <w:bookmarkEnd w:id="9"/>
    </w:p>
    <w:p>
      <w:pPr>
        <w:bidi/>
        <w:spacing w:after="160" w:line="312"/>
        <w:jc w:val="both"/>
      </w:pPr>
      <w:r>
        <w:rPr>
          <w:rFonts w:ascii="Arial" w:cs="Arial" w:eastAsia="Arial" w:hAnsi="Arial"/>
          <w:color w:val="000000"/>
          <w:sz w:val="24"/>
          <w:szCs w:val="24"/>
          <w:rtl/>
        </w:rPr>
        <w:t xml:space="preserve">المستودع موثق بمستوى يجعل قراءة الكود وحدها غير كافية — فالوثائق تحمل القرارات وبراهينها، وقراءتها بترتيب الجدول التالي توفر أسبوعاً من الاستكشاف الأعمى. المرجع الأول دائماً هو CURRENT_SYSTEM_AUDIT.md لأنه يُحدَّث بأرقام بمصادر عند كل مرحلة، ثم سجل الالتزامات في Git الذي صارت رسائله فيه سجلاً هندسياً مفصلاً بذاته. من يعدّل الكود دون تحديث التدقيق المقابل يُخل بقاعدة «كل رقم بمصدر» المؤسسية، وهذه مخالفة تعاقدية في روح العقد مع المالك ولو لم تكن نصاً فيه.</w:t>
      </w:r>
    </w:p>
    <w:p>
      <w:pPr>
        <w:keepNext/>
        <w:bidi/>
        <w:spacing w:after="90" w:before="220" w:line="312"/>
      </w:pPr>
      <w:r>
        <w:rPr>
          <w:rFonts w:ascii="Arial" w:cs="Arial" w:eastAsia="Arial" w:hAnsi="Arial"/>
          <w:b/>
          <w:bCs/>
          <w:color w:val="444444"/>
          <w:sz w:val="21"/>
          <w:szCs w:val="21"/>
          <w:rtl/>
        </w:rPr>
        <w:t xml:space="preserve">الجدول 6: الوثائق المرجعية وما يجد فيها المطوّر</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2988"/>
        <w:gridCol w:w="5800"/>
      </w:tblGrid>
      <w:tr>
        <w:trPr>
          <w:cantSplit/>
          <w:tblHeader/>
        </w:trPr>
        <w:tc>
          <w:tcPr>
            <w:tcW w:type="pct" w:w="17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الوثيقة</w:t>
            </w:r>
          </w:p>
        </w:tc>
        <w:tc>
          <w:tcPr>
            <w:tcW w:type="pct" w:w="33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محتواها للمنجز القادم</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README.md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نظرة شاملة + جدول الميزات الوحدات + أوامر التشغيل + بيان صريح: لا مزامنة سحابية في نسخة العميل</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CURRENT_SYSTEM_AUDIT.md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مرجع الحقيقة الأول: سجل الإصدار الموحد + الأرقام بمصادرها + حالة كل وحدة + المتبقي الصادق</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TEST_RESULTS_SYNC_EXPERIMENT.md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نتائج تجربة الخطة B كاملة: 51 اختبار خادم والعيوب الخمسة المكتشفة والمصلحة</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SYNC_ARCHITECTURE_DECISION.md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القرار المعماري للمزامنة + مقارنة التكلفة + شروط التفعيل المعتمدة</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TECHNICAL_RESEARCH.md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بحث الخيارات بتواريخ ومصادر: Supabase وPowerSync وDexie Cloud وبدائل الاستضافة</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docs/ARCHITECTURE.md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البنية الطبقية وتدفق العملية من الواجهة إلى adapter إلى Dexie</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docs/DATABASE.md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مخطط الجداول الـ44 ودوال RPC وترتيب المهاجرات</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docs/SECURITY.md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نموذج الصلاحيات بالأدوار الثمانية وRLS وقواعد الأسرار</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docs/OFFLINE_SYNC.md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منطق الطابور اللامتزامن وidempotency وحالات الفشل</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docs/DEPLOYMENT.md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خطوات النشر وبناء EXE وروتين الإصدار من شجرة نظيفة</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docs/TESTING.md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استراتيجية الاختبار ومجموعاته الثلاث وبيئة الخادم</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docs/PROJECT_DECISIONS.md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سجل القرارات المعمارية والتجارية بأسبابها بتواريخها</w:t>
            </w:r>
          </w:p>
        </w:tc>
      </w:tr>
      <w:tr>
        <w:trPr>
          <w:cantSplit/>
        </w:trPr>
        <w:tc>
          <w:tcPr>
            <w:tcW w:type="pct" w:w="17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docs/DATA_MIGRATION.md وdocs/BACKUP_RESTORE.md</w:t>
            </w:r>
          </w:p>
        </w:tc>
        <w:tc>
          <w:tcPr>
            <w:tcW w:type="pct" w:w="33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منهجية الترحيل بمنطق المطابقة الصفرية وخطط النسخ الاحتياطي والاسترجاع</w:t>
            </w:r>
          </w:p>
        </w:tc>
      </w:tr>
      <w:tr>
        <w:trPr>
          <w:cantSplit/>
        </w:trPr>
        <w:tc>
          <w:tcPr>
            <w:tcW w:type="pct" w:w="17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docs/PROJECT_SPEC.md</w:t>
            </w:r>
          </w:p>
        </w:tc>
        <w:tc>
          <w:tcPr>
            <w:tcW w:type="pct" w:w="33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مواصفة المتطلبات الأصلية المتعاقد عليها</w:t>
            </w:r>
          </w:p>
        </w:tc>
      </w:tr>
    </w:tbl>
    <w:p>
      <w:pPr>
        <w:spacing w:after="120"/>
      </w:pPr>
    </w:p>
    <w:p>
      <w:pPr>
        <w:pStyle w:val="Heading1"/>
        <w:bidi/>
        <w:spacing w:after="180" w:before="360" w:line="312"/>
      </w:pPr>
      <w:bookmarkStart w:name="_Toc10" w:id="10"/>
      <w:r>
        <w:rPr>
          <w:rFonts w:ascii="Arial" w:cs="Arial" w:eastAsia="Arial" w:hAnsi="Arial"/>
          <w:b/>
          <w:bCs/>
          <w:color w:val="0E3D47"/>
          <w:sz w:val="32"/>
          <w:szCs w:val="32"/>
          <w:rtl/>
        </w:rPr>
        <w:t xml:space="preserve">سادساً: المتبقي وخارطة الطريق بعد التسليم</w:t>
      </w:r>
      <w:bookmarkEnd w:id="10"/>
    </w:p>
    <w:p>
      <w:pPr>
        <w:bidi/>
        <w:spacing w:after="160" w:line="312"/>
        <w:jc w:val="both"/>
      </w:pPr>
      <w:r>
        <w:rPr>
          <w:rFonts w:ascii="Arial" w:cs="Arial" w:eastAsia="Arial" w:hAnsi="Arial"/>
          <w:color w:val="000000"/>
          <w:sz w:val="24"/>
          <w:szCs w:val="24"/>
          <w:rtl/>
        </w:rPr>
        <w:t xml:space="preserve">المتبقي مرتب أدناه بترتيب تنفيذ إلزامي لا يجوز إعادة ترتيبه حسب الراحة: الخطوات 1 إلى 3 هي التحقق السحابي المعطل حتى اليوم لأنها تتطلب مفاتيح المالك وحسابه وقراره، والخطوات 4 و5 تتطلب موافقة مالية صريحة موثقة. ما أُنجز فعلاً قبل التسليم — بناء EXE v8.2.0 ورفعه، وربط المزامنة بالتطبيق ربطاً صريحاً معطلاً افتراضياً — موشوم كمنجز في التدقيق حتى لا يُعاد العمل فيه أو يُدَّعى أنه معلق.</w:t>
      </w:r>
    </w:p>
    <w:p>
      <w:pPr>
        <w:keepNext/>
        <w:bidi/>
        <w:spacing w:after="90" w:before="220" w:line="312"/>
      </w:pPr>
      <w:r>
        <w:rPr>
          <w:rFonts w:ascii="Arial" w:cs="Arial" w:eastAsia="Arial" w:hAnsi="Arial"/>
          <w:b/>
          <w:bCs/>
          <w:color w:val="444444"/>
          <w:sz w:val="21"/>
          <w:szCs w:val="21"/>
          <w:rtl/>
        </w:rPr>
        <w:t xml:space="preserve">الجدول 7: خطوات ما بعد التسليم بترتيبها الإلزامي ومعايير إنجازها</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2636"/>
        <w:gridCol w:w="2812"/>
        <w:gridCol w:w="3339"/>
      </w:tblGrid>
      <w:tr>
        <w:trPr>
          <w:cantSplit/>
          <w:tblHeader/>
        </w:trPr>
        <w:tc>
          <w:tcPr>
            <w:tcW w:type="pct" w:w="15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الخطوة</w:t>
            </w:r>
          </w:p>
        </w:tc>
        <w:tc>
          <w:tcPr>
            <w:tcW w:type="pct" w:w="16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ما يلزم لها</w:t>
            </w:r>
          </w:p>
        </w:tc>
        <w:tc>
          <w:tcPr>
            <w:tcW w:type="pct" w:w="19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معيار الإنجاز</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1. مشروع Supabase تجريبي بمفاتيح المالك</w:t>
            </w:r>
          </w:p>
        </w:tc>
        <w:tc>
          <w:tcPr>
            <w:tcW w:type="pct" w:w="1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حساب المالك + بيانات اختبار مصطنعة فقط — لا لمس لبيانات الإنتاج إطلاقاً</w:t>
            </w:r>
          </w:p>
        </w:tc>
        <w:tc>
          <w:tcPr>
            <w:tcW w:type="pct" w:w="19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تطبيق المهاجرات على قاعدة نظيفة + suite الخادم 51/51 سحابياً + GoTrue الحقيقي مختبراً</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2. جهازان حقيقيان على نفس المشروع</w:t>
            </w:r>
          </w:p>
        </w:tc>
        <w:tc>
          <w:tcPr>
            <w:tcW w:type="pct" w:w="16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الموقع المنشور + EXE فعلي + مشروع الاختبار السحابي الواحد</w:t>
            </w:r>
          </w:p>
        </w:tc>
        <w:tc>
          <w:tcPr>
            <w:tcW w:type="pct" w:w="19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السيناريوهات التسعة (الجدول 4) كلها خضراء موثقة بلقطات</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3. الدورة الكاملة تحت الضغط</w:t>
            </w:r>
          </w:p>
        </w:tc>
        <w:tc>
          <w:tcPr>
            <w:tcW w:type="pct" w:w="1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تكرار عمليات وتعارضات وإبطالات وإلغاء أجهزة</w:t>
            </w:r>
          </w:p>
        </w:tc>
        <w:tc>
          <w:tcPr>
            <w:tcW w:type="pct" w:w="19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صفر تكرار مالي + أرصدة مطابقة + حالات مرفوضة مسببة تظهر في مركز المزامنة</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4. قرار التكلفة والاستضافة</w:t>
            </w:r>
          </w:p>
        </w:tc>
        <w:tc>
          <w:tcPr>
            <w:tcW w:type="pct" w:w="16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عرض الخيارين للمالك: خطة مجانية مع خطر التجميد بعد أسبوع خمول أو خطة 25 دولاراً شهرياً</w:t>
            </w:r>
          </w:p>
        </w:tc>
        <w:tc>
          <w:tcPr>
            <w:tcW w:type="pct" w:w="19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موافقة صريحة من المالك موثقة في PROJECT_DECISIONS.md</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5. تفعيل اختياري ثم ترحيل الإنتاج</w:t>
            </w:r>
          </w:p>
        </w:tc>
        <w:tc>
          <w:tcPr>
            <w:tcW w:type="pct" w:w="16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نسخة احتياطية قابلة للاسترجاع قبل أي لمسة + ناقل بيانات محدّث</w:t>
            </w:r>
          </w:p>
        </w:tc>
        <w:tc>
          <w:tcPr>
            <w:tcW w:type="pct" w:w="19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ترحيل بمطابقة صفرية + تفعيل لكل جهاز بشرياً بصرياً من مركز المزامنة</w:t>
            </w:r>
          </w:p>
        </w:tc>
      </w:tr>
    </w:tbl>
    <w:p>
      <w:pPr>
        <w:spacing w:after="120"/>
      </w:pPr>
    </w:p>
    <w:p>
      <w:pPr>
        <w:bidi/>
        <w:spacing w:after="160" w:line="312"/>
        <w:jc w:val="both"/>
      </w:pPr>
      <w:r>
        <w:rPr>
          <w:rFonts w:ascii="Arial" w:cs="Arial" w:eastAsia="Arial" w:hAnsi="Arial"/>
          <w:color w:val="000000"/>
          <w:sz w:val="24"/>
          <w:szCs w:val="24"/>
          <w:rtl/>
        </w:rPr>
        <w:t xml:space="preserve">تنبيه تعاقدي صريح: لا تُرحّل بيانات إنتاج المالك ولا تُجبر المزامنة على أحد قبل اكتمال كل ما سبق — هذا شرط معتمد في PROJECT_DECISIONS.md وتقرير التسليم هذا يورّثه كإلزام لأي منجز قادم. كما أن بقاء الميزة معطلة افتراضياً في الكود ليس عيباً مؤقتاً بل هو ضمانة العميل الأولى حتى تكتمل القائمة أعلاه: بلا تفعيل صريح لا يمر أي طلب شبكة للمزامنة إطلاقاً، وهو سلوك مغطى باختبار مخصص في مجموعة الدمج.</w:t>
      </w:r>
    </w:p>
    <w:p>
      <w:pPr>
        <w:pStyle w:val="Heading1"/>
        <w:bidi/>
        <w:spacing w:after="180" w:before="360" w:line="312"/>
      </w:pPr>
      <w:bookmarkStart w:name="_Toc11" w:id="11"/>
      <w:r>
        <w:rPr>
          <w:rFonts w:ascii="Arial" w:cs="Arial" w:eastAsia="Arial" w:hAnsi="Arial"/>
          <w:b/>
          <w:bCs/>
          <w:color w:val="0E3D47"/>
          <w:sz w:val="32"/>
          <w:szCs w:val="32"/>
          <w:rtl/>
        </w:rPr>
        <w:t xml:space="preserve">سابعاً: القواعد الحمراء للتطوير القادم</w:t>
      </w:r>
      <w:bookmarkEnd w:id="11"/>
    </w:p>
    <w:p>
      <w:pPr>
        <w:bidi/>
        <w:spacing w:after="160" w:line="312"/>
        <w:jc w:val="both"/>
      </w:pPr>
      <w:r>
        <w:rPr>
          <w:rFonts w:ascii="Arial" w:cs="Arial" w:eastAsia="Arial" w:hAnsi="Arial"/>
          <w:color w:val="000000"/>
          <w:sz w:val="24"/>
          <w:szCs w:val="24"/>
          <w:rtl/>
        </w:rPr>
        <w:t xml:space="preserve">أولاً — الأسرار: لا يُطلب من المالك إرسال أي مفتاح في المحادثة مهما كان السياق، ولا يُحفظ سر في Git تحت أي غلاف حتى لو كان الملف سيُحذف لاحقاً لأن التاريخ يبقى، ولا يدخل مفتاح المتصفح أو EXE. مفاتيح Supabase للتجربة تُدخل مباشرة في إعدادات بيئة جهاز المطوّر أو أسرار المستودع Encrypted Secrets على GitHub، ومفتاح Service Role يبقى في الخادم حصراً. ثانياً — الإصدارات: EXE من شجرة نظيفة فقط مع توثيق مصدر البناء، وفحص الأصل من داخل asar النهائي، ولا رفع أصل مجهول المصدر إلى إصدار وسم.</w:t>
      </w:r>
    </w:p>
    <w:p>
      <w:pPr>
        <w:bidi/>
        <w:spacing w:after="160" w:line="312"/>
        <w:jc w:val="both"/>
      </w:pPr>
      <w:r>
        <w:rPr>
          <w:rFonts w:ascii="Arial" w:cs="Arial" w:eastAsia="Arial" w:hAnsi="Arial"/>
          <w:color w:val="000000"/>
          <w:sz w:val="24"/>
          <w:szCs w:val="24"/>
          <w:rtl/>
        </w:rPr>
        <w:t xml:space="preserve">ثالثاً — الصدق الهندسي: كل رقم في وثائق المشروع بمصدر منفّذ، وتاريخ المشروع يوثق تصحيح ادعاءات مبالغ فيها («لم يُبنَ» الخاطئ عن EXE الموجود، وعبارات «مزامنة تلقائية» المحذوفة من كل الوثائق). فمن يعمل بعدنا لا يضيف ادعاء بلا إثبات ولا يحذف تحفظاً موثقاً لأنه مُقلق. رابعاً — بوابة الجودة ليست شكلية: مهمة الخادم الحمراء تُعالج فوراً قبل أي عمل جديد — درس الالتزامين a8c5b7e و79a21b0 الذي تحول فيه عطل CommonJS/ESM إلى إصلاحين متتاليين موثقين ومحاكاة محلية كاملة لخطوات CI — والاختبارات لا تُخفف لتنجح بل تُصحح بسببها الأصول في المهاجرات نفسها.</w:t>
      </w:r>
    </w:p>
    <w:p>
      <w:pPr>
        <w:bidi/>
        <w:spacing w:after="160" w:line="312"/>
        <w:jc w:val="both"/>
      </w:pPr>
      <w:r>
        <w:rPr>
          <w:rFonts w:ascii="Arial" w:cs="Arial" w:eastAsia="Arial" w:hAnsi="Arial"/>
          <w:color w:val="000000"/>
          <w:sz w:val="24"/>
          <w:szCs w:val="24"/>
          <w:rtl/>
        </w:rPr>
        <w:t xml:space="preserve">خامساً — التوثيق مرافقة للكود لا تبعاً له: أي تعديل يغير رقماً (عدد اختبارات أو جداول أو ملفات) يُحدّث CURRENT_SYSTEM_AUDIT.md في الالتزام نفسه، وأي قرار معماري جديد يُسجل في PROJECT_DECISIONS.md بسبه وذريته. هذه القواعد ليست إجراءات شكلية؛ هي صمام الأمان الذي أنقذ المشروع مراراً من الادعاءات غير الصحيحة ومن الأصول المجهولة المصدر، وهي جزء من قيمة التسليم التي دفع العميل ثمنها.</w:t>
      </w:r>
    </w:p>
    <w:p>
      <w:pPr>
        <w:pStyle w:val="Heading1"/>
        <w:bidi/>
        <w:spacing w:after="180" w:before="360" w:line="312"/>
      </w:pPr>
      <w:bookmarkStart w:name="_Toc12" w:id="12"/>
      <w:r>
        <w:rPr>
          <w:rFonts w:ascii="Arial" w:cs="Arial" w:eastAsia="Arial" w:hAnsi="Arial"/>
          <w:b/>
          <w:bCs/>
          <w:color w:val="0E3D47"/>
          <w:sz w:val="32"/>
          <w:szCs w:val="32"/>
          <w:rtl/>
        </w:rPr>
        <w:t xml:space="preserve">ثامناً: ملحق — الروابط والأوامر السريعة</w:t>
      </w:r>
      <w:bookmarkEnd w:id="12"/>
    </w:p>
    <w:p>
      <w:pPr>
        <w:bidi/>
        <w:spacing w:after="160" w:line="312"/>
        <w:jc w:val="both"/>
      </w:pPr>
      <w:r>
        <w:rPr>
          <w:rFonts w:ascii="Arial" w:cs="Arial" w:eastAsia="Arial" w:hAnsi="Arial"/>
          <w:color w:val="000000"/>
          <w:sz w:val="24"/>
          <w:szCs w:val="24"/>
          <w:rtl/>
        </w:rPr>
        <w:t xml:space="preserve">الروابط التالية هي نقاط الوصول الرسمية للتسليم، وقد فُحصت كلها حية يوم التسليم: الموقع يستجيب برمز 200، وصفحة الإصدارات تعرض الأصول السبعة الوسوم بأحجامها الفعلية، ورابط ZIP المباشر يحوّل إلى خادم الأصول الرسمي. أوامر npm تُنفذ من جذر المستودع بعد npm ci، ومهمة الخادم تعمل آلياً على GitHub على كل push فلا حاجة لبيئة محلية لإثباتها إلا عند التطوير عليها.</w:t>
      </w:r>
    </w:p>
    <w:p>
      <w:pPr>
        <w:keepNext/>
        <w:bidi/>
        <w:spacing w:after="90" w:before="220" w:line="312"/>
      </w:pPr>
      <w:r>
        <w:rPr>
          <w:rFonts w:ascii="Arial" w:cs="Arial" w:eastAsia="Arial" w:hAnsi="Arial"/>
          <w:b/>
          <w:bCs/>
          <w:color w:val="444444"/>
          <w:sz w:val="21"/>
          <w:szCs w:val="21"/>
          <w:rtl/>
        </w:rPr>
        <w:t xml:space="preserve">الجدول 8: روابط التسليم الرسمية</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2636"/>
        <w:gridCol w:w="6152"/>
      </w:tblGrid>
      <w:tr>
        <w:trPr>
          <w:cantSplit/>
          <w:tblHeader/>
        </w:trPr>
        <w:tc>
          <w:tcPr>
            <w:tcW w:type="pct" w:w="15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الهدف</w:t>
            </w:r>
          </w:p>
        </w:tc>
        <w:tc>
          <w:tcPr>
            <w:tcW w:type="pct" w:w="35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الرابط</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الموقع الحي (PWA)</w:t>
            </w:r>
          </w:p>
        </w:tc>
        <w:tc>
          <w:tcPr>
            <w:tcW w:type="pct" w:w="3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https://q033511-pixel.github.io/bakery-system/</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صفحة الإصدارات كاملة</w:t>
            </w:r>
          </w:p>
        </w:tc>
        <w:tc>
          <w:tcPr>
            <w:tcW w:type="pct" w:w="3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https://github.com/q033511-pixel/bakery-system/releases</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حزمة الويندوز ZIP مباشرة (v8.2.0)</w:t>
            </w:r>
          </w:p>
        </w:tc>
        <w:tc>
          <w:tcPr>
            <w:tcW w:type="pct" w:w="3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https://github.com/q033511-pixel/bakery-system/releases/download/v8.2.0/AlMoutmag-Bakery-Windows.zip</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النسخة المحمولة Portable</w:t>
            </w:r>
          </w:p>
        </w:tc>
        <w:tc>
          <w:tcPr>
            <w:tcW w:type="pct" w:w="3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https://github.com/q033511-pixel/bakery-system/releases/download/v8.2.0/AlMoutmag-Bakery-Portable.exe</w:t>
            </w:r>
          </w:p>
        </w:tc>
      </w:tr>
      <w:tr>
        <w:trPr>
          <w:cantSplit/>
        </w:trPr>
        <w:tc>
          <w:tcPr>
            <w:tcW w:type="pct" w:w="1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تشغيلات CI وسجل نجاحها</w:t>
            </w:r>
          </w:p>
        </w:tc>
        <w:tc>
          <w:tcPr>
            <w:tcW w:type="pct" w:w="35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https://github.com/q033511-pixel/bakery-system/actions</w:t>
            </w:r>
          </w:p>
        </w:tc>
      </w:tr>
      <w:tr>
        <w:trPr>
          <w:cantSplit/>
        </w:trPr>
        <w:tc>
          <w:tcPr>
            <w:tcW w:type="pct" w:w="1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المستودع (كود ووثائق)</w:t>
            </w:r>
          </w:p>
        </w:tc>
        <w:tc>
          <w:tcPr>
            <w:tcW w:type="pct" w:w="35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https://github.com/q033511-pixel/bakery-system</w:t>
            </w:r>
          </w:p>
        </w:tc>
      </w:tr>
    </w:tbl>
    <w:p>
      <w:pPr>
        <w:spacing w:after="120"/>
      </w:pPr>
    </w:p>
    <w:p>
      <w:pPr>
        <w:keepNext/>
        <w:bidi/>
        <w:spacing w:after="90" w:before="220" w:line="312"/>
      </w:pPr>
      <w:r>
        <w:rPr>
          <w:rFonts w:ascii="Arial" w:cs="Arial" w:eastAsia="Arial" w:hAnsi="Arial"/>
          <w:b/>
          <w:bCs/>
          <w:color w:val="444444"/>
          <w:sz w:val="21"/>
          <w:szCs w:val="21"/>
          <w:rtl/>
        </w:rPr>
        <w:t xml:space="preserve">الجدول 9: أوامر التشغيل اليومية من جذر المستودع</w:t>
      </w:r>
    </w:p>
    <w:tbl>
      <w:tblPr>
        <w:bidiVisual/>
        <w:tblW w:type="pct" w:w="5000"/>
        <w:tblBorders>
          <w:top w:val="single" w:color="1B6B7A" w:sz="8"/>
          <w:left w:val="none" w:color="auto" w:sz="0"/>
          <w:bottom w:val="single" w:color="1B6B7A" w:sz="8"/>
          <w:right w:val="none" w:color="auto" w:sz="0"/>
          <w:insideH w:val="single" w:color="C9DFE4" w:sz="2"/>
          <w:insideV w:val="none" w:color="auto" w:sz="0"/>
        </w:tblBorders>
        <w:tblLayout w:type="fixed"/>
      </w:tblPr>
      <w:tblGrid>
        <w:gridCol w:w="3515"/>
        <w:gridCol w:w="5273"/>
      </w:tblGrid>
      <w:tr>
        <w:trPr>
          <w:cantSplit/>
          <w:tblHeader/>
        </w:trPr>
        <w:tc>
          <w:tcPr>
            <w:tcW w:type="pct" w:w="20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الغرض</w:t>
            </w:r>
          </w:p>
        </w:tc>
        <w:tc>
          <w:tcPr>
            <w:tcW w:type="pct" w:w="3000"/>
            <w:shd w:fill="1B6B7A" w:val="clear"/>
            <w:tcMar>
              <w:top w:type="dxa" w:w="90"/>
              <w:left w:type="dxa" w:w="120"/>
              <w:bottom w:type="dxa" w:w="90"/>
              <w:right w:type="dxa" w:w="120"/>
            </w:tcMar>
            <w:vAlign w:val="center"/>
          </w:tcPr>
          <w:p>
            <w:pPr>
              <w:bidi/>
              <w:spacing w:line="276"/>
              <w:jc w:val="center"/>
            </w:pPr>
            <w:r>
              <w:rPr>
                <w:rFonts w:ascii="Arial" w:cs="Arial" w:eastAsia="Arial" w:hAnsi="Arial"/>
                <w:b/>
                <w:bCs/>
                <w:color w:val="FFFFFF"/>
                <w:sz w:val="22"/>
                <w:szCs w:val="22"/>
                <w:rtl/>
              </w:rPr>
              <w:t xml:space="preserve">الأمر</w:t>
            </w:r>
          </w:p>
        </w:tc>
      </w:tr>
      <w:tr>
        <w:trPr>
          <w:cantSplit/>
        </w:trPr>
        <w:tc>
          <w:tcPr>
            <w:tcW w:type="pct" w:w="2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تثبيت التبعيات بدقة القفل</w:t>
            </w:r>
          </w:p>
        </w:tc>
        <w:tc>
          <w:tcPr>
            <w:tcW w:type="pct" w:w="3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ci</w:t>
            </w:r>
          </w:p>
        </w:tc>
      </w:tr>
      <w:tr>
        <w:trPr>
          <w:cantSplit/>
        </w:trPr>
        <w:tc>
          <w:tcPr>
            <w:tcW w:type="pct" w:w="20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بيئة التطوير المحلية</w:t>
            </w:r>
          </w:p>
        </w:tc>
        <w:tc>
          <w:tcPr>
            <w:tcW w:type="pct" w:w="30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run dev</w:t>
            </w:r>
          </w:p>
        </w:tc>
      </w:tr>
      <w:tr>
        <w:trPr>
          <w:cantSplit/>
        </w:trPr>
        <w:tc>
          <w:tcPr>
            <w:tcW w:type="pct" w:w="2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فحص الأنواع الصارم</w:t>
            </w:r>
          </w:p>
        </w:tc>
        <w:tc>
          <w:tcPr>
            <w:tcW w:type="pct" w:w="3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run typecheck</w:t>
            </w:r>
          </w:p>
        </w:tc>
      </w:tr>
      <w:tr>
        <w:trPr>
          <w:cantSplit/>
        </w:trPr>
        <w:tc>
          <w:tcPr>
            <w:tcW w:type="pct" w:w="20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فحص lint</w:t>
            </w:r>
          </w:p>
        </w:tc>
        <w:tc>
          <w:tcPr>
            <w:tcW w:type="pct" w:w="30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run lint</w:t>
            </w:r>
          </w:p>
        </w:tc>
      </w:tr>
      <w:tr>
        <w:trPr>
          <w:cantSplit/>
        </w:trPr>
        <w:tc>
          <w:tcPr>
            <w:tcW w:type="pct" w:w="2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الاختبارات المحلية (109)</w:t>
            </w:r>
          </w:p>
        </w:tc>
        <w:tc>
          <w:tcPr>
            <w:tcW w:type="pct" w:w="3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test</w:t>
            </w:r>
          </w:p>
        </w:tc>
      </w:tr>
      <w:tr>
        <w:trPr>
          <w:cantSplit/>
        </w:trPr>
        <w:tc>
          <w:tcPr>
            <w:tcW w:type="pct" w:w="20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اختبارات الخادم (51 — ببيئة PostgreSQL وPostgREST حقيقيين كما في tests.yml)</w:t>
            </w:r>
          </w:p>
        </w:tc>
        <w:tc>
          <w:tcPr>
            <w:tcW w:type="pct" w:w="3000"/>
            <w:shd w:fill="EEF6F8" w:val="clear"/>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npx vitest run tests/server</w:t>
            </w:r>
          </w:p>
        </w:tc>
      </w:tr>
      <w:tr>
        <w:trPr>
          <w:cantSplit/>
        </w:trPr>
        <w:tc>
          <w:tcPr>
            <w:tcW w:type="pct" w:w="2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بناء الإنتاج (PWA)</w:t>
            </w:r>
          </w:p>
        </w:tc>
        <w:tc>
          <w:tcPr>
            <w:tcW w:type="pct" w:w="3000"/>
            <w:tcMar>
              <w:top w:type="dxa" w:w="90"/>
              <w:left w:type="dxa" w:w="120"/>
              <w:bottom w:type="dxa" w:w="90"/>
              <w:right w:type="dxa" w:w="120"/>
            </w:tcMar>
            <w:vAlign w:val="center"/>
          </w:tcPr>
          <w:p>
            <w:pPr>
              <w:bidi/>
              <w:spacing w:line="276"/>
            </w:pPr>
            <w:r>
              <w:rPr>
                <w:rFonts w:ascii="Arial" w:cs="Arial" w:eastAsia="Arial" w:hAnsi="Arial"/>
                <w:b w:val="false"/>
                <w:bCs w:val="false"/>
                <w:color w:val="1A1A1A"/>
                <w:sz w:val="21"/>
                <w:szCs w:val="21"/>
                <w:rtl/>
              </w:rPr>
              <w:t xml:space="preserve">npm run build</w:t>
            </w:r>
          </w:p>
        </w:tc>
      </w:tr>
    </w:tbl>
    <w:p>
      <w:pPr>
        <w:spacing w:after="120"/>
      </w:pPr>
    </w:p>
    <w:p>
      <w:pPr>
        <w:bidi/>
        <w:spacing w:after="160" w:line="312"/>
        <w:jc w:val="both"/>
      </w:pPr>
      <w:r>
        <w:rPr>
          <w:rFonts w:ascii="Arial" w:cs="Arial" w:eastAsia="Arial" w:hAnsi="Arial"/>
          <w:color w:val="000000"/>
          <w:sz w:val="24"/>
          <w:szCs w:val="24"/>
          <w:rtl/>
        </w:rPr>
        <w:t xml:space="preserve">بهذا تكتمل وثيقة التسليم: الحالة موثقة بالأدلة، والقواعد واضحة، والمتبقي مرتب بمعايير إنجاز قابلة للقياس. من يتولى المشروع بعد اليوم يبدأ من قراءة CURRENT_SYSTEM_AUDIT.md ثم هذا التقرير ثم سجل الالتزامات، وبذلك يصل إلى نفس نقطة المعرفة التي وصل إليها المنجز السابق — وهذا بالضبط تعريف التسليم الناجح.</w:t>
      </w:r>
    </w:p>
    <w:sectPr>
      <w:headerReference w:type="default" r:id="rId7"/>
      <w:footerReference w:type="default" r:id="rId8"/>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bidi/>
      <w:spacing w:after="60"/>
      <w:jc w:val="center"/>
    </w:pPr>
    <w:r>
      <w:rPr>
        <w:rFonts w:ascii="Arial" w:cs="Arial" w:eastAsia="Arial" w:hAnsi="Arial"/>
        <w:color w:val="808080"/>
        <w:sz w:val="18"/>
        <w:szCs w:val="18"/>
        <w:rtl/>
      </w:rPr>
      <w:t xml:space="preserve">تقرير التسليم النهائي — نظام إدارة المخبز AlMoutmag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Arial" w:cs="Arial" w:eastAsia="Arial" w:hAnsi="Arial"/>
      <w:b/>
      <w:bCs/>
      <w:color w:val="0E3D47"/>
      <w:sz w:val="32"/>
      <w:szCs w:val="32"/>
    </w:rPr>
  </w:style>
  <w:style w:type="paragraph" w:styleId="Heading2">
    <w:name w:val="Heading 2"/>
    <w:basedOn w:val="Normal"/>
    <w:next w:val="Normal"/>
    <w:qFormat/>
    <w:pPr>
      <w:spacing w:after="130" w:before="260" w:line="312"/>
      <w:outlineLvl w:val="1"/>
    </w:pPr>
    <w:rPr>
      <w:rFonts w:ascii="Arial" w:cs="Arial" w:eastAsia="Arial" w:hAnsi="Arial"/>
      <w:b/>
      <w:bCs/>
      <w:color w:val="1B6B7A"/>
      <w:sz w:val="28"/>
      <w:szCs w:val="28"/>
    </w:rPr>
  </w:style>
  <w:style w:type="paragraph" w:styleId="Heading3">
    <w:name w:val="Heading 3"/>
    <w:basedOn w:val="Normal"/>
    <w:next w:val="Normal"/>
    <w:qFormat/>
    <w:pPr>
      <w:spacing w:after="100" w:before="200" w:line="312"/>
      <w:outlineLvl w:val="2"/>
    </w:pPr>
    <w:rPr>
      <w:rFonts w:ascii="Arial" w:cs="Arial" w:eastAsia="Arial" w:hAnsi="Arial"/>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التسليم النهائي — نظام إدارة المخبز AlMoutmag</dc:title>
  <dc:creator>AlMoutmag Bakery System</dc:creator>
  <cp:lastModifiedBy>Un-named</cp:lastModifiedBy>
  <cp:revision>1</cp:revision>
  <dcterms:created xsi:type="dcterms:W3CDTF">2026-10-17T06:45:54.011Z</dcterms:created>
  <dcterms:modified xsi:type="dcterms:W3CDTF">2026-10-17T06:45:54.011Z</dcterms:modified>
</cp:coreProperties>
</file>

<file path=docProps/custom.xml><?xml version="1.0" encoding="utf-8"?>
<Properties xmlns="http://schemas.openxmlformats.org/officeDocument/2006/custom-properties" xmlns:vt="http://schemas.openxmlformats.org/officeDocument/2006/docPropsVTypes"/>
</file>