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36D00">
      <w:pPr>
        <w:numPr>
          <w:ilvl w:val="0"/>
          <w:numId w:val="0"/>
        </w:numPr>
        <w:bidi w:val="0"/>
        <w:ind w:leftChars="0"/>
        <w:jc w:val="center"/>
        <w:rPr>
          <w:rFonts w:hint="eastAsia" w:ascii="宋体" w:hAnsi="宋体" w:eastAsia="宋体" w:cs="宋体"/>
          <w:b w:val="0"/>
          <w:bCs w:val="0"/>
          <w:sz w:val="24"/>
          <w:szCs w:val="24"/>
          <w:lang w:val="en-US" w:eastAsia="zh-CN"/>
        </w:rPr>
      </w:pPr>
      <w:r>
        <w:rPr>
          <w:rFonts w:hint="eastAsia"/>
          <w:b/>
          <w:bCs/>
          <w:sz w:val="32"/>
          <w:szCs w:val="32"/>
          <w:lang w:val="en-US" w:eastAsia="zh-CN"/>
        </w:rPr>
        <w:t>系统建立超大城市面向自然灾害的安全韧性评价指标体系</w:t>
      </w:r>
    </w:p>
    <w:p w14:paraId="331CC1BC">
      <w:pPr>
        <w:numPr>
          <w:ilvl w:val="0"/>
          <w:numId w:val="1"/>
        </w:numPr>
        <w:bidi w:val="0"/>
        <w:ind w:left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引言</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近年来，极端天气事件与各类安全事故频发，暴雨内涝、燃气泄漏、重大火灾等突发事件对城市运行造成的冲击日益突出，提升城市安全韧性已成为城市治理的重要议题。如何客观衡量一座城市在遭受冲击时的抵抗、适应与恢复能力，是开展韧性城市建设的前提。本研究以城市安全韧性为研究对象，构建“总目标—一级指标—二级指标—三级指标”逐层包含的评估指标体系，并进一步明确各指标的数据获取渠道与量化方法，以期为城市安全韧性水平的评估与提升提供可操作的分析框架。</w:t>
      </w:r>
    </w:p>
    <w:p w14:paraId="14C1D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安全韧性是城市系统在灾害环境中承受影响、适应变化并恢复运行的能力，其内涵可以分解为人员、设施、管理三个相互关联的子系统：人员层面的脆弱性与自救互救能力、设施层面的抗灾能力与恢复效率、管理层面的制度保障与治理水平，共同决定城市在灾害冲击下能否维持基本功能并快速恢复。这一内涵的多样性与系统性，要求评价工具覆盖不同层面并落到可采集的数据上，而现有研究中指标体系口径不一、部分指标数据难以获取，难以直接用于实际评估。</w:t>
      </w:r>
    </w:p>
    <w:p w14:paraId="0D60F1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sz w:val="24"/>
        </w:rPr>
        <w:t>基于上述考虑，本研究以城市安全韧性水平为总目标，构建包含三个一级指标、九个二级指标、十六个三级指标、逐层包含的评价指标体系，并明确各指标的数据来源与量化方法；指标体系不设权重、各指标独立呈现，以识别韧性短板为主要目的。全文结构如下：第一部分为引言，第二部分综述国内外城市安全韧性研究进展，第三部分界定城市安全韧性的内涵、特征与构建原则，并分析自然灾害冲击下人员、设施、管理各层级的作用机理，第四部分给出指标体系框架、指标释义与决策树式分解逻辑，第五部分说明数据收集与演化分析方法，并据此收束全文。</w:t>
      </w:r>
    </w:p>
    <w:p w14:paraId="4B40B21C">
      <w:pPr>
        <w:numPr>
          <w:ilvl w:val="0"/>
          <w:numId w:val="1"/>
        </w:numPr>
        <w:bidi w:val="0"/>
        <w:ind w:left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国内外研究综述</w:t>
      </w:r>
    </w:p>
    <w:p w14:paraId="394EB63F">
      <w:r>
        <w:rPr>
          <w:rFonts w:eastAsia="黑体"/>
          <w:b w:val="0"/>
          <w:sz w:val="24"/>
        </w:rPr>
        <w:t>2.1 国外研究进展</w:t>
      </w:r>
    </w:p>
    <w:p w14:paraId="446A7FCB">
      <w:pPr>
        <w:spacing w:line="360" w:lineRule="auto"/>
        <w:ind w:firstLine="480"/>
        <w:jc w:val="both"/>
      </w:pPr>
      <w:r>
        <w:rPr>
          <w:sz w:val="24"/>
        </w:rPr>
        <w:t>韧性概念源于生态学，Holling于1973年首次将韧性界定为系统在扰动冲击下吸收变化并维持基本功能的能力</w:t>
      </w:r>
      <w:r>
        <w:rPr>
          <w:sz w:val="24"/>
          <w:vertAlign w:val="superscript"/>
        </w:rPr>
        <w:t>[1]</w:t>
      </w:r>
      <w:r>
        <w:rPr>
          <w:sz w:val="24"/>
        </w:rPr>
        <w:t>，</w:t>
      </w:r>
      <w:r>
        <w:rPr>
          <w:rFonts w:hint="eastAsia"/>
          <w:sz w:val="24"/>
        </w:rPr>
        <w:t>此后该概念历经工程韧性、生态韧性到演进韧性的认知转型，并于20世纪90年代中后期至21世纪初被逐步引入城市系统研究</w:t>
      </w:r>
      <w:r>
        <w:rPr>
          <w:sz w:val="24"/>
          <w:vertAlign w:val="superscript"/>
        </w:rPr>
        <w:t>[9]</w:t>
      </w:r>
      <w:r>
        <w:rPr>
          <w:sz w:val="24"/>
        </w:rPr>
        <w:t>。Bruneau等以地震灾害为背景提出社区抗震韧性的"4R"框架，将韧性分解为鲁棒性、冗余性、快速性与资源性四个维度</w:t>
      </w:r>
      <w:r>
        <w:rPr>
          <w:sz w:val="24"/>
          <w:vertAlign w:val="superscript"/>
        </w:rPr>
        <w:t>[2]</w:t>
      </w:r>
      <w:r>
        <w:rPr>
          <w:sz w:val="24"/>
        </w:rPr>
        <w:t>，深刻影响了后续城市安全韧性指标体系的维度设计。Cutter等构建了灾害韧性地方模型（DROP），强调韧性是灾害发生前社区内在属性与灾中、灾后过程响应的综合体现</w:t>
      </w:r>
      <w:r>
        <w:rPr>
          <w:sz w:val="24"/>
          <w:vertAlign w:val="superscript"/>
        </w:rPr>
        <w:t>[3]</w:t>
      </w:r>
      <w:r>
        <w:rPr>
          <w:sz w:val="24"/>
        </w:rPr>
        <w:t>，并在此基础上提出社区灾害韧性基准指标（BRIC），从社会、经济、制度、基础设施与社区资本等维度选取可量化指标测度灾害韧性</w:t>
      </w:r>
      <w:r>
        <w:rPr>
          <w:sz w:val="24"/>
          <w:vertAlign w:val="superscript"/>
        </w:rPr>
        <w:t>[4]</w:t>
      </w:r>
      <w:r>
        <w:rPr>
          <w:sz w:val="24"/>
        </w:rPr>
        <w:t>。</w:t>
      </w:r>
      <w:r>
        <w:rPr>
          <w:rFonts w:hint="eastAsia"/>
          <w:sz w:val="24"/>
        </w:rPr>
        <w:t>Meerow等对既有城市韧性定义进行系统综述，将城市韧性界定为城市系统及其社会—生态—技术网络跨越时空尺度，在扰动面前维持或快速恢复期望功能、适应变化，并快速转型那些限制当前或未来适应能力的系统的能力</w:t>
      </w:r>
      <w:r>
        <w:rPr>
          <w:sz w:val="24"/>
          <w:vertAlign w:val="superscript"/>
        </w:rPr>
        <w:t>[5]</w:t>
      </w:r>
      <w:r>
        <w:rPr>
          <w:sz w:val="24"/>
        </w:rPr>
        <w:t>。</w:t>
      </w:r>
    </w:p>
    <w:p w14:paraId="31EC3C08">
      <w:pPr>
        <w:spacing w:line="360" w:lineRule="auto"/>
        <w:ind w:firstLine="480"/>
        <w:jc w:val="both"/>
      </w:pPr>
      <w:r>
        <w:rPr>
          <w:sz w:val="24"/>
        </w:rPr>
        <w:t>在评价实践层面，洛克菲勒基金会与奥雅纳公司联合发布城市韧性指数（CRI），从健康与福祉、经济与社会、基础设施与生态系统、领导力与战略四个维度构建全球通用的城市韧性评估框架</w:t>
      </w:r>
      <w:r>
        <w:rPr>
          <w:sz w:val="24"/>
          <w:vertAlign w:val="superscript"/>
        </w:rPr>
        <w:t>[6]</w:t>
      </w:r>
      <w:r>
        <w:rPr>
          <w:sz w:val="24"/>
        </w:rPr>
        <w:t>；</w:t>
      </w:r>
      <w:r>
        <w:rPr>
          <w:rFonts w:hint="eastAsia"/>
          <w:sz w:val="24"/>
        </w:rPr>
        <w:t>联合国减灾署发布城市灾害韧性计分卡，围绕10项基本要素评估城市应对灾害的韧性水平。计分卡提供两个评估层级：初步评估包含47项指标（0–3分制），详细评估在2017年版中包含8</w:t>
      </w:r>
      <w:r>
        <w:rPr>
          <w:rFonts w:hint="eastAsia"/>
          <w:sz w:val="24"/>
          <w:lang w:val="en-US" w:eastAsia="zh-CN"/>
        </w:rPr>
        <w:t>5</w:t>
      </w:r>
      <w:r>
        <w:rPr>
          <w:rFonts w:hint="eastAsia"/>
          <w:sz w:val="24"/>
        </w:rPr>
        <w:t>项指标（0–5分制），UNDRR官方当前版本（2021年后）已更新为116项指标</w:t>
      </w:r>
      <w:r>
        <w:rPr>
          <w:sz w:val="24"/>
          <w:vertAlign w:val="superscript"/>
        </w:rPr>
        <w:t>[7]</w:t>
      </w:r>
      <w:r>
        <w:rPr>
          <w:sz w:val="24"/>
        </w:rPr>
        <w:t>。总体来看，国外研究经历了从理论概念界定、评价框架构建到指标体系落地测度的演进，形成了以"维度—要素—指标"为特征的层级化评价范式。</w:t>
      </w:r>
    </w:p>
    <w:p w14:paraId="058AA0E0">
      <w:r>
        <w:rPr>
          <w:rFonts w:eastAsia="黑体"/>
          <w:b w:val="0"/>
          <w:sz w:val="24"/>
        </w:rPr>
        <w:t>2.2 国内研究进展</w:t>
      </w:r>
    </w:p>
    <w:p w14:paraId="676F7BC0">
      <w:pPr>
        <w:spacing w:line="360" w:lineRule="auto"/>
        <w:ind w:firstLine="480"/>
        <w:jc w:val="both"/>
      </w:pPr>
      <w:r>
        <w:rPr>
          <w:sz w:val="24"/>
        </w:rPr>
        <w:t>国内韧性城市研究起步较晚，早期研究以概念引介与框架梳理为主。李彤玥等系统综述了国外弹性城市的研究框架，梳理了城市系统、气候变化与灾害风险管理等领域的韧性研究进展</w:t>
      </w:r>
      <w:r>
        <w:rPr>
          <w:sz w:val="24"/>
          <w:vertAlign w:val="superscript"/>
        </w:rPr>
        <w:t>[8]</w:t>
      </w:r>
      <w:r>
        <w:rPr>
          <w:sz w:val="24"/>
        </w:rPr>
        <w:t>；邵亦文、徐江基于国际文献综述辨析了韧性概念从工程韧性到演进韧性的认知转型，并提出城市韧性研究的内容框架与评价标准</w:t>
      </w:r>
      <w:r>
        <w:rPr>
          <w:sz w:val="24"/>
          <w:vertAlign w:val="superscript"/>
        </w:rPr>
        <w:t>[9]</w:t>
      </w:r>
      <w:r>
        <w:rPr>
          <w:sz w:val="24"/>
        </w:rPr>
        <w:t>。在标准化层面，国家市场监督管理总局与国家标准化管理委员会发布《安全韧性城市评价指南》（GB/T 40947—2021），围绕安全韧性城市评价提出指标体系、评价方法与</w:t>
      </w:r>
      <w:r>
        <w:rPr>
          <w:rFonts w:hint="eastAsia"/>
          <w:sz w:val="24"/>
        </w:rPr>
        <w:t>打分计算方法要求</w:t>
      </w:r>
      <w:r>
        <w:rPr>
          <w:sz w:val="24"/>
          <w:vertAlign w:val="superscript"/>
        </w:rPr>
        <w:t>[10]</w:t>
      </w:r>
      <w:r>
        <w:rPr>
          <w:sz w:val="24"/>
        </w:rPr>
        <w:t>；</w:t>
      </w:r>
      <w:r>
        <w:rPr>
          <w:rFonts w:hint="eastAsia"/>
          <w:sz w:val="24"/>
        </w:rPr>
        <w:t>北京市发布地方标准《城市韧性评价导则》（DB11/T 2280—2024），构建了空间韧性、工程韧性、管理韧性与社会韧性四个一级维度的评价指标体系</w:t>
      </w:r>
      <w:r>
        <w:rPr>
          <w:sz w:val="24"/>
          <w:vertAlign w:val="superscript"/>
        </w:rPr>
        <w:t>[11]</w:t>
      </w:r>
      <w:r>
        <w:rPr>
          <w:sz w:val="24"/>
        </w:rPr>
        <w:t>。</w:t>
      </w:r>
    </w:p>
    <w:p w14:paraId="6A13DB7C">
      <w:pPr>
        <w:spacing w:line="360" w:lineRule="auto"/>
        <w:ind w:firstLine="480"/>
        <w:jc w:val="both"/>
      </w:pPr>
      <w:r>
        <w:rPr>
          <w:b w:val="0"/>
          <w:sz w:val="24"/>
        </w:rPr>
        <w:t>在指标体系构建与实证应用上，国内研究多沿"内涵分解—指标筛选—赋权评价"的综合指标评价路线展开，研究对象从单一灾种（洪涝、地震）拓展到多灾种综合安全韧性，评价方法涵盖德尔菲法、熵权法、云模型与TOPSIS等。但整体来看，现有指标体系或侧重城市综合韧性而自然灾害情境针对性不足，或指标数量庞大、部分数据难以公开获取，面向超大城市、以自然灾害冲击为主线且可直接落地取数的评价体系仍较为缺乏。</w:t>
      </w:r>
    </w:p>
    <w:p w14:paraId="28470C79">
      <w:r>
        <w:rPr>
          <w:rFonts w:eastAsia="黑体"/>
          <w:b w:val="0"/>
          <w:sz w:val="24"/>
        </w:rPr>
        <w:t>2.3 研究述评</w:t>
      </w:r>
    </w:p>
    <w:p w14:paraId="11E2CD23">
      <w:pPr>
        <w:spacing w:line="360" w:lineRule="auto"/>
        <w:ind w:firstLine="480"/>
        <w:jc w:val="both"/>
      </w:pPr>
      <w:r>
        <w:rPr>
          <w:sz w:val="24"/>
        </w:rPr>
        <w:t>综合国内外研究可以发现：其一，城市安全韧性的评价已从概念讨论走向指标落地，层级化、可量化的指标体系成为主流范式；其二，国外框架（如CRI、BRIC、城市灾害韧性计分卡）维度全面但部分指标数据门槛较高，国内标准具有权威性但指标口径仍面临数据可得性难题；其三，尽管已有研究开始关注灾害风险的级联传播与跨系统传导机制（如Pescaroli和Alexander对级联灾害跨系统传导路径的界定</w:t>
      </w:r>
      <w:r>
        <w:rPr>
          <w:sz w:val="24"/>
          <w:vertAlign w:val="superscript"/>
        </w:rPr>
        <w:t>[12]</w:t>
      </w:r>
      <w:r>
        <w:rPr>
          <w:sz w:val="24"/>
        </w:rPr>
        <w:t>），但在面向超大城市、可落地操作的评估框架层面，指标设计仍较少系统嵌入灾种情境下的传导逻辑。据此，本研究聚焦自然灾害冲击情境，按照"总目标—一级指标—二级指标—三级指标"的决策树式分解逻辑构建指标体系，以数据可得性为硬约束筛选可量化指标，并以代理指标处理不可直接度量的属性，形成面向超大城市、可落地操作的评估框架。</w:t>
      </w:r>
    </w:p>
    <w:p w14:paraId="2B699913">
      <w:pPr>
        <w:numPr>
          <w:ilvl w:val="0"/>
          <w:numId w:val="1"/>
        </w:numPr>
        <w:bidi w:val="0"/>
        <w:ind w:leftChars="0"/>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城市安全韧性的内涵与理论基础</w:t>
      </w:r>
    </w:p>
    <w:p w14:paraId="1468DC72">
      <w:r>
        <w:rPr>
          <w:rFonts w:eastAsia="黑体"/>
          <w:b w:val="0"/>
          <w:sz w:val="24"/>
        </w:rPr>
        <w:t>3.1 城市安全韧性的内涵与特征</w:t>
      </w:r>
    </w:p>
    <w:p w14:paraId="50DF1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城市安全韧性是指城市系统在遭受暴雨洪涝、台风、地震、极端温度等自然灾害外部冲击时，凭借自身结构与组织能力维持基本功能、避免连锁失效与系统性崩溃，并在事后快速恢复、持续改进的能力。其核心特征可归纳为鲁棒性、冗余性、快速性、资源性与适应性五个方面：鲁棒性表征系统在冲击发生的瞬间抵御功能失效、保持核心服务不中断的抗损毁能力；冗余性强调关键设施与通道的备用可替代程度；快速性指向事件发生后应急响应与功能恢复的速度；资源性体现系统在灾害期间调配人力、物资、资金与信息等资源并优化决策的能力；适应性体现城市通过监测预警、预案更新与复盘学习不断调整应对方式的能力。在此基础上，指标体系的构建遵循科学性、系统性、可操作性与数据可得性四项原则，确保各层级指标既能完整刻画韧性内涵，又能在实际评估中落地取数。</w:t>
      </w:r>
    </w:p>
    <w:p w14:paraId="7D950B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城市安全韧性的上述特征并非抽象能力，而是落实在城市运行的具体层面，据此可将其分解为三个相互关联的子系统，构成指标体系的一级维度。城市人员安全韧性关注人口的基本属性、公众的安全素养以及针对弱势群体的保障救助水平，反映人在风险环境中的脆弱性与自救互救能力，对应人口基本属性、安全素养与意识、人员保障与救助三个二级指标；城市设施安全韧性关注基础设施的承载冗余、风险监测设防以及应急响应恢复时效，反映工程系统抵御灾害和快速修复的能力，对应基础设施承载与冗余、风险监测与设防水平、应急响应与恢复时效三个二级指标；城市管理安全韧性关注体制机制、风险防控与资源支撑，反映制度安排与治理能力对安全运行的保障水平，对应公共环境治理能力、风险防控与响应、资源支撑三个二级指标。人员是安全的主体，设施是安全的载体，管理是安全的制度保障，三个维度分别从主体、载体、制度层面刻画城市安全韧性，构成一个完整的功能体系，也构成第三章指标体系的结构基础。</w:t>
      </w:r>
    </w:p>
    <w:p w14:paraId="69D64F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需要说明的是，本研究聚焦于面向自然灾害的城市安全韧性，而非广义的城市公共安全韧性。后者涵盖生产安全、社会治安、公共卫生等多类突发事件，扰动来源范围更广；前者仅针对暴雨、台风、地震、极端温度等自然灾害扰动，聚焦城市系统在自然致灾因子冲击下的抵抗、适应与恢复能力。指标体系中涉及生产安全事故死亡率、公共安全财政支出占比等治理类指标，作为城市整体安全治理能力的代理变量纳入，用以反映城市在面对自然灾害冲击时的管理基础与资源支撑水平，而非直接衡量社会治安或生产安全水平。</w:t>
      </w:r>
    </w:p>
    <w:p w14:paraId="294BD138">
      <w:r>
        <w:rPr>
          <w:rFonts w:eastAsia="黑体"/>
          <w:b w:val="0"/>
          <w:sz w:val="24"/>
        </w:rPr>
        <w:t>3.2 指标体系构建原则</w:t>
      </w:r>
    </w:p>
    <w:p w14:paraId="108EC5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在参考国家标准《安全韧性城市评价指南》（GB/T 40947—2021）客观性、完备性和以评促建三条评价原则的基础上，结合本研究构建指标体系的实证需要，提出科学性、系统性、可操作性、数据可得性四项原则。一是科学性原则，指标体系的维度划分与指标选取以城市安全韧性的内涵特征为依据，鲁棒性、冗余性、快速性、资源性与适应性等特征均有相应指标刻画，避免指标设置脱离韧性理论。二是系统性原则，指标覆盖人员、设施、管理三大领域，层次上逐级包含，避免遗漏关键能力。三是可操作性原则，指标定义清晰、口径明确，能够通过公开渠道获取数据或通过规范方法评估赋值。四是数据可得性原则，在国标客观评估与可落地要求的基础上进一步细化，优先选取官方统计年鉴、政府部门公报和公开规划文件可查的指标，对无法获得公开数据的概念采用口径相近的替代指标或采用定性评估方法，确保指标体系在实证研究中真正可用。</w:t>
      </w:r>
    </w:p>
    <w:p w14:paraId="0D2ED765">
      <w:r>
        <w:rPr>
          <w:rFonts w:eastAsia="黑体"/>
          <w:b w:val="0"/>
          <w:sz w:val="24"/>
        </w:rPr>
        <w:t>3.3 自然灾害冲击下城市安全韧性的作用机理</w:t>
      </w:r>
    </w:p>
    <w:p w14:paraId="4082C4D7">
      <w:pPr>
        <w:spacing w:line="360" w:lineRule="auto"/>
        <w:ind w:firstLine="480"/>
        <w:jc w:val="both"/>
      </w:pPr>
      <w:r>
        <w:rPr>
          <w:b w:val="0"/>
          <w:sz w:val="24"/>
        </w:rPr>
        <w:t>从灾害成因看，超大城市面临的自然灾害可分为五大类：一是气象灾害，包括暴雨洪涝、台风、高温热浪、低温雨雪冰冻、干旱、大雾等，是超大城市发生频率最高、影响范围最广的灾种；二是地震地质灾害，包括地震、滑坡、泥石流、地面沉降等，北京、天津地处华北地震带，重庆、成都位于西南地震活动区，面临较高的地震风险；三是海洋灾害，包括风暴潮、海浪、海平面上升等，主要影响沿海超大城市如上海、天津、广州、深圳；四是生物灾害，包括病虫害、外来物种入侵等，对城市生态系统造成间接影响；五是天文灾害，如太阳风暴等，对城市基础设施的影响相对有限。综合来看，暴雨洪涝、台风、高温热浪、地震是中国超大城市面临的四类主要自然灾害，也是本研究关注的核心扰动类型。</w:t>
      </w:r>
    </w:p>
    <w:p w14:paraId="12BB525F">
      <w:pPr>
        <w:spacing w:line="360" w:lineRule="auto"/>
        <w:ind w:firstLine="480"/>
        <w:jc w:val="both"/>
      </w:pPr>
      <w:r>
        <w:rPr>
          <w:rFonts w:hint="eastAsia"/>
          <w:b w:val="0"/>
          <w:sz w:val="24"/>
        </w:rPr>
        <w:t>自然灾害冲击并非均匀作用于城市系统，而是沿“致灾因子H—暴露度E—脆弱性V—功能损失L—响应与恢复R(t)”逐层传导。致灾因子的强度、持续时间和空间范围决定外部压力；人口、建筑、道路与生命线设施的空间分布决定暴露；年龄结构、设施设防水平与治理准备决定脆弱性；冲击后的伤亡、中断与经济损失构成功能后果；预警、救援、抢修和资源调度进一步决定恢复轨迹。城市安全韧性因此不能只由静态资源存量推断，而应同时观察基线能力与事件过程表现。</w:t>
      </w:r>
    </w:p>
    <w:p w14:paraId="529B0ACF">
      <w:pPr>
        <w:spacing w:line="360" w:lineRule="auto"/>
        <w:ind w:firstLine="480"/>
        <w:jc w:val="both"/>
      </w:pPr>
      <w:r>
        <w:rPr>
          <w:b w:val="0"/>
          <w:sz w:val="24"/>
        </w:rPr>
        <w:t>在人员层级，自然灾害冲击直接威胁生命安全与基本生存条件。暴雨内涝导致人员被困与伤亡，地震造成建筑物倒塌引发的伤亡，极端温度天气威胁老幼病弱等脆弱群体。冲击后果取决于人口暴露程度与脆弱性特征：老年人与未成年人占比越高、流动人口规模越大、残疾人等特殊群体越多，同等灾害下的生命损失风险越高。人员层的韧性体现为灾前的脆弱性控制（人口结构与弱势群体保障）、灾中的自救互救与安全素养（公众安全意识、社区应急避险能力）以及灾后的救助与恢复（保险等社会化风险分担、应急救助），对应人口基本属性、安全素养与意识、人员保障与救助三个二级指标。</w:t>
      </w:r>
    </w:p>
    <w:p w14:paraId="1CFE7447">
      <w:pPr>
        <w:spacing w:line="360" w:lineRule="auto"/>
        <w:ind w:firstLine="480"/>
        <w:jc w:val="both"/>
      </w:pPr>
      <w:r>
        <w:rPr>
          <w:sz w:val="24"/>
        </w:rPr>
        <w:t>在设施层级，自然灾害冲击主要造成生命线工程与城市空间的物理损毁和功能中断。暴雨内涝冲击排水管网与下穿通道，地震损毁供水、供电管网与避难设施，台风导致电力线路倒杆断线。设施层韧性取决于承载冗余（医疗收治承载、供水普及、排水能力）、监测设防（污水处理等水环境防御配套、防灾缓冲空间）与恢复时效（供电等生命线的恢复速度），对应基础设施承载与冗余、风险监测与设防水平、应急响应与恢复时效三个二级指标。设施失效还会放大人员层风险，例如停电导致电梯困人、供水中断引发生活困难，体现层级间的传导耦合。</w:t>
      </w:r>
    </w:p>
    <w:p w14:paraId="39A46367">
      <w:pPr>
        <w:spacing w:line="360" w:lineRule="auto"/>
        <w:ind w:firstLine="480"/>
        <w:jc w:val="both"/>
      </w:pPr>
      <w:r>
        <w:rPr>
          <w:b w:val="0"/>
          <w:sz w:val="24"/>
        </w:rPr>
        <w:t>在管理层级，自然灾害冲击考验城市治理体系的响应能力与资源支撑。灾害发生后，预案启动、隐患排查、执法监管、财政投入与跨部门调度构成管理响应链条；冲击越强，对领导责任落实、风险防控效能与公共安全资源保障的要求越高。管理层韧性体现在公共环境治理水平（环境卫生治理）、风险防控与响应效能（刑事治安风险控制、生产安全事故控制）以及资源支撑能力（公共安全财政投入），对应公共环境治理能力、风险防控与响应、资源支撑三个二级指标。</w:t>
      </w:r>
    </w:p>
    <w:p w14:paraId="0C26BE2E">
      <w:pPr>
        <w:spacing w:line="360" w:lineRule="auto"/>
        <w:ind w:firstLine="480"/>
        <w:jc w:val="both"/>
        <w:rPr>
          <w:rFonts w:hint="eastAsia"/>
          <w:b w:val="0"/>
          <w:sz w:val="24"/>
        </w:rPr>
      </w:pPr>
      <w:r>
        <w:rPr>
          <w:rFonts w:hint="eastAsia"/>
          <w:b w:val="0"/>
          <w:sz w:val="24"/>
        </w:rPr>
        <w:t>三个层级在灾害时间轴上相互耦合。灾前，人员脆弱性与设施冗余决定初始损失潜势，管理层的监测预警与制度准备决定能否提前降低暴露；灾中，设施中断会放大人员风险，管理响应调节救援效率与中断持续时间；灾后，人员救助、设施恢复与管理复盘共同决定城市系统的复原速度。由此，第三章提供“为什么这样评价”的因果机制，第四章则将其转化为“用什么指标评价”的基线与升级框架，二者按照灾害冲击链逐项对应。</w:t>
      </w:r>
    </w:p>
    <w:p w14:paraId="78279C6B">
      <w:pPr>
        <w:rPr>
          <w:rFonts w:hint="eastAsia"/>
          <w:b w:val="0"/>
          <w:sz w:val="24"/>
        </w:rPr>
      </w:pPr>
      <w:r>
        <w:rPr>
          <w:rFonts w:hint="eastAsia" w:eastAsia="黑体"/>
          <w:b w:val="0"/>
          <w:sz w:val="24"/>
        </w:rPr>
        <w:t>3.4 一般城市韧性评价与自然灾害导向评价的差异</w:t>
      </w:r>
    </w:p>
    <w:p w14:paraId="724A83A2">
      <w:pPr>
        <w:spacing w:line="360" w:lineRule="auto"/>
        <w:ind w:firstLine="480"/>
        <w:jc w:val="both"/>
        <w:rPr>
          <w:rFonts w:hint="eastAsia"/>
          <w:b w:val="0"/>
          <w:sz w:val="24"/>
        </w:rPr>
      </w:pPr>
      <w:r>
        <w:rPr>
          <w:rFonts w:hint="eastAsia"/>
          <w:b w:val="0"/>
          <w:sz w:val="24"/>
        </w:rPr>
        <w:t>一般城市韧性评价通常从经济、社会、生态、基础设施与治理等方面描述城市的综合适应能力，其优势是覆盖全面、便于形成常态化城市画像，但如果不显式设置灾害情景，容易以资源存量替代实际抗灾表现。面向自然灾害的安全韧性评价则必须把灾种、强度、暴露、损失和恢复过程纳入同一分析链，并对不同灾种和不同空间单元进行条件化比较。</w:t>
      </w:r>
      <w:r>
        <w:rPr>
          <w:rFonts w:hint="eastAsia"/>
          <w:b w:val="0"/>
          <w:sz w:val="24"/>
          <w:lang w:eastAsia="zh-CN"/>
        </w:rPr>
        <w:fldChar w:fldCharType="begin"/>
      </w:r>
      <w:r>
        <w:rPr>
          <w:rFonts w:hint="eastAsia"/>
          <w:b w:val="0"/>
          <w:sz w:val="24"/>
          <w:lang w:eastAsia="zh-CN"/>
        </w:rPr>
        <w:instrText xml:space="preserve"> REF _Ref11161 \h </w:instrText>
      </w:r>
      <w:r>
        <w:rPr>
          <w:rFonts w:hint="eastAsia"/>
          <w:b w:val="0"/>
          <w:sz w:val="24"/>
          <w:lang w:eastAsia="zh-CN"/>
        </w:rPr>
        <w:fldChar w:fldCharType="separate"/>
      </w:r>
      <w:r>
        <w:t>表1</w:t>
      </w:r>
      <w:r>
        <w:rPr>
          <w:rFonts w:hint="eastAsia"/>
          <w:b w:val="0"/>
          <w:sz w:val="24"/>
          <w:lang w:eastAsia="zh-CN"/>
        </w:rPr>
        <w:fldChar w:fldCharType="end"/>
      </w:r>
      <w:r>
        <w:rPr>
          <w:rFonts w:hint="eastAsia"/>
          <w:b w:val="0"/>
          <w:sz w:val="24"/>
        </w:rPr>
        <w:t>归纳两类评价的关键差异以及本研究的升级处理。</w:t>
      </w:r>
    </w:p>
    <w:p w14:paraId="48291030">
      <w:pPr>
        <w:pStyle w:val="3"/>
        <w:keepNext/>
        <w:jc w:val="center"/>
        <w:rPr>
          <w:rFonts w:hint="eastAsia" w:eastAsia="黑体"/>
          <w:lang w:val="en-US" w:eastAsia="zh-CN"/>
        </w:rPr>
      </w:pPr>
      <w:bookmarkStart w:id="0" w:name="_Ref11161"/>
      <w:r>
        <w:t>表</w:t>
      </w:r>
      <w:r>
        <w:fldChar w:fldCharType="begin"/>
      </w:r>
      <w:r>
        <w:instrText xml:space="preserve"> SEQ 表 \* ARABIC </w:instrText>
      </w:r>
      <w:r>
        <w:fldChar w:fldCharType="separate"/>
      </w:r>
      <w:r>
        <w:t>1</w:t>
      </w:r>
      <w:r>
        <w:fldChar w:fldCharType="end"/>
      </w:r>
      <w:bookmarkEnd w:id="0"/>
      <w:r>
        <w:rPr>
          <w:rFonts w:hint="eastAsia"/>
          <w:lang w:val="en-US" w:eastAsia="zh-CN"/>
        </w:rPr>
        <w:t xml:space="preserve"> </w:t>
      </w:r>
      <w:r>
        <w:t>一般城市韧性评价与自然灾害导向评价的对比</w:t>
      </w:r>
    </w:p>
    <w:tbl>
      <w:tblPr>
        <w:tblStyle w:val="4"/>
        <w:tblW w:w="5000" w:type="pct"/>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638"/>
        <w:gridCol w:w="2383"/>
        <w:gridCol w:w="2570"/>
        <w:gridCol w:w="2915"/>
      </w:tblGrid>
      <w:tr w14:paraId="7F4F09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trPr>
        <w:tc>
          <w:tcPr>
            <w:tcW w:w="375" w:type="pct"/>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1D928EE9">
            <w:pPr>
              <w:spacing w:after="0"/>
              <w:jc w:val="center"/>
              <w:rPr>
                <w:b w:val="0"/>
                <w:color w:val="000000"/>
              </w:rPr>
            </w:pPr>
            <w:r>
              <w:rPr>
                <w:rFonts w:ascii="微软雅黑" w:hAnsi="微软雅黑" w:eastAsia="微软雅黑"/>
                <w:b w:val="0"/>
                <w:color w:val="000000"/>
                <w:sz w:val="16"/>
              </w:rPr>
              <w:t>比较维度</w:t>
            </w:r>
          </w:p>
        </w:tc>
        <w:tc>
          <w:tcPr>
            <w:tcW w:w="1400"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7B913F72">
            <w:pPr>
              <w:spacing w:after="0"/>
              <w:jc w:val="center"/>
              <w:rPr>
                <w:b w:val="0"/>
                <w:color w:val="000000"/>
              </w:rPr>
            </w:pPr>
            <w:r>
              <w:rPr>
                <w:rFonts w:ascii="微软雅黑" w:hAnsi="微软雅黑" w:eastAsia="微软雅黑"/>
                <w:b w:val="0"/>
                <w:color w:val="000000"/>
                <w:sz w:val="16"/>
              </w:rPr>
              <w:t>一般或未面向特定灾害的评价</w:t>
            </w:r>
          </w:p>
        </w:tc>
        <w:tc>
          <w:tcPr>
            <w:tcW w:w="1510"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097A8F9F">
            <w:pPr>
              <w:spacing w:after="0"/>
              <w:jc w:val="center"/>
              <w:rPr>
                <w:b w:val="0"/>
                <w:color w:val="000000"/>
              </w:rPr>
            </w:pPr>
            <w:r>
              <w:rPr>
                <w:rFonts w:ascii="微软雅黑" w:hAnsi="微软雅黑" w:eastAsia="微软雅黑"/>
                <w:b w:val="0"/>
                <w:color w:val="000000"/>
                <w:sz w:val="16"/>
              </w:rPr>
              <w:t>面向自然灾害的安全韧性评价</w:t>
            </w:r>
          </w:p>
        </w:tc>
        <w:tc>
          <w:tcPr>
            <w:tcW w:w="1713"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66A173A5">
            <w:pPr>
              <w:spacing w:after="0"/>
              <w:jc w:val="center"/>
              <w:rPr>
                <w:b w:val="0"/>
                <w:color w:val="000000"/>
              </w:rPr>
            </w:pPr>
            <w:r>
              <w:rPr>
                <w:rFonts w:ascii="微软雅黑" w:hAnsi="微软雅黑" w:eastAsia="微软雅黑"/>
                <w:b w:val="0"/>
                <w:color w:val="000000"/>
                <w:sz w:val="16"/>
              </w:rPr>
              <w:t>本研究升级处理</w:t>
            </w:r>
          </w:p>
        </w:tc>
      </w:tr>
      <w:tr w14:paraId="70DF34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B035B01">
            <w:pPr>
              <w:spacing w:after="0" w:line="252" w:lineRule="auto"/>
              <w:jc w:val="center"/>
              <w:rPr>
                <w:b w:val="0"/>
                <w:color w:val="000000"/>
              </w:rPr>
            </w:pPr>
            <w:r>
              <w:rPr>
                <w:rFonts w:ascii="宋体" w:hAnsi="宋体" w:eastAsia="宋体"/>
                <w:b w:val="0"/>
                <w:color w:val="000000"/>
                <w:sz w:val="16"/>
              </w:rPr>
              <w:t>核心问题</w:t>
            </w:r>
          </w:p>
        </w:tc>
        <w:tc>
          <w:tcPr>
            <w:tcW w:w="1400"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5FD9B160">
            <w:pPr>
              <w:spacing w:after="0" w:line="252" w:lineRule="auto"/>
              <w:jc w:val="center"/>
              <w:rPr>
                <w:b w:val="0"/>
                <w:color w:val="000000"/>
              </w:rPr>
            </w:pPr>
            <w:r>
              <w:rPr>
                <w:rFonts w:ascii="宋体" w:hAnsi="宋体" w:eastAsia="宋体"/>
                <w:b w:val="0"/>
                <w:color w:val="000000"/>
                <w:sz w:val="16"/>
              </w:rPr>
              <w:t>城市是否具备持续发展和适应变化的综合能力</w:t>
            </w:r>
          </w:p>
        </w:tc>
        <w:tc>
          <w:tcPr>
            <w:tcW w:w="1510"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3A37453F">
            <w:pPr>
              <w:spacing w:after="0" w:line="252" w:lineRule="auto"/>
              <w:jc w:val="center"/>
              <w:rPr>
                <w:b w:val="0"/>
                <w:color w:val="000000"/>
              </w:rPr>
            </w:pPr>
            <w:r>
              <w:rPr>
                <w:rFonts w:ascii="宋体" w:hAnsi="宋体" w:eastAsia="宋体"/>
                <w:b w:val="0"/>
                <w:color w:val="000000"/>
                <w:sz w:val="16"/>
              </w:rPr>
              <w:t>在特定自然灾害冲击下能否减少损失并快速恢复</w:t>
            </w:r>
          </w:p>
        </w:tc>
        <w:tc>
          <w:tcPr>
            <w:tcW w:w="1713"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7AA2F899">
            <w:pPr>
              <w:spacing w:after="0" w:line="252" w:lineRule="auto"/>
              <w:jc w:val="center"/>
              <w:rPr>
                <w:b w:val="0"/>
                <w:color w:val="000000"/>
              </w:rPr>
            </w:pPr>
            <w:r>
              <w:rPr>
                <w:rFonts w:ascii="宋体" w:hAnsi="宋体" w:eastAsia="宋体"/>
                <w:b w:val="0"/>
                <w:color w:val="000000"/>
                <w:sz w:val="16"/>
              </w:rPr>
              <w:t>以年度基线回答“具备什么”，以事件绩效回答“表现如何”</w:t>
            </w:r>
          </w:p>
        </w:tc>
      </w:tr>
      <w:tr w14:paraId="361FE5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37D434DC">
            <w:pPr>
              <w:spacing w:after="0" w:line="252" w:lineRule="auto"/>
              <w:jc w:val="center"/>
              <w:rPr>
                <w:b w:val="0"/>
                <w:color w:val="000000"/>
              </w:rPr>
            </w:pPr>
            <w:r>
              <w:rPr>
                <w:rFonts w:ascii="宋体" w:hAnsi="宋体" w:eastAsia="宋体"/>
                <w:b w:val="0"/>
                <w:color w:val="000000"/>
                <w:sz w:val="16"/>
              </w:rPr>
              <w:t>扰动表示</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3A7E319B">
            <w:pPr>
              <w:spacing w:after="0" w:line="252" w:lineRule="auto"/>
              <w:jc w:val="center"/>
              <w:rPr>
                <w:b w:val="0"/>
                <w:color w:val="000000"/>
              </w:rPr>
            </w:pPr>
            <w:r>
              <w:rPr>
                <w:rFonts w:ascii="宋体" w:hAnsi="宋体" w:eastAsia="宋体"/>
                <w:b w:val="0"/>
                <w:color w:val="000000"/>
                <w:sz w:val="16"/>
              </w:rPr>
              <w:t>通常不指定灾种，或将风险作为一般背景</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7D1BD874">
            <w:pPr>
              <w:spacing w:after="0" w:line="252" w:lineRule="auto"/>
              <w:jc w:val="center"/>
              <w:rPr>
                <w:b w:val="0"/>
                <w:color w:val="000000"/>
              </w:rPr>
            </w:pPr>
            <w:r>
              <w:rPr>
                <w:rFonts w:ascii="宋体" w:hAnsi="宋体" w:eastAsia="宋体"/>
                <w:b w:val="0"/>
                <w:color w:val="000000"/>
                <w:sz w:val="16"/>
              </w:rPr>
              <w:t>明确灾种、强度、持续时间、影响范围和预警等级</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53119F49">
            <w:pPr>
              <w:spacing w:after="0" w:line="252" w:lineRule="auto"/>
              <w:jc w:val="center"/>
              <w:rPr>
                <w:b w:val="0"/>
                <w:color w:val="000000"/>
              </w:rPr>
            </w:pPr>
            <w:r>
              <w:rPr>
                <w:rFonts w:ascii="宋体" w:hAnsi="宋体" w:eastAsia="宋体"/>
                <w:b w:val="0"/>
                <w:color w:val="000000"/>
                <w:sz w:val="16"/>
              </w:rPr>
              <w:t>设置暴雨洪涝、台风、极端高温、地震四类核心情景</w:t>
            </w:r>
          </w:p>
        </w:tc>
      </w:tr>
      <w:tr w14:paraId="145F6F0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488441F2">
            <w:pPr>
              <w:spacing w:after="0" w:line="252" w:lineRule="auto"/>
              <w:jc w:val="center"/>
              <w:rPr>
                <w:b w:val="0"/>
                <w:color w:val="000000"/>
              </w:rPr>
            </w:pPr>
            <w:r>
              <w:rPr>
                <w:rFonts w:ascii="宋体" w:hAnsi="宋体" w:eastAsia="宋体"/>
                <w:b w:val="0"/>
                <w:color w:val="000000"/>
                <w:sz w:val="16"/>
              </w:rPr>
              <w:t>指标结构</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3E3A0ACF">
            <w:pPr>
              <w:spacing w:after="0" w:line="252" w:lineRule="auto"/>
              <w:jc w:val="center"/>
              <w:rPr>
                <w:b w:val="0"/>
                <w:color w:val="000000"/>
              </w:rPr>
            </w:pPr>
            <w:r>
              <w:rPr>
                <w:rFonts w:ascii="宋体" w:hAnsi="宋体" w:eastAsia="宋体"/>
                <w:b w:val="0"/>
                <w:color w:val="000000"/>
                <w:sz w:val="16"/>
              </w:rPr>
              <w:t>以经济、社会、生态、设施、治理等存量指标为主</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7FF31C50">
            <w:pPr>
              <w:spacing w:after="0" w:line="252" w:lineRule="auto"/>
              <w:jc w:val="center"/>
              <w:rPr>
                <w:b w:val="0"/>
                <w:color w:val="000000"/>
              </w:rPr>
            </w:pPr>
            <w:r>
              <w:rPr>
                <w:rFonts w:ascii="宋体" w:hAnsi="宋体" w:eastAsia="宋体"/>
                <w:b w:val="0"/>
                <w:color w:val="000000"/>
                <w:sz w:val="16"/>
              </w:rPr>
              <w:t>由致灾因子、暴露、脆弱性、响应和恢复指标共同构成</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308CCF36">
            <w:pPr>
              <w:spacing w:after="0" w:line="252" w:lineRule="auto"/>
              <w:jc w:val="center"/>
              <w:rPr>
                <w:b w:val="0"/>
                <w:color w:val="000000"/>
              </w:rPr>
            </w:pPr>
            <w:r>
              <w:rPr>
                <w:rFonts w:ascii="宋体" w:hAnsi="宋体" w:eastAsia="宋体"/>
                <w:b w:val="0"/>
                <w:color w:val="000000"/>
                <w:sz w:val="16"/>
              </w:rPr>
              <w:t>保留原16项能力指标，新增灾害压力与过程绩效指标</w:t>
            </w:r>
          </w:p>
        </w:tc>
      </w:tr>
      <w:tr w14:paraId="48F885B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1DCBE7A9">
            <w:pPr>
              <w:spacing w:after="0" w:line="252" w:lineRule="auto"/>
              <w:jc w:val="center"/>
              <w:rPr>
                <w:b w:val="0"/>
                <w:color w:val="000000"/>
              </w:rPr>
            </w:pPr>
            <w:r>
              <w:rPr>
                <w:rFonts w:ascii="宋体" w:hAnsi="宋体" w:eastAsia="宋体"/>
                <w:b w:val="0"/>
                <w:color w:val="000000"/>
                <w:sz w:val="16"/>
              </w:rPr>
              <w:t>时间尺度</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0ABC8BEF">
            <w:pPr>
              <w:spacing w:after="0" w:line="252" w:lineRule="auto"/>
              <w:jc w:val="center"/>
              <w:rPr>
                <w:b w:val="0"/>
                <w:color w:val="000000"/>
              </w:rPr>
            </w:pPr>
            <w:r>
              <w:rPr>
                <w:rFonts w:ascii="宋体" w:hAnsi="宋体" w:eastAsia="宋体"/>
                <w:b w:val="0"/>
                <w:color w:val="000000"/>
                <w:sz w:val="16"/>
              </w:rPr>
              <w:t>多采用年度截面或多年趋势</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3A0FB78F">
            <w:pPr>
              <w:spacing w:after="0" w:line="252" w:lineRule="auto"/>
              <w:jc w:val="center"/>
              <w:rPr>
                <w:b w:val="0"/>
                <w:color w:val="000000"/>
              </w:rPr>
            </w:pPr>
            <w:r>
              <w:rPr>
                <w:rFonts w:ascii="宋体" w:hAnsi="宋体" w:eastAsia="宋体"/>
                <w:b w:val="0"/>
                <w:color w:val="000000"/>
                <w:sz w:val="16"/>
              </w:rPr>
              <w:t>需要月度季节变化与事件发生前后小时或日尺度</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3E47C309">
            <w:pPr>
              <w:spacing w:after="0" w:line="252" w:lineRule="auto"/>
              <w:jc w:val="center"/>
              <w:rPr>
                <w:b w:val="0"/>
                <w:color w:val="000000"/>
              </w:rPr>
            </w:pPr>
            <w:r>
              <w:rPr>
                <w:rFonts w:ascii="宋体" w:hAnsi="宋体" w:eastAsia="宋体"/>
                <w:b w:val="0"/>
                <w:color w:val="000000"/>
                <w:sz w:val="16"/>
              </w:rPr>
              <w:t>慢变量年度更新，快变量按月或按事件采集</w:t>
            </w:r>
          </w:p>
        </w:tc>
      </w:tr>
      <w:tr w14:paraId="28E379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343EEBAC">
            <w:pPr>
              <w:spacing w:after="0" w:line="252" w:lineRule="auto"/>
              <w:jc w:val="center"/>
              <w:rPr>
                <w:b w:val="0"/>
                <w:color w:val="000000"/>
              </w:rPr>
            </w:pPr>
            <w:r>
              <w:rPr>
                <w:rFonts w:ascii="宋体" w:hAnsi="宋体" w:eastAsia="宋体"/>
                <w:b w:val="0"/>
                <w:color w:val="000000"/>
                <w:sz w:val="16"/>
              </w:rPr>
              <w:t>空间尺度</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2F5891DB">
            <w:pPr>
              <w:spacing w:after="0" w:line="252" w:lineRule="auto"/>
              <w:jc w:val="center"/>
              <w:rPr>
                <w:b w:val="0"/>
                <w:color w:val="000000"/>
              </w:rPr>
            </w:pPr>
            <w:r>
              <w:rPr>
                <w:rFonts w:ascii="宋体" w:hAnsi="宋体" w:eastAsia="宋体"/>
                <w:b w:val="0"/>
                <w:color w:val="000000"/>
                <w:sz w:val="16"/>
              </w:rPr>
              <w:t>多在城市整体尺度比较</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3F68A3DE">
            <w:pPr>
              <w:spacing w:after="0" w:line="252" w:lineRule="auto"/>
              <w:jc w:val="center"/>
              <w:rPr>
                <w:b w:val="0"/>
                <w:color w:val="000000"/>
              </w:rPr>
            </w:pPr>
            <w:r>
              <w:rPr>
                <w:rFonts w:ascii="宋体" w:hAnsi="宋体" w:eastAsia="宋体"/>
                <w:b w:val="0"/>
                <w:color w:val="000000"/>
                <w:sz w:val="16"/>
              </w:rPr>
              <w:t>要求区县、街道、站点或网格识别局部高风险</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1CD3D5BC">
            <w:pPr>
              <w:spacing w:after="0" w:line="252" w:lineRule="auto"/>
              <w:jc w:val="center"/>
              <w:rPr>
                <w:b w:val="0"/>
                <w:color w:val="000000"/>
              </w:rPr>
            </w:pPr>
            <w:r>
              <w:rPr>
                <w:rFonts w:ascii="宋体" w:hAnsi="宋体" w:eastAsia="宋体"/>
                <w:b w:val="0"/>
                <w:color w:val="000000"/>
                <w:sz w:val="16"/>
              </w:rPr>
              <w:t>以行政区划代码和经纬度实现多尺度空间关联</w:t>
            </w:r>
          </w:p>
        </w:tc>
      </w:tr>
      <w:tr w14:paraId="6F011D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nil"/>
              <w:right w:val="nil"/>
            </w:tcBorders>
            <w:shd w:val="clear" w:color="auto" w:fill="FFFFFF"/>
            <w:tcMar>
              <w:top w:w="80" w:type="dxa"/>
              <w:left w:w="100" w:type="dxa"/>
              <w:bottom w:w="80" w:type="dxa"/>
              <w:right w:w="100" w:type="dxa"/>
            </w:tcMar>
            <w:vAlign w:val="center"/>
          </w:tcPr>
          <w:p w14:paraId="6D7CE9DD">
            <w:pPr>
              <w:spacing w:after="0" w:line="252" w:lineRule="auto"/>
              <w:jc w:val="center"/>
              <w:rPr>
                <w:b w:val="0"/>
                <w:color w:val="000000"/>
              </w:rPr>
            </w:pPr>
            <w:r>
              <w:rPr>
                <w:rFonts w:ascii="宋体" w:hAnsi="宋体" w:eastAsia="宋体"/>
                <w:b w:val="0"/>
                <w:color w:val="000000"/>
                <w:sz w:val="16"/>
              </w:rPr>
              <w:t>可比逻辑</w:t>
            </w:r>
          </w:p>
        </w:tc>
        <w:tc>
          <w:tcPr>
            <w:tcW w:w="1400" w:type="pct"/>
            <w:tcBorders>
              <w:top w:val="nil"/>
              <w:left w:val="nil"/>
              <w:bottom w:val="nil"/>
              <w:right w:val="nil"/>
            </w:tcBorders>
            <w:shd w:val="clear" w:color="auto" w:fill="FFFFFF"/>
            <w:tcMar>
              <w:top w:w="80" w:type="dxa"/>
              <w:left w:w="100" w:type="dxa"/>
              <w:bottom w:w="80" w:type="dxa"/>
              <w:right w:w="100" w:type="dxa"/>
            </w:tcMar>
            <w:vAlign w:val="center"/>
          </w:tcPr>
          <w:p w14:paraId="0A2BDA62">
            <w:pPr>
              <w:spacing w:after="0" w:line="252" w:lineRule="auto"/>
              <w:jc w:val="center"/>
              <w:rPr>
                <w:b w:val="0"/>
                <w:color w:val="000000"/>
              </w:rPr>
            </w:pPr>
            <w:r>
              <w:rPr>
                <w:rFonts w:ascii="宋体" w:hAnsi="宋体" w:eastAsia="宋体"/>
                <w:b w:val="0"/>
                <w:color w:val="000000"/>
                <w:sz w:val="16"/>
              </w:rPr>
              <w:t>比较资源存量或综合得分</w:t>
            </w:r>
          </w:p>
        </w:tc>
        <w:tc>
          <w:tcPr>
            <w:tcW w:w="1510" w:type="pct"/>
            <w:tcBorders>
              <w:top w:val="nil"/>
              <w:left w:val="nil"/>
              <w:bottom w:val="nil"/>
              <w:right w:val="nil"/>
            </w:tcBorders>
            <w:shd w:val="clear" w:color="auto" w:fill="FFFFFF"/>
            <w:tcMar>
              <w:top w:w="80" w:type="dxa"/>
              <w:left w:w="100" w:type="dxa"/>
              <w:bottom w:w="80" w:type="dxa"/>
              <w:right w:w="100" w:type="dxa"/>
            </w:tcMar>
            <w:vAlign w:val="center"/>
          </w:tcPr>
          <w:p w14:paraId="36BEAA04">
            <w:pPr>
              <w:spacing w:after="0" w:line="252" w:lineRule="auto"/>
              <w:jc w:val="center"/>
              <w:rPr>
                <w:b w:val="0"/>
                <w:color w:val="000000"/>
              </w:rPr>
            </w:pPr>
            <w:r>
              <w:rPr>
                <w:rFonts w:ascii="宋体" w:hAnsi="宋体" w:eastAsia="宋体"/>
                <w:b w:val="0"/>
                <w:color w:val="000000"/>
                <w:sz w:val="16"/>
              </w:rPr>
              <w:t>在相近灾害压力下比较损失率、响应时滞和恢复速度</w:t>
            </w:r>
          </w:p>
        </w:tc>
        <w:tc>
          <w:tcPr>
            <w:tcW w:w="1713" w:type="pct"/>
            <w:tcBorders>
              <w:top w:val="nil"/>
              <w:left w:val="nil"/>
              <w:bottom w:val="nil"/>
              <w:right w:val="nil"/>
            </w:tcBorders>
            <w:shd w:val="clear" w:color="auto" w:fill="FFFFFF"/>
            <w:tcMar>
              <w:top w:w="80" w:type="dxa"/>
              <w:left w:w="100" w:type="dxa"/>
              <w:bottom w:w="80" w:type="dxa"/>
              <w:right w:w="100" w:type="dxa"/>
            </w:tcMar>
            <w:vAlign w:val="center"/>
          </w:tcPr>
          <w:p w14:paraId="19B2D0F3">
            <w:pPr>
              <w:spacing w:after="0" w:line="252" w:lineRule="auto"/>
              <w:jc w:val="center"/>
              <w:rPr>
                <w:b w:val="0"/>
                <w:color w:val="000000"/>
              </w:rPr>
            </w:pPr>
            <w:r>
              <w:rPr>
                <w:rFonts w:ascii="宋体" w:hAnsi="宋体" w:eastAsia="宋体"/>
                <w:b w:val="0"/>
                <w:color w:val="000000"/>
                <w:sz w:val="16"/>
              </w:rPr>
              <w:t>按灾种和强度分层，不把不同冲击条件下的结果直接排序</w:t>
            </w:r>
          </w:p>
        </w:tc>
      </w:tr>
      <w:tr w14:paraId="2F5303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375"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3F137426">
            <w:pPr>
              <w:spacing w:after="0" w:line="252" w:lineRule="auto"/>
              <w:jc w:val="center"/>
              <w:rPr>
                <w:b w:val="0"/>
                <w:color w:val="000000"/>
              </w:rPr>
            </w:pPr>
            <w:r>
              <w:rPr>
                <w:rFonts w:ascii="宋体" w:hAnsi="宋体" w:eastAsia="宋体"/>
                <w:b w:val="0"/>
                <w:color w:val="000000"/>
                <w:sz w:val="16"/>
              </w:rPr>
              <w:t>结果解释</w:t>
            </w:r>
          </w:p>
        </w:tc>
        <w:tc>
          <w:tcPr>
            <w:tcW w:w="1400"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2FB33EC">
            <w:pPr>
              <w:spacing w:after="0" w:line="252" w:lineRule="auto"/>
              <w:jc w:val="center"/>
              <w:rPr>
                <w:b w:val="0"/>
                <w:color w:val="000000"/>
              </w:rPr>
            </w:pPr>
            <w:r>
              <w:rPr>
                <w:rFonts w:ascii="宋体" w:hAnsi="宋体" w:eastAsia="宋体"/>
                <w:b w:val="0"/>
                <w:color w:val="000000"/>
                <w:sz w:val="16"/>
              </w:rPr>
              <w:t>形成综合画像与长期建设短板</w:t>
            </w:r>
          </w:p>
        </w:tc>
        <w:tc>
          <w:tcPr>
            <w:tcW w:w="1510"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7212A21">
            <w:pPr>
              <w:spacing w:after="0" w:line="252" w:lineRule="auto"/>
              <w:jc w:val="center"/>
              <w:rPr>
                <w:b w:val="0"/>
                <w:color w:val="000000"/>
              </w:rPr>
            </w:pPr>
            <w:r>
              <w:rPr>
                <w:rFonts w:ascii="宋体" w:hAnsi="宋体" w:eastAsia="宋体"/>
                <w:b w:val="0"/>
                <w:color w:val="000000"/>
                <w:sz w:val="16"/>
              </w:rPr>
              <w:t>识别特定灾害、特定时段和特定区域的失效环节</w:t>
            </w:r>
          </w:p>
        </w:tc>
        <w:tc>
          <w:tcPr>
            <w:tcW w:w="1713"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676DCCFC">
            <w:pPr>
              <w:spacing w:after="0" w:line="252" w:lineRule="auto"/>
              <w:jc w:val="center"/>
              <w:rPr>
                <w:b w:val="0"/>
                <w:color w:val="000000"/>
              </w:rPr>
            </w:pPr>
            <w:r>
              <w:rPr>
                <w:rFonts w:ascii="宋体" w:hAnsi="宋体" w:eastAsia="宋体"/>
                <w:b w:val="0"/>
                <w:color w:val="000000"/>
                <w:sz w:val="16"/>
              </w:rPr>
              <w:t>同时输出年度画像、区县短板图、月度轨迹和事件恢复曲线</w:t>
            </w:r>
          </w:p>
        </w:tc>
      </w:tr>
    </w:tbl>
    <w:p w14:paraId="148873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sz w:val="24"/>
        </w:rPr>
      </w:pPr>
      <w:r>
        <w:rPr>
          <w:rFonts w:hint="eastAsia"/>
          <w:b w:val="0"/>
          <w:sz w:val="24"/>
        </w:rPr>
        <w:t>因此，两类评价并非相互替代。一般韧性指标可作为灾前基础能力和长期建设水平的基线；自然灾害导向指标负责识别外部压力及冲击后的实际功能变化。若只有前者，无法判断高分是否在灾害中兑现；若只有后者，又难以解释一次事件表现背后的结构性原因。本研究采用“基线能力＋灾害压力＋过程绩效”的衔接方式。</w:t>
      </w:r>
    </w:p>
    <w:p w14:paraId="7810A23D">
      <w:pPr>
        <w:numPr>
          <w:ilvl w:val="0"/>
          <w:numId w:val="1"/>
        </w:numPr>
        <w:bidi w:val="0"/>
        <w:ind w:leftChars="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城市安全韧性评估指标体系构建</w:t>
      </w:r>
    </w:p>
    <w:p w14:paraId="24AF6B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依据上述理论基础与构建原则，本研究设计了“总目标—一级指标—二级指标—三级指标”逐层包含的城市安全韧性评价指标体系。以城市安全韧性水平为总目标，下设人员安全韧性、设施安全韧性、管理安全韧性三个一级指标，分别对应人的脆弱性与安全素养、工程系统的抵御与保障能力、制度机制与治理支撑能力；三个维度进一步细分为九个二级指标，并最终落实到十六个可测三级指标，形成从系统维度到能力领域再到具体数据层层细化的完整链条。本章首先说明总体框架与层级关系，其次逐一阐释三个一级指标的内涵，最后给出完整的三级指标体系表。</w:t>
      </w:r>
    </w:p>
    <w:p w14:paraId="05E948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4.1 总体框架</w:t>
      </w:r>
    </w:p>
    <w:p w14:paraId="7781E6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sz w:val="24"/>
        </w:rPr>
        <w:t>3.3节从自然灾害冲击的传导路径出发，回答了城市安全韧性为何需要按人员、设施、管理三个层级开展评价；本节进一步说明如何将上述层级落地为可采集、可计算的指标体系。城市安全韧性评价指标体系以城市安全韧性水平为总目标，下设城市人员安全韧性、城市设施安全韧性、城市管理安全韧性三个一级指标，每个一级指标下再设三个二级指标，共九个二级指标，二级指标下再细分为十六个三级指标，形成目标、一级、二级、三级四个层级逐层包含的结构。一级指标界定评价领域，二级指标界定能力类别，三级指标是可采集、可计算或可评估的具体数据项。国家标准《安全韧性城市评价指南》（GB/T 40947—2021）围绕同一框架设置了13项二级指标，本研究依据数据可得性原则并结合超大城市安全运行特点，在国标二级指标框架基础上精简为九项，每个维度保留三个核心能力类别。</w:t>
      </w:r>
    </w:p>
    <w:p w14:paraId="63FAC8AB">
      <w:pPr>
        <w:spacing w:line="360" w:lineRule="auto"/>
        <w:ind w:firstLine="480"/>
        <w:jc w:val="both"/>
      </w:pPr>
      <w:r>
        <w:rPr>
          <w:b w:val="0"/>
          <w:sz w:val="24"/>
        </w:rPr>
        <w:t>需要特别说明的是，本指标体系实质上是一棵"决策树"式的层级分解树，各级指标指代明确：要判定一个城市的安全韧性水平高，首先需回答"从哪些方面表现好才算韧性高"，一级指标即给出判定韧性需要考察的方面清单——人员、设施、管理三大领域须同时表现良好；进一步判断"某方面表现好"，需要考察该方面在哪些更细的能力类别上表现好，二级指标即对应这些能力类别；而能力类别最终要体现为可观测、可量化的具体属性，三级指标即落到这些属性上。因此，一级指标指"韧性高需考察的方面"，二级指标指"某方面表现好的能力类别"，三级指标指"能力类别对应的可量化属性"。对于某些能力类别无法找到直接度量属性的情形，本体系采取"曲线救国"策略，选取与之一致性高、数据公开可得的相关指标作为代理指标（如以群众安全感代理市民安全意识水平），并在指标释义中注明代理关系与口径差异。这种树形分解逻辑保证指标逐层包含、上下支撑，评价过程可追溯、可解释。</w:t>
      </w:r>
    </w:p>
    <w:p w14:paraId="10E9AF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四个层级具有明确的递进关系。总目标层的城市安全韧性水平，是城市在灾害冲击下承受影响、适应变化并恢复运行的综合能力的总括，也是整个指标体系评价的总依据。一级层将这一总能力分解为人员、设施、管理三个子系统：人员是安全的主体，设施是安全的载体，管理是安全的制度保障，三者分别刻画脆弱性与应对能力、抗灾能力与恢复效率、制度与治理的支撑水平。二级层进一步将每个子系统切分为可管理的能力类别，人员维度沿属性、素养、保障展开，设施维度沿承载、监测、恢复展开，管理维度沿体制、防控、资源展开，每一类别对应韧性形成过程中的一个关键环节。三级层则将能力类别落实为可操作的具体指标，直接对应公开统计数据或可评估的政策文本。四个层级自上而下逐层分解、自下而上逐层支撑，下层指标是上层指标的分解与具体化，上层指标是下层指标的归纳与统摄，从而保证指标体系既覆盖城市安全韧性的全部领域，又能落到可采集的数据层面。在超大城市语境下，人口高度集聚使脆弱性指标（年龄结构、流动人口）的意义更突出，生命线工程规模与复杂性使设施承载与恢复类指标更为关键，多层治理结构使监管履职类指标更具区分度，指标释义中将结合这些特征逐一说明。指标体系总体框架如图1所示。</w:t>
      </w:r>
    </w:p>
    <w:p w14:paraId="03A632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8595" cy="4613910"/>
            <wp:effectExtent l="0" t="0" r="1905" b="8890"/>
            <wp:docPr id="1" name="图片 1" descr="图一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一9.23"/>
                    <pic:cNvPicPr>
                      <a:picLocks noChangeAspect="1"/>
                    </pic:cNvPicPr>
                  </pic:nvPicPr>
                  <pic:blipFill>
                    <a:blip r:embed="rId4"/>
                    <a:stretch>
                      <a:fillRect/>
                    </a:stretch>
                  </pic:blipFill>
                  <pic:spPr>
                    <a:xfrm>
                      <a:off x="0" y="0"/>
                      <a:ext cx="5268595" cy="4613910"/>
                    </a:xfrm>
                    <a:prstGeom prst="rect">
                      <a:avLst/>
                    </a:prstGeom>
                  </pic:spPr>
                </pic:pic>
              </a:graphicData>
            </a:graphic>
          </wp:inline>
        </w:drawing>
      </w:r>
    </w:p>
    <w:p w14:paraId="53839500">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eastAsia="黑体"/>
          <w:b w:val="0"/>
          <w:bCs w:val="0"/>
          <w:sz w:val="24"/>
          <w:szCs w:val="24"/>
          <w:lang w:val="en-US" w:eastAsia="zh-CN"/>
        </w:rPr>
      </w:pPr>
      <w:bookmarkStart w:id="1" w:name="_Ref13483"/>
      <w:r>
        <w:t>图</w:t>
      </w:r>
      <w:r>
        <w:fldChar w:fldCharType="begin"/>
      </w:r>
      <w:r>
        <w:instrText xml:space="preserve"> SEQ 图 \* ARABIC </w:instrText>
      </w:r>
      <w:r>
        <w:fldChar w:fldCharType="separate"/>
      </w:r>
      <w:r>
        <w:t>1</w:t>
      </w:r>
      <w:r>
        <w:fldChar w:fldCharType="end"/>
      </w:r>
      <w:bookmarkEnd w:id="1"/>
      <w:r>
        <w:rPr>
          <w:rFonts w:hint="eastAsia"/>
          <w:lang w:val="en-US" w:eastAsia="zh-CN"/>
        </w:rPr>
        <w:t xml:space="preserve"> </w:t>
      </w:r>
      <w:r>
        <w:rPr>
          <w:sz w:val="21"/>
        </w:rPr>
        <w:t>城市安全韧性评价指标体系总体框架图</w:t>
      </w:r>
    </w:p>
    <w:p w14:paraId="14C393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4.2 城市人员安全韧性维度</w:t>
      </w:r>
    </w:p>
    <w:p w14:paraId="6AB3A8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城市人员安全韧性关注人的基本属性、意识能力及保障水平，下设人口基本属性、安全素养与意识、人员保障与救助三个二级指标。</w:t>
      </w:r>
    </w:p>
    <w:p w14:paraId="087E72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人口基本属性反映人群的脆弱性特征。人口年龄结构指数以十四岁以下与六十岁及以上人口占常住人口的比重刻画疏散与救助难度大的群体规模（本体系采用60岁及以上口径，与GB/T 40947—2021的65岁及以上口径不同，以更完整地涵盖高龄脆弱人群）；残疾人口比例反映无障碍疏散与救助需求的规模；暂住人口比例以流动人口占比刻画社区动员与响应效率面临的挑战。</w:t>
      </w:r>
    </w:p>
    <w:p w14:paraId="6607DB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安全素养与意识反映公众应对风险的主观能力。市民安全意识和满意度表征公众对城市安全的感知与自救互救知识的掌握程度，因公开渠道缺少分城市、分年度的连续调查数值，以各地平安建设公报与社情民意调查公开披露的群众安全感作为代理指标；全国综合减灾示范社区数量反映社区层面安全科普与应急避险建设的覆盖程度。</w:t>
      </w:r>
    </w:p>
    <w:p w14:paraId="39F79E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人员保障与救助反映对弱势群体的兜底与应急救护能力。商业保险密度反映财产与人身风险的社会化分担程度。</w:t>
      </w:r>
    </w:p>
    <w:p w14:paraId="382240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在指标筛选过程中，每万人拥有应急救护员数量曾作为反映现场第一响应人密度的备选指标纳入考察，但国内多数超大城市缺少口径统一的累计持证救护员公开数据，难以支撑多城市横向对比，依据数据可得性原则未纳入最终指标体系。</w:t>
      </w:r>
    </w:p>
    <w:p w14:paraId="39F1F7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4.3 城市设施安全韧性维度</w:t>
      </w:r>
    </w:p>
    <w:p w14:paraId="36CD90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城市设施安全韧性关注物理空间与工程系统的抗灾与保障能力，下设基础设施承载与冗余、风险监测与设防水平、应急响应与恢复时效三个二级指标。</w:t>
      </w:r>
    </w:p>
    <w:p w14:paraId="58BE92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sz w:val="24"/>
        </w:rPr>
        <w:t>基础设施承载与冗余反映生命线工程和关键公共服务设施的冗余度。每万人医院床位数刻画自然灾害冲击下城市医疗收治的兜底承载能力；城市供水管道普及率反映供水生命线对城市人口的覆盖水平，以供水人口占城市人口的比重计算；建成区排水管网密度与设计标准反映内涝防治的工程基础。</w:t>
      </w:r>
    </w:p>
    <w:p w14:paraId="7941B8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风险监测与设防水平反映对致灾因子的监控与工程防御标准。城市污水处理率作为水环境基础设施防御配套水平的代理指标，反映城市污水收集处理基础设施的配套水平，由污水处理总量除以污水排放量计算得到；城市建成区人均公园绿地面积刻画城市防灾缓冲空间的配置水平；城市建成区绿化覆盖率反映城市开敞空间与应急避险场所的供给水平，由绿化覆盖面积除以建成区面积计算得到。</w:t>
      </w:r>
    </w:p>
    <w:p w14:paraId="7A88E1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应急响应与恢复时效反映设施受损后的功能恢复速度。用户平均停电时间以用户年均停电小时数测度供电生命线的实际恢复速度，是恢复时效的结果指标。</w:t>
      </w:r>
    </w:p>
    <w:p w14:paraId="062B23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rPr>
          <w:rFonts w:eastAsia="黑体"/>
          <w:b w:val="0"/>
          <w:sz w:val="24"/>
        </w:rPr>
        <w:t>4.4 城市管理安全韧性维度</w:t>
      </w:r>
    </w:p>
    <w:p w14:paraId="498E65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城市管理安全韧性关注制度、机制、资源与治理的软实力，下设公共环境治理能力、风险防控与响应、资源支撑三个二级指标。</w:t>
      </w:r>
    </w:p>
    <w:p w14:paraId="3475F5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公共环境治理能力反映城市公共卫生与环境基础设施的运行效率。生活垃圾无害化处理率以生活垃圾无害化处理量占清运总量的比重计算，反映城市环境卫生治理水平与公共卫生风险防控能力，数据取自住建部《中国城市建设统计年鉴》。</w:t>
      </w:r>
    </w:p>
    <w:p w14:paraId="73C7BB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风险防控与响应反映隐患排查、风险评估与救援调度效率。亿元生产总值生产安全事故死亡率反映经济发展与安全运行的平衡结果。</w:t>
      </w:r>
    </w:p>
    <w:p w14:paraId="32A5A5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资源支撑反映财政投入、科技赋能与事后改进能力。公共安全财政支出占比刻画政府对安全韧性的直接资金投入。</w:t>
      </w:r>
    </w:p>
    <w:p w14:paraId="67CC3A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上述十六个三级指标按数据性质可分为定量指标与定性指标两类，具体指标体系见</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_Ref27790 \h </w:instrText>
      </w:r>
      <w:r>
        <w:rPr>
          <w:rFonts w:hint="eastAsia"/>
          <w:b w:val="0"/>
          <w:bCs w:val="0"/>
          <w:sz w:val="24"/>
          <w:szCs w:val="24"/>
          <w:lang w:val="en-US" w:eastAsia="zh-CN"/>
        </w:rPr>
        <w:fldChar w:fldCharType="separate"/>
      </w:r>
      <w:r>
        <w:t>表2</w:t>
      </w:r>
      <w:r>
        <w:rPr>
          <w:rFonts w:hint="eastAsia"/>
          <w:b w:val="0"/>
          <w:bCs w:val="0"/>
          <w:sz w:val="24"/>
          <w:szCs w:val="24"/>
          <w:lang w:val="en-US" w:eastAsia="zh-CN"/>
        </w:rPr>
        <w:fldChar w:fldCharType="end"/>
      </w:r>
      <w:r>
        <w:rPr>
          <w:rFonts w:hint="eastAsia"/>
          <w:b w:val="0"/>
          <w:bCs w:val="0"/>
          <w:sz w:val="24"/>
          <w:szCs w:val="24"/>
          <w:lang w:val="en-US" w:eastAsia="zh-CN"/>
        </w:rPr>
        <w:t>。</w:t>
      </w:r>
    </w:p>
    <w:p w14:paraId="1D03A758">
      <w:pPr>
        <w:pStyle w:val="3"/>
        <w:jc w:val="center"/>
        <w:rPr>
          <w:rFonts w:hint="eastAsia" w:eastAsia="黑体"/>
          <w:lang w:val="en-US" w:eastAsia="zh-CN"/>
        </w:rPr>
      </w:pPr>
      <w:bookmarkStart w:id="2" w:name="_Ref27790"/>
      <w:r>
        <w:t>表</w:t>
      </w:r>
      <w:r>
        <w:fldChar w:fldCharType="begin"/>
      </w:r>
      <w:r>
        <w:instrText xml:space="preserve"> SEQ 表 \* ARABIC </w:instrText>
      </w:r>
      <w:r>
        <w:fldChar w:fldCharType="separate"/>
      </w:r>
      <w:r>
        <w:t>2</w:t>
      </w:r>
      <w:r>
        <w:fldChar w:fldCharType="end"/>
      </w:r>
      <w:bookmarkEnd w:id="2"/>
      <w:r>
        <w:rPr>
          <w:rFonts w:hint="eastAsia"/>
          <w:lang w:val="en-US" w:eastAsia="zh-CN"/>
        </w:rPr>
        <w:t xml:space="preserve"> 城市安全韧性评价指标体系</w:t>
      </w:r>
    </w:p>
    <w:tbl>
      <w:tblPr>
        <w:tblStyle w:val="4"/>
        <w:tblW w:w="4998" w:type="pct"/>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159"/>
        <w:gridCol w:w="2289"/>
        <w:gridCol w:w="4071"/>
      </w:tblGrid>
      <w:tr w14:paraId="093BB8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267" w:type="pct"/>
            <w:tcBorders>
              <w:top w:val="single" w:color="000000" w:sz="12" w:space="0"/>
              <w:bottom w:val="single" w:color="000000" w:sz="6" w:space="0"/>
            </w:tcBorders>
          </w:tcPr>
          <w:p w14:paraId="196DFD06">
            <w:pPr>
              <w:jc w:val="center"/>
            </w:pPr>
            <w:r>
              <w:rPr>
                <w:rFonts w:ascii="Times New Roman" w:hAnsi="Times New Roman" w:eastAsia="宋体"/>
                <w:b/>
                <w:sz w:val="21"/>
              </w:rPr>
              <w:t>一级指标</w:t>
            </w:r>
          </w:p>
        </w:tc>
        <w:tc>
          <w:tcPr>
            <w:tcW w:w="1343" w:type="pct"/>
            <w:tcBorders>
              <w:top w:val="single" w:color="000000" w:sz="12" w:space="0"/>
              <w:bottom w:val="single" w:color="000000" w:sz="6" w:space="0"/>
            </w:tcBorders>
          </w:tcPr>
          <w:p w14:paraId="6CC0F960">
            <w:pPr>
              <w:jc w:val="center"/>
            </w:pPr>
            <w:r>
              <w:rPr>
                <w:rFonts w:ascii="Times New Roman" w:hAnsi="Times New Roman" w:eastAsia="宋体"/>
                <w:b/>
                <w:sz w:val="21"/>
              </w:rPr>
              <w:t>二级指标</w:t>
            </w:r>
          </w:p>
        </w:tc>
        <w:tc>
          <w:tcPr>
            <w:tcW w:w="2388" w:type="pct"/>
            <w:tcBorders>
              <w:top w:val="single" w:color="000000" w:sz="12" w:space="0"/>
              <w:bottom w:val="single" w:color="000000" w:sz="6" w:space="0"/>
            </w:tcBorders>
          </w:tcPr>
          <w:p w14:paraId="451FFD9F">
            <w:pPr>
              <w:jc w:val="center"/>
            </w:pPr>
            <w:r>
              <w:rPr>
                <w:rFonts w:ascii="Times New Roman" w:hAnsi="Times New Roman" w:eastAsia="宋体"/>
                <w:b/>
                <w:sz w:val="21"/>
              </w:rPr>
              <w:t>三级指标</w:t>
            </w:r>
          </w:p>
        </w:tc>
      </w:tr>
      <w:tr w14:paraId="07DF2A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restart"/>
            <w:vAlign w:val="center"/>
          </w:tcPr>
          <w:p w14:paraId="198DEDF5">
            <w:pPr>
              <w:jc w:val="center"/>
            </w:pPr>
            <w:r>
              <w:rPr>
                <w:rFonts w:ascii="Times New Roman" w:hAnsi="Times New Roman" w:eastAsia="宋体"/>
                <w:b w:val="0"/>
                <w:sz w:val="21"/>
              </w:rPr>
              <w:t>1 城市人员安全韧性</w:t>
            </w:r>
          </w:p>
        </w:tc>
        <w:tc>
          <w:tcPr>
            <w:tcW w:w="1343" w:type="pct"/>
            <w:vMerge w:val="restart"/>
            <w:vAlign w:val="center"/>
          </w:tcPr>
          <w:p w14:paraId="3D39E52B">
            <w:pPr>
              <w:jc w:val="center"/>
            </w:pPr>
            <w:r>
              <w:rPr>
                <w:rFonts w:ascii="Times New Roman" w:hAnsi="Times New Roman" w:eastAsia="宋体"/>
                <w:b w:val="0"/>
                <w:sz w:val="21"/>
              </w:rPr>
              <w:t>1.1 人口基本属性</w:t>
            </w:r>
          </w:p>
        </w:tc>
        <w:tc>
          <w:tcPr>
            <w:tcW w:w="2388" w:type="pct"/>
            <w:vAlign w:val="center"/>
          </w:tcPr>
          <w:p w14:paraId="2085F2DD">
            <w:pPr>
              <w:jc w:val="center"/>
            </w:pPr>
            <w:r>
              <w:rPr>
                <w:rFonts w:ascii="Times New Roman" w:hAnsi="Times New Roman" w:eastAsia="宋体"/>
                <w:b w:val="0"/>
                <w:sz w:val="21"/>
              </w:rPr>
              <w:t>1.1.1 人口年龄结构指数</w:t>
            </w:r>
          </w:p>
        </w:tc>
      </w:tr>
      <w:tr w14:paraId="559C84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02A323F1">
            <w:pPr>
              <w:jc w:val="center"/>
            </w:pPr>
          </w:p>
        </w:tc>
        <w:tc>
          <w:tcPr>
            <w:tcW w:w="1343" w:type="pct"/>
            <w:vMerge w:val="continue"/>
            <w:vAlign w:val="center"/>
          </w:tcPr>
          <w:p w14:paraId="19275F73">
            <w:pPr>
              <w:jc w:val="center"/>
            </w:pPr>
          </w:p>
        </w:tc>
        <w:tc>
          <w:tcPr>
            <w:tcW w:w="2388" w:type="pct"/>
            <w:vAlign w:val="center"/>
          </w:tcPr>
          <w:p w14:paraId="6EE3F83F">
            <w:pPr>
              <w:jc w:val="center"/>
            </w:pPr>
            <w:r>
              <w:rPr>
                <w:rFonts w:ascii="Times New Roman" w:hAnsi="Times New Roman" w:eastAsia="宋体"/>
                <w:b w:val="0"/>
                <w:sz w:val="21"/>
              </w:rPr>
              <w:t>1.1.2 残疾人口比例</w:t>
            </w:r>
          </w:p>
        </w:tc>
      </w:tr>
      <w:tr w14:paraId="10C554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333DE5B6">
            <w:pPr>
              <w:jc w:val="center"/>
            </w:pPr>
          </w:p>
        </w:tc>
        <w:tc>
          <w:tcPr>
            <w:tcW w:w="1343" w:type="pct"/>
            <w:vMerge w:val="continue"/>
            <w:vAlign w:val="center"/>
          </w:tcPr>
          <w:p w14:paraId="4B57D08D">
            <w:pPr>
              <w:jc w:val="center"/>
            </w:pPr>
          </w:p>
        </w:tc>
        <w:tc>
          <w:tcPr>
            <w:tcW w:w="2388" w:type="pct"/>
            <w:vAlign w:val="center"/>
          </w:tcPr>
          <w:p w14:paraId="244D11AF">
            <w:pPr>
              <w:jc w:val="center"/>
            </w:pPr>
            <w:r>
              <w:rPr>
                <w:rFonts w:ascii="Times New Roman" w:hAnsi="Times New Roman" w:eastAsia="宋体"/>
                <w:b w:val="0"/>
                <w:sz w:val="21"/>
              </w:rPr>
              <w:t>1.1.3 暂住人口比例</w:t>
            </w:r>
          </w:p>
        </w:tc>
      </w:tr>
      <w:tr w14:paraId="152B7B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010E3905">
            <w:pPr>
              <w:jc w:val="center"/>
            </w:pPr>
          </w:p>
        </w:tc>
        <w:tc>
          <w:tcPr>
            <w:tcW w:w="1343" w:type="pct"/>
            <w:vMerge w:val="restart"/>
            <w:vAlign w:val="center"/>
          </w:tcPr>
          <w:p w14:paraId="18E06318">
            <w:pPr>
              <w:jc w:val="center"/>
            </w:pPr>
            <w:r>
              <w:rPr>
                <w:rFonts w:ascii="Times New Roman" w:hAnsi="Times New Roman" w:eastAsia="宋体"/>
                <w:b w:val="0"/>
                <w:sz w:val="21"/>
              </w:rPr>
              <w:t>1.2 安全素养与意识</w:t>
            </w:r>
          </w:p>
        </w:tc>
        <w:tc>
          <w:tcPr>
            <w:tcW w:w="2388" w:type="pct"/>
            <w:vAlign w:val="center"/>
          </w:tcPr>
          <w:p w14:paraId="662021CB">
            <w:pPr>
              <w:jc w:val="center"/>
            </w:pPr>
            <w:r>
              <w:rPr>
                <w:rFonts w:ascii="Times New Roman" w:hAnsi="Times New Roman" w:eastAsia="宋体"/>
                <w:b w:val="0"/>
                <w:sz w:val="21"/>
              </w:rPr>
              <w:t>1.2.1 市民安全满意度与意识水平</w:t>
            </w:r>
          </w:p>
        </w:tc>
      </w:tr>
      <w:tr w14:paraId="4D9288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409D6ED4">
            <w:pPr>
              <w:jc w:val="center"/>
            </w:pPr>
          </w:p>
        </w:tc>
        <w:tc>
          <w:tcPr>
            <w:tcW w:w="1343" w:type="pct"/>
            <w:vMerge w:val="continue"/>
            <w:vAlign w:val="center"/>
          </w:tcPr>
          <w:p w14:paraId="74560696">
            <w:pPr>
              <w:jc w:val="center"/>
            </w:pPr>
          </w:p>
        </w:tc>
        <w:tc>
          <w:tcPr>
            <w:tcW w:w="2388" w:type="pct"/>
            <w:vAlign w:val="center"/>
          </w:tcPr>
          <w:p w14:paraId="392D809E">
            <w:pPr>
              <w:jc w:val="center"/>
            </w:pPr>
            <w:r>
              <w:rPr>
                <w:rFonts w:ascii="Times New Roman" w:hAnsi="Times New Roman" w:eastAsia="宋体"/>
                <w:b w:val="0"/>
                <w:sz w:val="21"/>
              </w:rPr>
              <w:t>1.2.2 全国综合减灾示范社区数量</w:t>
            </w:r>
          </w:p>
        </w:tc>
      </w:tr>
      <w:tr w14:paraId="789E89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762ACF6F">
            <w:pPr>
              <w:jc w:val="center"/>
            </w:pPr>
          </w:p>
        </w:tc>
        <w:tc>
          <w:tcPr>
            <w:tcW w:w="1343" w:type="pct"/>
            <w:vAlign w:val="center"/>
          </w:tcPr>
          <w:p w14:paraId="53144BD3">
            <w:pPr>
              <w:jc w:val="center"/>
            </w:pPr>
            <w:r>
              <w:rPr>
                <w:rFonts w:ascii="Times New Roman" w:hAnsi="Times New Roman" w:eastAsia="宋体"/>
                <w:b w:val="0"/>
                <w:sz w:val="21"/>
              </w:rPr>
              <w:t>1.3 人员保障与救助</w:t>
            </w:r>
          </w:p>
        </w:tc>
        <w:tc>
          <w:tcPr>
            <w:tcW w:w="2388" w:type="pct"/>
            <w:vAlign w:val="center"/>
          </w:tcPr>
          <w:p w14:paraId="6E5C2D86">
            <w:pPr>
              <w:jc w:val="center"/>
            </w:pPr>
            <w:r>
              <w:rPr>
                <w:rFonts w:ascii="Times New Roman" w:hAnsi="Times New Roman" w:eastAsia="宋体"/>
                <w:b w:val="0"/>
                <w:sz w:val="21"/>
              </w:rPr>
              <w:t>1.3.1 商业保险密度</w:t>
            </w:r>
          </w:p>
        </w:tc>
      </w:tr>
      <w:tr w14:paraId="51B432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restart"/>
            <w:vAlign w:val="center"/>
          </w:tcPr>
          <w:p w14:paraId="5EC5865D">
            <w:pPr>
              <w:jc w:val="center"/>
            </w:pPr>
            <w:r>
              <w:rPr>
                <w:rFonts w:ascii="Times New Roman" w:hAnsi="Times New Roman" w:eastAsia="宋体"/>
                <w:b w:val="0"/>
                <w:sz w:val="21"/>
              </w:rPr>
              <w:t>2 城市设施安全韧性</w:t>
            </w:r>
          </w:p>
        </w:tc>
        <w:tc>
          <w:tcPr>
            <w:tcW w:w="1343" w:type="pct"/>
            <w:vMerge w:val="restart"/>
            <w:vAlign w:val="center"/>
          </w:tcPr>
          <w:p w14:paraId="3B69103F">
            <w:pPr>
              <w:jc w:val="center"/>
            </w:pPr>
            <w:r>
              <w:rPr>
                <w:rFonts w:ascii="Times New Roman" w:hAnsi="Times New Roman" w:eastAsia="宋体"/>
                <w:b w:val="0"/>
                <w:sz w:val="21"/>
              </w:rPr>
              <w:t>2.1 基础设施承载与冗余</w:t>
            </w:r>
          </w:p>
        </w:tc>
        <w:tc>
          <w:tcPr>
            <w:tcW w:w="2388" w:type="pct"/>
            <w:vAlign w:val="center"/>
          </w:tcPr>
          <w:p w14:paraId="2D3DAD54">
            <w:pPr>
              <w:jc w:val="center"/>
            </w:pPr>
            <w:r>
              <w:rPr>
                <w:rFonts w:ascii="Times New Roman" w:hAnsi="Times New Roman"/>
                <w:sz w:val="21"/>
              </w:rPr>
              <w:t>2.1.1 每万人医院床位数</w:t>
            </w:r>
          </w:p>
        </w:tc>
      </w:tr>
      <w:tr w14:paraId="3EE12F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35DFC65D">
            <w:pPr>
              <w:jc w:val="center"/>
            </w:pPr>
          </w:p>
        </w:tc>
        <w:tc>
          <w:tcPr>
            <w:tcW w:w="1343" w:type="pct"/>
            <w:vMerge w:val="continue"/>
            <w:vAlign w:val="center"/>
          </w:tcPr>
          <w:p w14:paraId="41C1644E">
            <w:pPr>
              <w:jc w:val="center"/>
            </w:pPr>
          </w:p>
        </w:tc>
        <w:tc>
          <w:tcPr>
            <w:tcW w:w="2388" w:type="pct"/>
            <w:vAlign w:val="center"/>
          </w:tcPr>
          <w:p w14:paraId="6C06C365">
            <w:pPr>
              <w:jc w:val="center"/>
            </w:pPr>
            <w:r>
              <w:rPr>
                <w:rFonts w:ascii="Times New Roman" w:hAnsi="Times New Roman" w:eastAsia="宋体"/>
                <w:b w:val="0"/>
                <w:sz w:val="21"/>
              </w:rPr>
              <w:t>2.1.2 城市供水管道普及率</w:t>
            </w:r>
          </w:p>
        </w:tc>
      </w:tr>
      <w:tr w14:paraId="4B76AD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2B694A0C">
            <w:pPr>
              <w:jc w:val="center"/>
            </w:pPr>
          </w:p>
        </w:tc>
        <w:tc>
          <w:tcPr>
            <w:tcW w:w="1343" w:type="pct"/>
            <w:vMerge w:val="continue"/>
            <w:vAlign w:val="center"/>
          </w:tcPr>
          <w:p w14:paraId="78A73C80">
            <w:pPr>
              <w:jc w:val="center"/>
            </w:pPr>
          </w:p>
        </w:tc>
        <w:tc>
          <w:tcPr>
            <w:tcW w:w="2388" w:type="pct"/>
            <w:vAlign w:val="center"/>
          </w:tcPr>
          <w:p w14:paraId="05E87164">
            <w:pPr>
              <w:jc w:val="center"/>
            </w:pPr>
            <w:r>
              <w:rPr>
                <w:rFonts w:ascii="Times New Roman" w:hAnsi="Times New Roman" w:eastAsia="宋体"/>
                <w:b w:val="0"/>
                <w:sz w:val="21"/>
              </w:rPr>
              <w:t>2.1.3 建成区排水管网密度与设计标准</w:t>
            </w:r>
          </w:p>
        </w:tc>
      </w:tr>
      <w:tr w14:paraId="12D6A4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323727C8">
            <w:pPr>
              <w:jc w:val="center"/>
            </w:pPr>
          </w:p>
        </w:tc>
        <w:tc>
          <w:tcPr>
            <w:tcW w:w="1343" w:type="pct"/>
            <w:vMerge w:val="restart"/>
            <w:vAlign w:val="center"/>
          </w:tcPr>
          <w:p w14:paraId="37D238DB">
            <w:pPr>
              <w:jc w:val="center"/>
            </w:pPr>
            <w:r>
              <w:rPr>
                <w:rFonts w:ascii="Times New Roman" w:hAnsi="Times New Roman" w:eastAsia="宋体"/>
                <w:b w:val="0"/>
                <w:sz w:val="21"/>
              </w:rPr>
              <w:t>2.2 风险监测与设防水平</w:t>
            </w:r>
          </w:p>
        </w:tc>
        <w:tc>
          <w:tcPr>
            <w:tcW w:w="2388" w:type="pct"/>
            <w:vAlign w:val="center"/>
          </w:tcPr>
          <w:p w14:paraId="6EB472E1">
            <w:pPr>
              <w:jc w:val="center"/>
            </w:pPr>
            <w:r>
              <w:rPr>
                <w:rFonts w:ascii="Times New Roman" w:hAnsi="Times New Roman" w:eastAsia="宋体"/>
                <w:b w:val="0"/>
                <w:sz w:val="21"/>
              </w:rPr>
              <w:t>2.2.1 城市污水处理率</w:t>
            </w:r>
          </w:p>
        </w:tc>
      </w:tr>
      <w:tr w14:paraId="29C923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6BCCD97B">
            <w:pPr>
              <w:jc w:val="center"/>
            </w:pPr>
          </w:p>
        </w:tc>
        <w:tc>
          <w:tcPr>
            <w:tcW w:w="1343" w:type="pct"/>
            <w:vMerge w:val="continue"/>
            <w:vAlign w:val="center"/>
          </w:tcPr>
          <w:p w14:paraId="761BAC2C">
            <w:pPr>
              <w:jc w:val="center"/>
            </w:pPr>
          </w:p>
        </w:tc>
        <w:tc>
          <w:tcPr>
            <w:tcW w:w="2388" w:type="pct"/>
            <w:vAlign w:val="center"/>
          </w:tcPr>
          <w:p w14:paraId="43FD3041">
            <w:pPr>
              <w:jc w:val="center"/>
            </w:pPr>
            <w:r>
              <w:rPr>
                <w:rFonts w:ascii="Times New Roman" w:hAnsi="Times New Roman" w:eastAsia="宋体"/>
                <w:b w:val="0"/>
                <w:sz w:val="21"/>
              </w:rPr>
              <w:t>2.2.2 城市建成区人均公园绿地面积</w:t>
            </w:r>
          </w:p>
        </w:tc>
      </w:tr>
      <w:tr w14:paraId="730C88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5083F9C6">
            <w:pPr>
              <w:jc w:val="center"/>
            </w:pPr>
          </w:p>
        </w:tc>
        <w:tc>
          <w:tcPr>
            <w:tcW w:w="1343" w:type="pct"/>
            <w:vMerge w:val="continue"/>
            <w:vAlign w:val="center"/>
          </w:tcPr>
          <w:p w14:paraId="5A656D07">
            <w:pPr>
              <w:jc w:val="center"/>
            </w:pPr>
          </w:p>
        </w:tc>
        <w:tc>
          <w:tcPr>
            <w:tcW w:w="2388" w:type="pct"/>
            <w:vAlign w:val="center"/>
          </w:tcPr>
          <w:p w14:paraId="084C7E6D">
            <w:pPr>
              <w:jc w:val="center"/>
            </w:pPr>
            <w:r>
              <w:rPr>
                <w:rFonts w:ascii="Times New Roman" w:hAnsi="Times New Roman" w:eastAsia="宋体"/>
                <w:b w:val="0"/>
                <w:sz w:val="21"/>
              </w:rPr>
              <w:t>2.2.3 城市建成区绿化覆盖率</w:t>
            </w:r>
          </w:p>
        </w:tc>
      </w:tr>
      <w:tr w14:paraId="58D405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4F020326">
            <w:pPr>
              <w:jc w:val="center"/>
            </w:pPr>
          </w:p>
        </w:tc>
        <w:tc>
          <w:tcPr>
            <w:tcW w:w="1343" w:type="pct"/>
            <w:vAlign w:val="center"/>
          </w:tcPr>
          <w:p w14:paraId="4408DE8C">
            <w:pPr>
              <w:jc w:val="center"/>
            </w:pPr>
            <w:r>
              <w:rPr>
                <w:rFonts w:ascii="Times New Roman" w:hAnsi="Times New Roman" w:eastAsia="宋体"/>
                <w:b w:val="0"/>
                <w:sz w:val="21"/>
              </w:rPr>
              <w:t>2.3 应急响应与恢复时效</w:t>
            </w:r>
          </w:p>
        </w:tc>
        <w:tc>
          <w:tcPr>
            <w:tcW w:w="2388" w:type="pct"/>
            <w:vAlign w:val="center"/>
          </w:tcPr>
          <w:p w14:paraId="1695E5E0">
            <w:pPr>
              <w:jc w:val="center"/>
            </w:pPr>
            <w:r>
              <w:rPr>
                <w:rFonts w:ascii="Times New Roman" w:hAnsi="Times New Roman" w:eastAsia="宋体"/>
                <w:b w:val="0"/>
                <w:sz w:val="21"/>
              </w:rPr>
              <w:t>2.3.1 用户平均停电时间（供电恢复时效）</w:t>
            </w:r>
          </w:p>
        </w:tc>
      </w:tr>
      <w:tr w14:paraId="3CA331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restart"/>
            <w:vAlign w:val="center"/>
          </w:tcPr>
          <w:p w14:paraId="42C32F97">
            <w:pPr>
              <w:jc w:val="center"/>
            </w:pPr>
            <w:r>
              <w:rPr>
                <w:rFonts w:ascii="Times New Roman" w:hAnsi="Times New Roman" w:eastAsia="宋体"/>
                <w:b w:val="0"/>
                <w:sz w:val="21"/>
              </w:rPr>
              <w:t>3 城市管理安全韧性</w:t>
            </w:r>
          </w:p>
        </w:tc>
        <w:tc>
          <w:tcPr>
            <w:tcW w:w="1343" w:type="pct"/>
            <w:vAlign w:val="center"/>
          </w:tcPr>
          <w:p w14:paraId="17192C76">
            <w:pPr>
              <w:jc w:val="center"/>
            </w:pPr>
            <w:r>
              <w:rPr>
                <w:rFonts w:ascii="Times New Roman" w:hAnsi="Times New Roman" w:eastAsia="宋体"/>
                <w:b w:val="0"/>
                <w:sz w:val="21"/>
              </w:rPr>
              <w:t>3.1 公共环境治理能力</w:t>
            </w:r>
          </w:p>
        </w:tc>
        <w:tc>
          <w:tcPr>
            <w:tcW w:w="2388" w:type="pct"/>
            <w:vAlign w:val="center"/>
          </w:tcPr>
          <w:p w14:paraId="3F05F18E">
            <w:pPr>
              <w:jc w:val="center"/>
            </w:pPr>
            <w:r>
              <w:rPr>
                <w:rFonts w:ascii="Times New Roman" w:hAnsi="Times New Roman" w:eastAsia="宋体"/>
                <w:b w:val="0"/>
                <w:sz w:val="21"/>
              </w:rPr>
              <w:t>3.1.1 生活垃圾无害化处理率</w:t>
            </w:r>
          </w:p>
        </w:tc>
      </w:tr>
      <w:tr w14:paraId="0C3601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74A80B31">
            <w:pPr>
              <w:jc w:val="center"/>
            </w:pPr>
          </w:p>
        </w:tc>
        <w:tc>
          <w:tcPr>
            <w:tcW w:w="1343" w:type="pct"/>
            <w:vAlign w:val="center"/>
          </w:tcPr>
          <w:p w14:paraId="671A860A">
            <w:pPr>
              <w:jc w:val="center"/>
            </w:pPr>
            <w:r>
              <w:rPr>
                <w:rFonts w:ascii="Times New Roman" w:hAnsi="Times New Roman" w:eastAsia="宋体"/>
                <w:b w:val="0"/>
                <w:sz w:val="21"/>
              </w:rPr>
              <w:t>3.2 风险防控与响应</w:t>
            </w:r>
          </w:p>
        </w:tc>
        <w:tc>
          <w:tcPr>
            <w:tcW w:w="2388" w:type="pct"/>
            <w:vAlign w:val="center"/>
          </w:tcPr>
          <w:p w14:paraId="0D0DC0E8">
            <w:pPr>
              <w:jc w:val="center"/>
            </w:pPr>
            <w:r>
              <w:rPr>
                <w:rFonts w:ascii="Times New Roman" w:hAnsi="Times New Roman" w:eastAsia="宋体"/>
                <w:b w:val="0"/>
                <w:sz w:val="21"/>
              </w:rPr>
              <w:t>3.2.1 亿元生产总值生产安全事故死亡率</w:t>
            </w:r>
          </w:p>
        </w:tc>
      </w:tr>
      <w:tr w14:paraId="38A284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67" w:type="pct"/>
            <w:vMerge w:val="continue"/>
            <w:vAlign w:val="center"/>
          </w:tcPr>
          <w:p w14:paraId="440ABAE5">
            <w:pPr>
              <w:jc w:val="center"/>
            </w:pPr>
          </w:p>
        </w:tc>
        <w:tc>
          <w:tcPr>
            <w:tcW w:w="1343" w:type="pct"/>
            <w:vAlign w:val="center"/>
          </w:tcPr>
          <w:p w14:paraId="2BD87281">
            <w:pPr>
              <w:jc w:val="center"/>
            </w:pPr>
            <w:r>
              <w:rPr>
                <w:rFonts w:ascii="Times New Roman" w:hAnsi="Times New Roman" w:eastAsia="宋体"/>
                <w:b w:val="0"/>
                <w:sz w:val="21"/>
              </w:rPr>
              <w:t>3.3 资源支撑</w:t>
            </w:r>
          </w:p>
        </w:tc>
        <w:tc>
          <w:tcPr>
            <w:tcW w:w="2388" w:type="pct"/>
            <w:vAlign w:val="center"/>
          </w:tcPr>
          <w:p w14:paraId="7E2ECA7B">
            <w:pPr>
              <w:jc w:val="center"/>
            </w:pPr>
            <w:r>
              <w:rPr>
                <w:rFonts w:ascii="Times New Roman" w:hAnsi="Times New Roman" w:eastAsia="宋体"/>
                <w:b w:val="0"/>
                <w:sz w:val="21"/>
              </w:rPr>
              <w:t>3.3.1 公共安全财政支出占比</w:t>
            </w:r>
          </w:p>
        </w:tc>
      </w:tr>
    </w:tbl>
    <w:p w14:paraId="625BED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黑体"/>
          <w:b w:val="0"/>
          <w:sz w:val="24"/>
          <w:lang w:val="en-US" w:eastAsia="zh-CN"/>
        </w:rPr>
      </w:pPr>
      <w:r>
        <w:rPr>
          <w:rFonts w:hint="default" w:eastAsia="黑体"/>
          <w:b w:val="0"/>
          <w:sz w:val="24"/>
          <w:lang w:val="en-US" w:eastAsia="zh-CN"/>
        </w:rPr>
        <w:t>4.5 面向自然灾害冲击的框架</w:t>
      </w:r>
    </w:p>
    <w:p w14:paraId="77DE01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图1保留为年度基线能力框架。为回应自然灾害针对性不足的问题，升级版在其外部增加三类信息：一是灾害压力，包括灾种、强度、持续时间、空间范围和预警等级；二是暴露与脆弱性，包括受影响人口、关键设施和高风险空间的分布；三是事件过程绩效，包括预警提前量、应急响应时滞、生命线中断时长、实际损失率、恢复斜率和恢复至基线所需时间。三类信息与原有人员、设施、管理能力相连接，形成</w:t>
      </w:r>
      <w:r>
        <w:rPr>
          <w:rFonts w:hint="default"/>
          <w:b w:val="0"/>
          <w:bCs w:val="0"/>
          <w:sz w:val="24"/>
          <w:szCs w:val="24"/>
          <w:lang w:val="en-US" w:eastAsia="zh-CN"/>
        </w:rPr>
        <w:fldChar w:fldCharType="begin"/>
      </w:r>
      <w:r>
        <w:rPr>
          <w:rFonts w:hint="default"/>
          <w:b w:val="0"/>
          <w:bCs w:val="0"/>
          <w:sz w:val="24"/>
          <w:szCs w:val="24"/>
          <w:lang w:val="en-US" w:eastAsia="zh-CN"/>
        </w:rPr>
        <w:instrText xml:space="preserve"> REF _Ref13336 \h </w:instrText>
      </w:r>
      <w:r>
        <w:rPr>
          <w:rFonts w:hint="default"/>
          <w:b w:val="0"/>
          <w:bCs w:val="0"/>
          <w:sz w:val="24"/>
          <w:szCs w:val="24"/>
          <w:lang w:val="en-US" w:eastAsia="zh-CN"/>
        </w:rPr>
        <w:fldChar w:fldCharType="separate"/>
      </w:r>
      <w:r>
        <w:t>图2</w:t>
      </w:r>
      <w:r>
        <w:rPr>
          <w:rFonts w:hint="default"/>
          <w:b w:val="0"/>
          <w:bCs w:val="0"/>
          <w:sz w:val="24"/>
          <w:szCs w:val="24"/>
          <w:lang w:val="en-US" w:eastAsia="zh-CN"/>
        </w:rPr>
        <w:fldChar w:fldCharType="end"/>
      </w:r>
      <w:r>
        <w:rPr>
          <w:rFonts w:hint="default"/>
          <w:b w:val="0"/>
          <w:bCs w:val="0"/>
          <w:sz w:val="24"/>
          <w:szCs w:val="24"/>
          <w:lang w:val="en-US" w:eastAsia="zh-CN"/>
        </w:rPr>
        <w:t>所示框架。</w:t>
      </w:r>
    </w:p>
    <w:p w14:paraId="32D9C7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29860" cy="3442970"/>
            <wp:effectExtent l="0" t="0" r="254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30368" cy="3443326"/>
                    </a:xfrm>
                    <a:prstGeom prst="rect">
                      <a:avLst/>
                    </a:prstGeom>
                  </pic:spPr>
                </pic:pic>
              </a:graphicData>
            </a:graphic>
          </wp:inline>
        </w:drawing>
      </w:r>
    </w:p>
    <w:p w14:paraId="3DC1D935">
      <w:pPr>
        <w:pStyle w:val="3"/>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bookmarkStart w:id="3" w:name="_Ref13336"/>
      <w:r>
        <w:t>图</w:t>
      </w:r>
      <w:r>
        <w:fldChar w:fldCharType="begin"/>
      </w:r>
      <w:r>
        <w:instrText xml:space="preserve"> SEQ 图 \* ARABIC </w:instrText>
      </w:r>
      <w:r>
        <w:fldChar w:fldCharType="separate"/>
      </w:r>
      <w:r>
        <w:t>2</w:t>
      </w:r>
      <w:r>
        <w:fldChar w:fldCharType="end"/>
      </w:r>
      <w:bookmarkEnd w:id="3"/>
      <w:r>
        <w:rPr>
          <w:rFonts w:hint="eastAsia"/>
          <w:lang w:val="en-US" w:eastAsia="zh-CN"/>
        </w:rPr>
        <w:t xml:space="preserve"> </w:t>
      </w:r>
      <w:r>
        <w:t>面向自然灾害冲击的时空演化评价框架</w:t>
      </w:r>
    </w:p>
    <w:p w14:paraId="7F63DD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图2所示升级框架仍以原16项指标为采集主轴。每项指标先明确区县层面的分子、分母与统计边界，取得区县年度值；只有原始构成量在月度公开且口径一致时，才进一步计算区县月度值。人口年龄结构、管网密度和绿化覆盖率等年度存量不能平均拆成十二个月。气象、水位和预警记录用于描述灾害冲击，不替代原指标的细化采集。</w:t>
      </w:r>
    </w:p>
    <w:p w14:paraId="7505FB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_Ref13336 \h </w:instrText>
      </w:r>
      <w:r>
        <w:rPr>
          <w:rFonts w:hint="eastAsia"/>
          <w:b w:val="0"/>
          <w:bCs w:val="0"/>
          <w:sz w:val="24"/>
          <w:szCs w:val="24"/>
          <w:lang w:val="en-US" w:eastAsia="zh-CN"/>
        </w:rPr>
        <w:fldChar w:fldCharType="separate"/>
      </w:r>
      <w:r>
        <w:t>图2</w:t>
      </w:r>
      <w:r>
        <w:rPr>
          <w:rFonts w:hint="eastAsia"/>
          <w:b w:val="0"/>
          <w:bCs w:val="0"/>
          <w:sz w:val="24"/>
          <w:szCs w:val="24"/>
          <w:lang w:val="en-US" w:eastAsia="zh-CN"/>
        </w:rPr>
        <w:fldChar w:fldCharType="end"/>
      </w:r>
      <w:r>
        <w:rPr>
          <w:rFonts w:hint="eastAsia"/>
          <w:b w:val="0"/>
          <w:bCs w:val="0"/>
          <w:sz w:val="24"/>
          <w:szCs w:val="24"/>
          <w:lang w:val="en-US" w:eastAsia="zh-CN"/>
        </w:rPr>
        <w:t>输出不再只有一张静态指标表，而是形成四类可验证结果：年度基线画像用于跨城市比较；区县短板地图用于识别同城内部差异；月度轨迹用于识别季节性与连续变化；事件恢复曲线用于比较相近灾害压力下的响应和恢复效率。</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_Ref13483 \h </w:instrText>
      </w:r>
      <w:r>
        <w:rPr>
          <w:rFonts w:hint="eastAsia"/>
          <w:b w:val="0"/>
          <w:bCs w:val="0"/>
          <w:sz w:val="24"/>
          <w:szCs w:val="24"/>
          <w:lang w:val="en-US" w:eastAsia="zh-CN"/>
        </w:rPr>
        <w:fldChar w:fldCharType="separate"/>
      </w:r>
      <w:r>
        <w:t>图1</w:t>
      </w:r>
      <w:r>
        <w:rPr>
          <w:rFonts w:hint="eastAsia"/>
          <w:b w:val="0"/>
          <w:bCs w:val="0"/>
          <w:sz w:val="24"/>
          <w:szCs w:val="24"/>
          <w:lang w:val="en-US" w:eastAsia="zh-CN"/>
        </w:rPr>
        <w:fldChar w:fldCharType="end"/>
      </w:r>
      <w:r>
        <w:rPr>
          <w:rFonts w:hint="eastAsia"/>
          <w:b w:val="0"/>
          <w:bCs w:val="0"/>
          <w:sz w:val="24"/>
          <w:szCs w:val="24"/>
          <w:lang w:val="en-US" w:eastAsia="zh-CN"/>
        </w:rPr>
        <w:t>由此成为</w:t>
      </w:r>
      <w:r>
        <w:rPr>
          <w:rFonts w:hint="eastAsia"/>
          <w:b w:val="0"/>
          <w:bCs w:val="0"/>
          <w:sz w:val="24"/>
          <w:szCs w:val="24"/>
          <w:lang w:val="en-US" w:eastAsia="zh-CN"/>
        </w:rPr>
        <w:fldChar w:fldCharType="begin"/>
      </w:r>
      <w:r>
        <w:rPr>
          <w:rFonts w:hint="eastAsia"/>
          <w:b w:val="0"/>
          <w:bCs w:val="0"/>
          <w:sz w:val="24"/>
          <w:szCs w:val="24"/>
          <w:lang w:val="en-US" w:eastAsia="zh-CN"/>
        </w:rPr>
        <w:instrText xml:space="preserve"> REF _Ref13336 \h </w:instrText>
      </w:r>
      <w:r>
        <w:rPr>
          <w:rFonts w:hint="eastAsia"/>
          <w:b w:val="0"/>
          <w:bCs w:val="0"/>
          <w:sz w:val="24"/>
          <w:szCs w:val="24"/>
          <w:lang w:val="en-US" w:eastAsia="zh-CN"/>
        </w:rPr>
        <w:fldChar w:fldCharType="separate"/>
      </w:r>
      <w:r>
        <w:t>图2</w:t>
      </w:r>
      <w:r>
        <w:rPr>
          <w:rFonts w:hint="eastAsia"/>
          <w:b w:val="0"/>
          <w:bCs w:val="0"/>
          <w:sz w:val="24"/>
          <w:szCs w:val="24"/>
          <w:lang w:val="en-US" w:eastAsia="zh-CN"/>
        </w:rPr>
        <w:fldChar w:fldCharType="end"/>
      </w:r>
      <w:r>
        <w:rPr>
          <w:rFonts w:hint="eastAsia"/>
          <w:b w:val="0"/>
          <w:bCs w:val="0"/>
          <w:sz w:val="24"/>
          <w:szCs w:val="24"/>
          <w:lang w:val="en-US" w:eastAsia="zh-CN"/>
        </w:rPr>
        <w:t>中的基线能力模块，并作为后续实证研究的稳定起点。</w:t>
      </w:r>
    </w:p>
    <w:p w14:paraId="4AA98A20">
      <w:pPr>
        <w:numPr>
          <w:ilvl w:val="0"/>
          <w:numId w:val="1"/>
        </w:numPr>
        <w:bidi w:val="0"/>
        <w:ind w:leftChars="0"/>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数据收集与演化分析</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rPr>
          <w:rFonts w:hint="default" w:eastAsia="黑体"/>
          <w:b w:val="0"/>
          <w:sz w:val="24"/>
          <w:lang w:val="en-US" w:eastAsia="zh-CN"/>
        </w:rPr>
        <w:t>5.1 年度基线数据与指标口径</w:t>
      </w:r>
    </w:p>
    <w:p w14:paraId="50675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已有16项年度指标是本研究继续取数的对象。采集时先保存原始分子、分母，再计算比率或密度，并依次形成“城市—年份”和“区县—年份”两级数据表；对确有月度原始构成量的指标，追加“区县—月份”表。每条记录都保留指标代码、行政区划、时期、单位、统计口径和来源，不能把市级或省级数值标成区县实测值。</w:t>
      </w:r>
    </w:p>
    <w:p w14:paraId="0DD7C6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16项基准指标主要来自统计年鉴、政府公报、部门决算、城市建设统计年鉴和行业年度报告。人口、医院床位、财政支出等指标可优先从区县统计年鉴或区级决算中采集；供水、排水、绿地和垃圾处理等指标优先采用住建、水务和城管部门的分区统计；确无区县口径时再使用市级值，并将其标注为共同背景变量。</w:t>
      </w:r>
    </w:p>
    <w:p w14:paraId="3F5A22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时间细化以同一指标的真实原始记录为准。人口结构、床位、管网和绿地等存量通常按年更新；财政支出、污水处理和垃圾处置等流量，只有在分子与分母同时提供同区、同月数据时才能形成原指标月值。把上一年值关联到某月分析时，应标为“年度背景值”，而不是当月观测。月供水量、事故死亡数等单项月度数据可以另作运行状态变量，但不能直接冒充供水普及率或亿元GDP事故死亡率。</w:t>
      </w:r>
    </w:p>
    <w:p w14:paraId="089726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指标筛选阶段，研究对全部候选指标逐一进行了数据可用性排查。能够从公开渠道直接获取统计数值的指标予以保留；需要通过政策文本、规划文件内容分析后分级评价的指标予以保留并说明评价依据；无法找到口径统一、稳定可得的公开数据，又难以通过替代指标近似刻画的指标予以删除。</w:t>
      </w:r>
    </w:p>
    <w:p w14:paraId="76CFCC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例如，每万人拥有应急救护员数量因国内多数超大城市缺少口径统一的累计持证救护员公开数据而删除；注册志愿者占常住人口比例因公开渠道缺少地级市层面的连续统计数据而删除；安全生产责任保险覆盖率因公开渠道缺少分城市连续统计数据而删除；重大危险源在线监控率相关监测数据存储于应急管理内部监管平台，仅少量城市在专项简报零散披露，难以批量获取而删除。市民安全满意度与意识水平属于主观感知类指标，公开渠道难以获取分城市、分年度的连续调查数值，本研究采用各地平安建设公报与社情民意调查公开披露的群众安全感作为代理指标，并注明其调查口径主要聚焦社会治安领域，与全维度城市安全满意度存在差异；安全文化教育体验基地数量因各地命名与统计口径差异较大，替换为应急管理部门统一评审命名的全国综合减灾示范社区数量，其名单可从各省市应急管理部门公开公示文件获取。城市生命线系统冗余度、气象与内涝监测站点密度、桥梁隧道老旧房屋安全监测覆盖率、城市抗震防灾规划达标率四项指标或因工程冗余参数与监测站点数据分散于城市内部专项规划文件、或因评估结果存放于地方专项规划文件，均缺少全国统一公开的分城市连续面板数据，难以从外网批量获取，本研究分别采用城市供水管道普及率、城市污水处理率、城市建成区人均公园绿地面积、城市建成区绿化覆盖率作为代理指标，数据均取自《中国城市建设统计年鉴》，分别按供水人口与城市人口之比、污水处理总量与污水排放量之比、公园绿地面积与城市城区人口之比、绿化覆盖面积与建成区面积之比计算。暂住人口比例、残疾人口比例等指标在公开统计中分别采用外来常住人口、户籍持证残疾人等替代口径，其口径差异在指标释义中注明。</w:t>
      </w:r>
    </w:p>
    <w:p w14:paraId="25746E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针对城市生命线工程灾后恢复时间目标这一规划定性指标，因公开渠道无统一量化面板，本研究以用户平均停电时间（供电恢复时效）作为代理指标，数据取自国家能源局《全国电力可靠性年度报告》，该报告公布全部省份的用户平均停电时间（省级口径连续可查），地级市层面仅50个重点城市公开数据，故本指标采用省级口径开展分析；其统计口径包含计划检修停电与故障停电，故障停电部分可代理生命线系统灾后的抢修恢复能力。韧性城市专项规划编制情况、市级专项应急预案数量、城市安全风险评估完成率、城市应急管理综合应用平台建设水平、应急响应人员到达现场平均时间五项指标，或因仅能定性评估、或因城市间口径差异较大、或因缺少统一公开面板数据，为保障指标口径统一与跨城市可比，予以删除。安全科技研发投入与成果推广因公开渠道缺少分城市、分年度的统一统计而删除；灾害调查评估与整改闭环率因缺少统一公开的整改闭环统计数据而删除。经过排查，最终保留的16项指标均已明确年度取值方式；区县和月度可得性仍需按表4逐项核验。</w:t>
      </w:r>
    </w:p>
    <w:p w14:paraId="510EAA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需要说明的是，指标体系中亿元生产总值生产安全事故死亡率、公共安全财政支出占比等管理类指标，属于城市整体安全治理能力的代理变量，反映的是城市在面对各类突发事件时的治理基础与资源投入水平，而非直接衡量自然灾害应对能力。其作为韧性评价的组成部分，主要用于表征城市管理体系的整体成熟度，而非单独评价自然灾害防灾减灾的专项投入。此外，全国综合减灾示范社区数量为绝对总量指标，受城市人口规模与社区总数影响较大，在跨城市横向比较时需结合城市规模进行标准化解读，不宜直接以绝对数量论高低。</w:t>
      </w:r>
    </w:p>
    <w:p w14:paraId="7505F3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为保障不同时间与空间单元之间的可比性，数据采集遵循三个统一要求：统一时间口径，同一轮年度评价尽量采用同一年份，月度数据统一采用自然月，事件数据统一以预警发布或冲击开始时刻为零点；统一空间口径，城市与区县使用国家统计用行政区划代码，站点和积涝点通过经纬度空间匹配到区县；统一统计定义，对常住人口、持证残疾人、停电时长和灾害损失等字段保留原始口径、单位与来源版本。</w:t>
      </w:r>
    </w:p>
    <w:p w14:paraId="57C9E4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表3汇总原16项指标的年度数据渠道与计算方式。为使细化采集具有可检查的对象，表4逐项列出区县年度取数路径及月度原口径的限制，并区分已核实的具体表目和仍需核验的来源。</w:t>
      </w:r>
    </w:p>
    <w:p w14:paraId="5BD300C1">
      <w:pPr>
        <w:pStyle w:val="3"/>
        <w:keepNext/>
        <w:jc w:val="center"/>
        <w:rPr>
          <w:rFonts w:hint="eastAsia" w:eastAsia="黑体"/>
          <w:lang w:val="en-US" w:eastAsia="zh-CN"/>
        </w:rPr>
      </w:pPr>
      <w:r>
        <w:t>表3 基准指标数据获取渠道与取数方式</w:t>
      </w:r>
    </w:p>
    <w:tbl>
      <w:tblPr>
        <w:tblStyle w:val="4"/>
        <w:tblW w:w="0" w:type="auto"/>
        <w:jc w:val="center"/>
        <w:tblLayout w:type="autofit"/>
        <w:tblCellMar>
          <w:top w:w="0" w:type="dxa"/>
          <w:left w:w="108" w:type="dxa"/>
          <w:bottom w:w="0" w:type="dxa"/>
          <w:right w:w="108" w:type="dxa"/>
        </w:tblCellMar>
      </w:tblPr>
      <w:tblGrid>
        <w:gridCol w:w="636"/>
        <w:gridCol w:w="1514"/>
        <w:gridCol w:w="4161"/>
        <w:gridCol w:w="2211"/>
      </w:tblGrid>
      <w:tr w14:paraId="6BCB416B">
        <w:tblPrEx>
          <w:tblCellMar>
            <w:top w:w="0" w:type="dxa"/>
            <w:left w:w="108" w:type="dxa"/>
            <w:bottom w:w="0" w:type="dxa"/>
            <w:right w:w="108" w:type="dxa"/>
          </w:tblCellMar>
        </w:tblPrEx>
        <w:trPr>
          <w:cantSpli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A22E95F">
            <w:pPr>
              <w:jc w:val="center"/>
              <w:rPr>
                <w:rFonts w:ascii="Times New Roman" w:hAnsi="Times New Roman" w:eastAsia="宋体"/>
                <w:b/>
                <w:sz w:val="21"/>
              </w:rPr>
            </w:pPr>
            <w:r>
              <w:rPr>
                <w:rFonts w:ascii="Times New Roman" w:hAnsi="Times New Roman" w:eastAsia="宋体"/>
                <w:b/>
                <w:sz w:val="21"/>
              </w:rPr>
              <w:t>编号</w:t>
            </w:r>
          </w:p>
        </w:tc>
        <w:tc>
          <w:tcPr>
            <w:tcW w:w="0" w:type="auto"/>
            <w:tcBorders>
              <w:top w:val="single" w:color="000000" w:sz="12" w:space="0"/>
              <w:left w:val="nil"/>
              <w:bottom w:val="single" w:color="000000" w:sz="4" w:space="0"/>
              <w:right w:val="nil"/>
            </w:tcBorders>
            <w:shd w:val="clear" w:color="auto" w:fill="FFFFFF"/>
            <w:vAlign w:val="center"/>
          </w:tcPr>
          <w:p w14:paraId="0B04B98D">
            <w:pPr>
              <w:jc w:val="center"/>
              <w:rPr>
                <w:rFonts w:ascii="Times New Roman" w:hAnsi="Times New Roman" w:eastAsia="宋体"/>
                <w:b/>
                <w:sz w:val="21"/>
              </w:rPr>
            </w:pPr>
            <w:r>
              <w:rPr>
                <w:rFonts w:ascii="Times New Roman" w:hAnsi="Times New Roman" w:eastAsia="宋体"/>
                <w:b/>
                <w:sz w:val="21"/>
              </w:rPr>
              <w:t>指标名称</w:t>
            </w:r>
          </w:p>
        </w:tc>
        <w:tc>
          <w:tcPr>
            <w:tcW w:w="0" w:type="auto"/>
            <w:tcBorders>
              <w:top w:val="single" w:color="000000" w:sz="12" w:space="0"/>
              <w:left w:val="nil"/>
              <w:bottom w:val="single" w:color="000000" w:sz="4" w:space="0"/>
              <w:right w:val="nil"/>
            </w:tcBorders>
            <w:shd w:val="clear" w:color="auto" w:fill="FFFFFF"/>
            <w:vAlign w:val="center"/>
          </w:tcPr>
          <w:p w14:paraId="3C18A2FA">
            <w:pPr>
              <w:jc w:val="center"/>
              <w:rPr>
                <w:rFonts w:ascii="Times New Roman" w:hAnsi="Times New Roman" w:eastAsia="宋体"/>
                <w:b/>
                <w:sz w:val="21"/>
              </w:rPr>
            </w:pPr>
            <w:r>
              <w:rPr>
                <w:rFonts w:ascii="Times New Roman" w:hAnsi="Times New Roman" w:eastAsia="宋体"/>
                <w:b/>
                <w:sz w:val="21"/>
              </w:rPr>
              <w:t>数据获取渠道（具体网站/公开平台）</w:t>
            </w:r>
          </w:p>
        </w:tc>
        <w:tc>
          <w:tcPr>
            <w:tcW w:w="0" w:type="auto"/>
            <w:tcBorders>
              <w:top w:val="single" w:color="000000" w:sz="12" w:space="0"/>
              <w:left w:val="nil"/>
              <w:bottom w:val="single" w:color="000000" w:sz="4" w:space="0"/>
              <w:right w:val="nil"/>
            </w:tcBorders>
            <w:shd w:val="clear" w:color="auto" w:fill="FFFFFF"/>
            <w:vAlign w:val="center"/>
          </w:tcPr>
          <w:p w14:paraId="52E142EC">
            <w:pPr>
              <w:jc w:val="center"/>
              <w:rPr>
                <w:rFonts w:ascii="Times New Roman" w:hAnsi="Times New Roman" w:eastAsia="宋体"/>
                <w:b/>
                <w:sz w:val="21"/>
              </w:rPr>
            </w:pPr>
            <w:r>
              <w:rPr>
                <w:rFonts w:ascii="Times New Roman" w:hAnsi="Times New Roman" w:eastAsia="宋体"/>
                <w:b/>
                <w:sz w:val="21"/>
              </w:rPr>
              <w:t>取数/计算方式</w:t>
            </w:r>
          </w:p>
        </w:tc>
      </w:tr>
      <w:tr w14:paraId="779CF099">
        <w:tblPrEx>
          <w:tblCellMar>
            <w:top w:w="0" w:type="dxa"/>
            <w:left w:w="108" w:type="dxa"/>
            <w:bottom w:w="0" w:type="dxa"/>
            <w:right w:w="108" w:type="dxa"/>
          </w:tblCellMar>
        </w:tblPrEx>
        <w:trPr>
          <w:cantSplit/>
          <w:jc w:val="center"/>
        </w:trPr>
        <w:tc>
          <w:tcPr>
            <w:tcW w:w="0" w:type="auto"/>
            <w:tcBorders>
              <w:top w:val="single" w:color="000000" w:sz="4" w:space="0"/>
              <w:left w:val="nil"/>
              <w:bottom w:val="nil"/>
              <w:right w:val="nil"/>
            </w:tcBorders>
            <w:shd w:val="clear" w:color="auto" w:fill="FFFFFF"/>
            <w:vAlign w:val="center"/>
          </w:tcPr>
          <w:p w14:paraId="7DED4475">
            <w:pPr>
              <w:jc w:val="center"/>
              <w:rPr>
                <w:rFonts w:ascii="Times New Roman" w:hAnsi="Times New Roman" w:eastAsia="宋体"/>
                <w:b w:val="0"/>
                <w:sz w:val="21"/>
              </w:rPr>
            </w:pPr>
            <w:r>
              <w:rPr>
                <w:rFonts w:ascii="Times New Roman" w:hAnsi="Times New Roman" w:eastAsia="宋体"/>
                <w:b w:val="0"/>
                <w:sz w:val="21"/>
              </w:rPr>
              <w:t>1.1.1</w:t>
            </w:r>
          </w:p>
        </w:tc>
        <w:tc>
          <w:tcPr>
            <w:tcW w:w="0" w:type="auto"/>
            <w:tcBorders>
              <w:top w:val="single" w:color="000000" w:sz="4" w:space="0"/>
              <w:left w:val="nil"/>
              <w:bottom w:val="nil"/>
              <w:right w:val="nil"/>
            </w:tcBorders>
            <w:shd w:val="clear" w:color="auto" w:fill="FFFFFF"/>
            <w:vAlign w:val="center"/>
          </w:tcPr>
          <w:p w14:paraId="4FBF8215">
            <w:pPr>
              <w:jc w:val="center"/>
              <w:rPr>
                <w:rFonts w:ascii="Times New Roman" w:hAnsi="Times New Roman" w:eastAsia="宋体"/>
                <w:b w:val="0"/>
                <w:sz w:val="21"/>
              </w:rPr>
            </w:pPr>
            <w:r>
              <w:rPr>
                <w:rFonts w:ascii="Times New Roman" w:hAnsi="Times New Roman" w:eastAsia="宋体"/>
                <w:b w:val="0"/>
                <w:sz w:val="21"/>
              </w:rPr>
              <w:t>人口年龄结构指数</w:t>
            </w:r>
          </w:p>
        </w:tc>
        <w:tc>
          <w:tcPr>
            <w:tcW w:w="0" w:type="auto"/>
            <w:tcBorders>
              <w:top w:val="single" w:color="000000" w:sz="4" w:space="0"/>
              <w:left w:val="nil"/>
              <w:bottom w:val="nil"/>
              <w:right w:val="nil"/>
            </w:tcBorders>
            <w:shd w:val="clear" w:color="auto" w:fill="FFFFFF"/>
            <w:vAlign w:val="center"/>
          </w:tcPr>
          <w:p w14:paraId="5F850688">
            <w:pPr>
              <w:jc w:val="center"/>
              <w:rPr>
                <w:rFonts w:ascii="Times New Roman" w:hAnsi="Times New Roman" w:eastAsia="宋体"/>
                <w:b w:val="0"/>
                <w:sz w:val="21"/>
              </w:rPr>
            </w:pPr>
            <w:r>
              <w:rPr>
                <w:rFonts w:ascii="Times New Roman" w:hAnsi="Times New Roman" w:eastAsia="宋体"/>
                <w:b w:val="0"/>
                <w:sz w:val="21"/>
              </w:rPr>
              <w:t>国家统计局官网（stats.gov.cn）《中国统计年鉴》人口篇；地方统计局官网统计年鉴分年龄常住人口表</w:t>
            </w:r>
          </w:p>
        </w:tc>
        <w:tc>
          <w:tcPr>
            <w:tcW w:w="0" w:type="auto"/>
            <w:tcBorders>
              <w:top w:val="single" w:color="000000" w:sz="4" w:space="0"/>
              <w:left w:val="nil"/>
              <w:bottom w:val="nil"/>
              <w:right w:val="nil"/>
            </w:tcBorders>
            <w:shd w:val="clear" w:color="auto" w:fill="FFFFFF"/>
            <w:vAlign w:val="center"/>
          </w:tcPr>
          <w:p w14:paraId="70613B6A">
            <w:pPr>
              <w:jc w:val="center"/>
              <w:rPr>
                <w:rFonts w:ascii="Times New Roman" w:hAnsi="Times New Roman" w:eastAsia="宋体"/>
                <w:b w:val="0"/>
                <w:sz w:val="21"/>
              </w:rPr>
            </w:pPr>
            <w:r>
              <w:rPr>
                <w:rFonts w:ascii="Times New Roman" w:hAnsi="Times New Roman" w:eastAsia="宋体"/>
                <w:b w:val="0"/>
                <w:sz w:val="21"/>
              </w:rPr>
              <w:t>（14岁以下+60岁及以上人口）÷常住人口×100%</w:t>
            </w:r>
          </w:p>
        </w:tc>
      </w:tr>
      <w:tr w14:paraId="4F3155C8">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C337230">
            <w:pPr>
              <w:jc w:val="center"/>
              <w:rPr>
                <w:rFonts w:ascii="Times New Roman" w:hAnsi="Times New Roman" w:eastAsia="宋体"/>
                <w:b w:val="0"/>
                <w:sz w:val="21"/>
              </w:rPr>
            </w:pPr>
            <w:r>
              <w:rPr>
                <w:rFonts w:ascii="Times New Roman" w:hAnsi="Times New Roman" w:eastAsia="宋体"/>
                <w:b w:val="0"/>
                <w:sz w:val="21"/>
              </w:rPr>
              <w:t>1.1.2</w:t>
            </w:r>
          </w:p>
        </w:tc>
        <w:tc>
          <w:tcPr>
            <w:tcW w:w="0" w:type="auto"/>
            <w:tcBorders>
              <w:top w:val="nil"/>
              <w:left w:val="nil"/>
              <w:bottom w:val="nil"/>
              <w:right w:val="nil"/>
            </w:tcBorders>
            <w:shd w:val="clear" w:color="auto" w:fill="FFFFFF"/>
            <w:vAlign w:val="center"/>
          </w:tcPr>
          <w:p w14:paraId="5C1E86DB">
            <w:pPr>
              <w:jc w:val="center"/>
              <w:rPr>
                <w:rFonts w:ascii="Times New Roman" w:hAnsi="Times New Roman" w:eastAsia="宋体"/>
                <w:b w:val="0"/>
                <w:sz w:val="21"/>
              </w:rPr>
            </w:pPr>
            <w:r>
              <w:rPr>
                <w:rFonts w:ascii="Times New Roman" w:hAnsi="Times New Roman" w:eastAsia="宋体"/>
                <w:b w:val="0"/>
                <w:sz w:val="21"/>
              </w:rPr>
              <w:t>残疾人口比例</w:t>
            </w:r>
          </w:p>
        </w:tc>
        <w:tc>
          <w:tcPr>
            <w:tcW w:w="0" w:type="auto"/>
            <w:tcBorders>
              <w:top w:val="nil"/>
              <w:left w:val="nil"/>
              <w:bottom w:val="nil"/>
              <w:right w:val="nil"/>
            </w:tcBorders>
            <w:shd w:val="clear" w:color="auto" w:fill="FFFFFF"/>
            <w:vAlign w:val="center"/>
          </w:tcPr>
          <w:p w14:paraId="3F622032">
            <w:pPr>
              <w:jc w:val="center"/>
              <w:rPr>
                <w:rFonts w:ascii="Times New Roman" w:hAnsi="Times New Roman" w:eastAsia="宋体"/>
                <w:b w:val="0"/>
                <w:sz w:val="21"/>
              </w:rPr>
            </w:pPr>
            <w:r>
              <w:rPr>
                <w:rFonts w:ascii="Times New Roman" w:hAnsi="Times New Roman" w:eastAsia="宋体"/>
                <w:b w:val="0"/>
                <w:sz w:val="21"/>
              </w:rPr>
              <w:t>地方统计局官网统计年鉴“残疾人事业”篇；中国残联官网（cdpf.org.cn）残疾人事业发展统计公报</w:t>
            </w:r>
          </w:p>
        </w:tc>
        <w:tc>
          <w:tcPr>
            <w:tcW w:w="0" w:type="auto"/>
            <w:tcBorders>
              <w:top w:val="nil"/>
              <w:left w:val="nil"/>
              <w:bottom w:val="nil"/>
              <w:right w:val="nil"/>
            </w:tcBorders>
            <w:shd w:val="clear" w:color="auto" w:fill="FFFFFF"/>
            <w:vAlign w:val="center"/>
          </w:tcPr>
          <w:p w14:paraId="364C45CE">
            <w:pPr>
              <w:jc w:val="center"/>
              <w:rPr>
                <w:rFonts w:ascii="Times New Roman" w:hAnsi="Times New Roman" w:eastAsia="宋体"/>
                <w:b w:val="0"/>
                <w:sz w:val="21"/>
              </w:rPr>
            </w:pPr>
            <w:r>
              <w:rPr>
                <w:rFonts w:ascii="Times New Roman" w:hAnsi="Times New Roman" w:eastAsia="宋体"/>
                <w:b w:val="0"/>
                <w:sz w:val="21"/>
              </w:rPr>
              <w:t>持证残疾人数÷常住人口×100%</w:t>
            </w:r>
          </w:p>
        </w:tc>
      </w:tr>
      <w:tr w14:paraId="3D346969">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22E22319">
            <w:pPr>
              <w:jc w:val="center"/>
              <w:rPr>
                <w:rFonts w:ascii="Times New Roman" w:hAnsi="Times New Roman" w:eastAsia="宋体"/>
                <w:b w:val="0"/>
                <w:sz w:val="21"/>
              </w:rPr>
            </w:pPr>
            <w:r>
              <w:rPr>
                <w:rFonts w:ascii="Times New Roman" w:hAnsi="Times New Roman" w:eastAsia="宋体"/>
                <w:b w:val="0"/>
                <w:sz w:val="21"/>
              </w:rPr>
              <w:t>1.1.3</w:t>
            </w:r>
          </w:p>
        </w:tc>
        <w:tc>
          <w:tcPr>
            <w:tcW w:w="0" w:type="auto"/>
            <w:tcBorders>
              <w:top w:val="nil"/>
              <w:left w:val="nil"/>
              <w:bottom w:val="nil"/>
              <w:right w:val="nil"/>
            </w:tcBorders>
            <w:shd w:val="clear" w:color="auto" w:fill="FFFFFF"/>
            <w:vAlign w:val="center"/>
          </w:tcPr>
          <w:p w14:paraId="39C04236">
            <w:pPr>
              <w:jc w:val="center"/>
              <w:rPr>
                <w:rFonts w:ascii="Times New Roman" w:hAnsi="Times New Roman" w:eastAsia="宋体"/>
                <w:b w:val="0"/>
                <w:sz w:val="21"/>
              </w:rPr>
            </w:pPr>
            <w:r>
              <w:rPr>
                <w:rFonts w:ascii="Times New Roman" w:hAnsi="Times New Roman" w:eastAsia="宋体"/>
                <w:b w:val="0"/>
                <w:sz w:val="21"/>
              </w:rPr>
              <w:t>暂住人口比例</w:t>
            </w:r>
          </w:p>
        </w:tc>
        <w:tc>
          <w:tcPr>
            <w:tcW w:w="0" w:type="auto"/>
            <w:tcBorders>
              <w:top w:val="nil"/>
              <w:left w:val="nil"/>
              <w:bottom w:val="nil"/>
              <w:right w:val="nil"/>
            </w:tcBorders>
            <w:shd w:val="clear" w:color="auto" w:fill="FFFFFF"/>
            <w:vAlign w:val="center"/>
          </w:tcPr>
          <w:p w14:paraId="0D1EFDED">
            <w:pPr>
              <w:jc w:val="center"/>
              <w:rPr>
                <w:rFonts w:ascii="Times New Roman" w:hAnsi="Times New Roman" w:eastAsia="宋体"/>
                <w:b w:val="0"/>
                <w:sz w:val="21"/>
              </w:rPr>
            </w:pPr>
            <w:r>
              <w:rPr>
                <w:rFonts w:ascii="Times New Roman" w:hAnsi="Times New Roman" w:eastAsia="宋体"/>
                <w:b w:val="0"/>
                <w:sz w:val="21"/>
              </w:rPr>
              <w:t>地方统计局官网统计年鉴常住人口构成表；地方公安部门官网流动人口统计</w:t>
            </w:r>
          </w:p>
        </w:tc>
        <w:tc>
          <w:tcPr>
            <w:tcW w:w="0" w:type="auto"/>
            <w:tcBorders>
              <w:top w:val="nil"/>
              <w:left w:val="nil"/>
              <w:bottom w:val="nil"/>
              <w:right w:val="nil"/>
            </w:tcBorders>
            <w:shd w:val="clear" w:color="auto" w:fill="FFFFFF"/>
            <w:vAlign w:val="center"/>
          </w:tcPr>
          <w:p w14:paraId="09CCE3FA">
            <w:pPr>
              <w:jc w:val="center"/>
              <w:rPr>
                <w:rFonts w:ascii="Times New Roman" w:hAnsi="Times New Roman" w:eastAsia="宋体"/>
                <w:b w:val="0"/>
                <w:sz w:val="21"/>
              </w:rPr>
            </w:pPr>
            <w:r>
              <w:rPr>
                <w:rFonts w:ascii="Times New Roman" w:hAnsi="Times New Roman" w:eastAsia="宋体"/>
                <w:b w:val="0"/>
                <w:sz w:val="21"/>
              </w:rPr>
              <w:t>外来常住人口÷常住人口×100%</w:t>
            </w:r>
          </w:p>
        </w:tc>
      </w:tr>
      <w:tr w14:paraId="04A7D29B">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D4E4DF0">
            <w:pPr>
              <w:jc w:val="center"/>
              <w:rPr>
                <w:rFonts w:ascii="Times New Roman" w:hAnsi="Times New Roman" w:eastAsia="宋体"/>
                <w:b w:val="0"/>
                <w:sz w:val="21"/>
              </w:rPr>
            </w:pPr>
            <w:r>
              <w:rPr>
                <w:rFonts w:ascii="Times New Roman" w:hAnsi="Times New Roman" w:eastAsia="宋体"/>
                <w:b w:val="0"/>
                <w:sz w:val="21"/>
              </w:rPr>
              <w:t>1.2.1</w:t>
            </w:r>
          </w:p>
        </w:tc>
        <w:tc>
          <w:tcPr>
            <w:tcW w:w="0" w:type="auto"/>
            <w:tcBorders>
              <w:top w:val="nil"/>
              <w:left w:val="nil"/>
              <w:bottom w:val="nil"/>
              <w:right w:val="nil"/>
            </w:tcBorders>
            <w:shd w:val="clear" w:color="auto" w:fill="FFFFFF"/>
            <w:vAlign w:val="center"/>
          </w:tcPr>
          <w:p w14:paraId="3752AB49">
            <w:pPr>
              <w:jc w:val="center"/>
              <w:rPr>
                <w:rFonts w:ascii="Times New Roman" w:hAnsi="Times New Roman" w:eastAsia="宋体"/>
                <w:b w:val="0"/>
                <w:sz w:val="21"/>
              </w:rPr>
            </w:pPr>
            <w:r>
              <w:rPr>
                <w:rFonts w:ascii="Times New Roman" w:hAnsi="Times New Roman" w:eastAsia="宋体"/>
                <w:b w:val="0"/>
                <w:sz w:val="21"/>
              </w:rPr>
              <w:t>市民安全满意度与意识水平</w:t>
            </w:r>
          </w:p>
        </w:tc>
        <w:tc>
          <w:tcPr>
            <w:tcW w:w="0" w:type="auto"/>
            <w:tcBorders>
              <w:top w:val="nil"/>
              <w:left w:val="nil"/>
              <w:bottom w:val="nil"/>
              <w:right w:val="nil"/>
            </w:tcBorders>
            <w:shd w:val="clear" w:color="auto" w:fill="FFFFFF"/>
            <w:vAlign w:val="center"/>
          </w:tcPr>
          <w:p w14:paraId="6EE5364A">
            <w:pPr>
              <w:jc w:val="center"/>
              <w:rPr>
                <w:rFonts w:ascii="Times New Roman" w:hAnsi="Times New Roman" w:eastAsia="宋体"/>
                <w:b w:val="0"/>
                <w:sz w:val="21"/>
              </w:rPr>
            </w:pPr>
            <w:r>
              <w:rPr>
                <w:rFonts w:ascii="Times New Roman" w:hAnsi="Times New Roman" w:eastAsia="宋体"/>
                <w:b w:val="0"/>
                <w:sz w:val="21"/>
              </w:rPr>
              <w:t>各地党委政法委、平安建设网站公开的平安建设公报与社情民意调查数据</w:t>
            </w:r>
          </w:p>
        </w:tc>
        <w:tc>
          <w:tcPr>
            <w:tcW w:w="0" w:type="auto"/>
            <w:tcBorders>
              <w:top w:val="nil"/>
              <w:left w:val="nil"/>
              <w:bottom w:val="nil"/>
              <w:right w:val="nil"/>
            </w:tcBorders>
            <w:shd w:val="clear" w:color="auto" w:fill="FFFFFF"/>
            <w:vAlign w:val="center"/>
          </w:tcPr>
          <w:p w14:paraId="7C1BA8E6">
            <w:pPr>
              <w:jc w:val="center"/>
              <w:rPr>
                <w:rFonts w:ascii="Times New Roman" w:hAnsi="Times New Roman" w:eastAsia="宋体"/>
                <w:b w:val="0"/>
                <w:sz w:val="21"/>
              </w:rPr>
            </w:pPr>
            <w:r>
              <w:rPr>
                <w:rFonts w:ascii="Times New Roman" w:hAnsi="Times New Roman" w:eastAsia="宋体"/>
                <w:b w:val="0"/>
                <w:sz w:val="21"/>
              </w:rPr>
              <w:t>群众安全感数值或等级</w:t>
            </w:r>
          </w:p>
        </w:tc>
      </w:tr>
      <w:tr w14:paraId="5E32A205">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5474941">
            <w:pPr>
              <w:jc w:val="center"/>
              <w:rPr>
                <w:rFonts w:ascii="Times New Roman" w:hAnsi="Times New Roman" w:eastAsia="宋体"/>
                <w:b w:val="0"/>
                <w:sz w:val="21"/>
              </w:rPr>
            </w:pPr>
            <w:r>
              <w:rPr>
                <w:rFonts w:ascii="Times New Roman" w:hAnsi="Times New Roman" w:eastAsia="宋体"/>
                <w:b w:val="0"/>
                <w:sz w:val="21"/>
              </w:rPr>
              <w:t>1.2.2</w:t>
            </w:r>
          </w:p>
        </w:tc>
        <w:tc>
          <w:tcPr>
            <w:tcW w:w="0" w:type="auto"/>
            <w:tcBorders>
              <w:top w:val="nil"/>
              <w:left w:val="nil"/>
              <w:bottom w:val="nil"/>
              <w:right w:val="nil"/>
            </w:tcBorders>
            <w:shd w:val="clear" w:color="auto" w:fill="FFFFFF"/>
            <w:vAlign w:val="center"/>
          </w:tcPr>
          <w:p w14:paraId="745E8974">
            <w:pPr>
              <w:jc w:val="center"/>
              <w:rPr>
                <w:rFonts w:ascii="Times New Roman" w:hAnsi="Times New Roman" w:eastAsia="宋体"/>
                <w:b w:val="0"/>
                <w:sz w:val="21"/>
              </w:rPr>
            </w:pPr>
            <w:r>
              <w:rPr>
                <w:rFonts w:ascii="Times New Roman" w:hAnsi="Times New Roman" w:eastAsia="宋体"/>
                <w:b w:val="0"/>
                <w:sz w:val="21"/>
              </w:rPr>
              <w:t>全国综合减灾示范社区数量</w:t>
            </w:r>
          </w:p>
        </w:tc>
        <w:tc>
          <w:tcPr>
            <w:tcW w:w="0" w:type="auto"/>
            <w:tcBorders>
              <w:top w:val="nil"/>
              <w:left w:val="nil"/>
              <w:bottom w:val="nil"/>
              <w:right w:val="nil"/>
            </w:tcBorders>
            <w:shd w:val="clear" w:color="auto" w:fill="FFFFFF"/>
            <w:vAlign w:val="center"/>
          </w:tcPr>
          <w:p w14:paraId="33907CA1">
            <w:pPr>
              <w:jc w:val="center"/>
              <w:rPr>
                <w:rFonts w:ascii="Times New Roman" w:hAnsi="Times New Roman" w:eastAsia="宋体"/>
                <w:b w:val="0"/>
                <w:sz w:val="21"/>
              </w:rPr>
            </w:pPr>
            <w:r>
              <w:rPr>
                <w:rFonts w:ascii="Times New Roman" w:hAnsi="Times New Roman" w:eastAsia="宋体"/>
                <w:b w:val="0"/>
                <w:sz w:val="21"/>
              </w:rPr>
              <w:t>应急管理部官网（mem.gov.cn）公示公告；省市应急管理局官网公示文件</w:t>
            </w:r>
          </w:p>
        </w:tc>
        <w:tc>
          <w:tcPr>
            <w:tcW w:w="0" w:type="auto"/>
            <w:tcBorders>
              <w:top w:val="nil"/>
              <w:left w:val="nil"/>
              <w:bottom w:val="nil"/>
              <w:right w:val="nil"/>
            </w:tcBorders>
            <w:shd w:val="clear" w:color="auto" w:fill="FFFFFF"/>
            <w:vAlign w:val="center"/>
          </w:tcPr>
          <w:p w14:paraId="71FC576E">
            <w:pPr>
              <w:jc w:val="center"/>
              <w:rPr>
                <w:rFonts w:ascii="Times New Roman" w:hAnsi="Times New Roman" w:eastAsia="宋体"/>
                <w:b w:val="0"/>
                <w:sz w:val="21"/>
              </w:rPr>
            </w:pPr>
            <w:r>
              <w:rPr>
                <w:rFonts w:ascii="Times New Roman" w:hAnsi="Times New Roman" w:eastAsia="宋体"/>
                <w:b w:val="0"/>
                <w:sz w:val="21"/>
              </w:rPr>
              <w:t>年度新增或累计示范社区数</w:t>
            </w:r>
          </w:p>
        </w:tc>
      </w:tr>
      <w:tr w14:paraId="46173D7E">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61E79693">
            <w:pPr>
              <w:jc w:val="center"/>
              <w:rPr>
                <w:rFonts w:ascii="Times New Roman" w:hAnsi="Times New Roman" w:eastAsia="宋体"/>
                <w:b w:val="0"/>
                <w:sz w:val="21"/>
              </w:rPr>
            </w:pPr>
            <w:r>
              <w:rPr>
                <w:rFonts w:ascii="Times New Roman" w:hAnsi="Times New Roman" w:eastAsia="宋体"/>
                <w:b w:val="0"/>
                <w:sz w:val="21"/>
              </w:rPr>
              <w:t>1.3.1</w:t>
            </w:r>
          </w:p>
        </w:tc>
        <w:tc>
          <w:tcPr>
            <w:tcW w:w="0" w:type="auto"/>
            <w:tcBorders>
              <w:top w:val="nil"/>
              <w:left w:val="nil"/>
              <w:bottom w:val="nil"/>
              <w:right w:val="nil"/>
            </w:tcBorders>
            <w:shd w:val="clear" w:color="auto" w:fill="FFFFFF"/>
            <w:vAlign w:val="center"/>
          </w:tcPr>
          <w:p w14:paraId="448139B4">
            <w:pPr>
              <w:jc w:val="center"/>
              <w:rPr>
                <w:rFonts w:ascii="Times New Roman" w:hAnsi="Times New Roman" w:eastAsia="宋体"/>
                <w:b w:val="0"/>
                <w:sz w:val="21"/>
              </w:rPr>
            </w:pPr>
            <w:r>
              <w:rPr>
                <w:rFonts w:ascii="Times New Roman" w:hAnsi="Times New Roman" w:eastAsia="宋体"/>
                <w:b w:val="0"/>
                <w:sz w:val="21"/>
              </w:rPr>
              <w:t>商业保险密度</w:t>
            </w:r>
          </w:p>
        </w:tc>
        <w:tc>
          <w:tcPr>
            <w:tcW w:w="0" w:type="auto"/>
            <w:tcBorders>
              <w:top w:val="nil"/>
              <w:left w:val="nil"/>
              <w:bottom w:val="nil"/>
              <w:right w:val="nil"/>
            </w:tcBorders>
            <w:shd w:val="clear" w:color="auto" w:fill="FFFFFF"/>
            <w:vAlign w:val="center"/>
          </w:tcPr>
          <w:p w14:paraId="03BF31BC">
            <w:pPr>
              <w:jc w:val="center"/>
              <w:rPr>
                <w:rFonts w:ascii="Times New Roman" w:hAnsi="Times New Roman" w:eastAsia="宋体"/>
                <w:b w:val="0"/>
                <w:sz w:val="21"/>
              </w:rPr>
            </w:pPr>
            <w:r>
              <w:rPr>
                <w:rFonts w:ascii="Times New Roman" w:hAnsi="Times New Roman" w:eastAsia="宋体"/>
                <w:b w:val="0"/>
                <w:sz w:val="21"/>
              </w:rPr>
              <w:t>国家金融监督管理总局官网（nfra.gov.cn）地区保费收入统计；《中国保险年鉴》</w:t>
            </w:r>
          </w:p>
        </w:tc>
        <w:tc>
          <w:tcPr>
            <w:tcW w:w="0" w:type="auto"/>
            <w:tcBorders>
              <w:top w:val="nil"/>
              <w:left w:val="nil"/>
              <w:bottom w:val="nil"/>
              <w:right w:val="nil"/>
            </w:tcBorders>
            <w:shd w:val="clear" w:color="auto" w:fill="FFFFFF"/>
            <w:vAlign w:val="center"/>
          </w:tcPr>
          <w:p w14:paraId="137C7BBD">
            <w:pPr>
              <w:jc w:val="center"/>
              <w:rPr>
                <w:rFonts w:ascii="Times New Roman" w:hAnsi="Times New Roman" w:eastAsia="宋体"/>
                <w:b w:val="0"/>
                <w:sz w:val="21"/>
              </w:rPr>
            </w:pPr>
            <w:r>
              <w:rPr>
                <w:rFonts w:ascii="Times New Roman" w:hAnsi="Times New Roman" w:eastAsia="宋体"/>
                <w:b w:val="0"/>
                <w:sz w:val="21"/>
              </w:rPr>
              <w:t>保费收入÷常住人口</w:t>
            </w:r>
          </w:p>
        </w:tc>
      </w:tr>
      <w:tr w14:paraId="7C2EDD3E">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656F972">
            <w:pPr>
              <w:jc w:val="center"/>
              <w:rPr>
                <w:rFonts w:ascii="Times New Roman" w:hAnsi="Times New Roman" w:eastAsia="宋体"/>
                <w:b w:val="0"/>
                <w:sz w:val="21"/>
              </w:rPr>
            </w:pPr>
            <w:r>
              <w:rPr>
                <w:rFonts w:ascii="Times New Roman" w:hAnsi="Times New Roman" w:eastAsia="宋体"/>
                <w:b w:val="0"/>
                <w:sz w:val="21"/>
              </w:rPr>
              <w:t>2.1.1</w:t>
            </w:r>
          </w:p>
        </w:tc>
        <w:tc>
          <w:tcPr>
            <w:tcW w:w="0" w:type="auto"/>
            <w:tcBorders>
              <w:top w:val="nil"/>
              <w:left w:val="nil"/>
              <w:bottom w:val="nil"/>
              <w:right w:val="nil"/>
            </w:tcBorders>
            <w:shd w:val="clear" w:color="auto" w:fill="FFFFFF"/>
            <w:vAlign w:val="center"/>
          </w:tcPr>
          <w:p w14:paraId="6A398BF9">
            <w:pPr>
              <w:jc w:val="center"/>
              <w:rPr>
                <w:rFonts w:ascii="Times New Roman" w:hAnsi="Times New Roman" w:eastAsia="宋体"/>
                <w:b w:val="0"/>
                <w:sz w:val="21"/>
              </w:rPr>
            </w:pPr>
            <w:r>
              <w:rPr>
                <w:rFonts w:ascii="Times New Roman" w:hAnsi="Times New Roman" w:eastAsia="宋体"/>
                <w:b w:val="0"/>
                <w:sz w:val="21"/>
              </w:rPr>
              <w:t>每万人医院床位数</w:t>
            </w:r>
          </w:p>
        </w:tc>
        <w:tc>
          <w:tcPr>
            <w:tcW w:w="0" w:type="auto"/>
            <w:tcBorders>
              <w:top w:val="nil"/>
              <w:left w:val="nil"/>
              <w:bottom w:val="nil"/>
              <w:right w:val="nil"/>
            </w:tcBorders>
            <w:shd w:val="clear" w:color="auto" w:fill="FFFFFF"/>
            <w:vAlign w:val="center"/>
          </w:tcPr>
          <w:p w14:paraId="56984368">
            <w:pPr>
              <w:jc w:val="center"/>
              <w:rPr>
                <w:rFonts w:ascii="Times New Roman" w:hAnsi="Times New Roman" w:eastAsia="宋体"/>
                <w:b w:val="0"/>
                <w:sz w:val="21"/>
              </w:rPr>
            </w:pPr>
            <w:r>
              <w:rPr>
                <w:rFonts w:ascii="Times New Roman" w:hAnsi="Times New Roman" w:eastAsia="宋体"/>
                <w:b w:val="0"/>
                <w:sz w:val="21"/>
              </w:rPr>
              <w:t>《中国城市统计年鉴》（国家统计局），本校图书馆年鉴库/知网年鉴库获取PDF（市辖区口径）</w:t>
            </w:r>
          </w:p>
        </w:tc>
        <w:tc>
          <w:tcPr>
            <w:tcW w:w="0" w:type="auto"/>
            <w:tcBorders>
              <w:top w:val="nil"/>
              <w:left w:val="nil"/>
              <w:bottom w:val="nil"/>
              <w:right w:val="nil"/>
            </w:tcBorders>
            <w:shd w:val="clear" w:color="auto" w:fill="FFFFFF"/>
            <w:vAlign w:val="center"/>
          </w:tcPr>
          <w:p w14:paraId="7CB72C93">
            <w:pPr>
              <w:jc w:val="center"/>
              <w:rPr>
                <w:rFonts w:ascii="Times New Roman" w:hAnsi="Times New Roman" w:eastAsia="宋体"/>
                <w:b w:val="0"/>
                <w:sz w:val="21"/>
              </w:rPr>
            </w:pPr>
            <w:r>
              <w:rPr>
                <w:rFonts w:ascii="Times New Roman" w:hAnsi="Times New Roman" w:eastAsia="宋体"/>
                <w:b w:val="0"/>
                <w:sz w:val="21"/>
              </w:rPr>
              <w:t>（市辖区医院、卫生院床位数÷市辖区常住人口）×10000</w:t>
            </w:r>
          </w:p>
        </w:tc>
      </w:tr>
      <w:tr w14:paraId="51C6B769">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B049FC7">
            <w:pPr>
              <w:jc w:val="center"/>
              <w:rPr>
                <w:rFonts w:ascii="Times New Roman" w:hAnsi="Times New Roman" w:eastAsia="宋体"/>
                <w:b w:val="0"/>
                <w:sz w:val="21"/>
              </w:rPr>
            </w:pPr>
            <w:r>
              <w:rPr>
                <w:rFonts w:ascii="Times New Roman" w:hAnsi="Times New Roman" w:eastAsia="宋体"/>
                <w:b w:val="0"/>
                <w:sz w:val="21"/>
              </w:rPr>
              <w:t>2.1.2</w:t>
            </w:r>
          </w:p>
        </w:tc>
        <w:tc>
          <w:tcPr>
            <w:tcW w:w="0" w:type="auto"/>
            <w:tcBorders>
              <w:top w:val="nil"/>
              <w:left w:val="nil"/>
              <w:bottom w:val="nil"/>
              <w:right w:val="nil"/>
            </w:tcBorders>
            <w:shd w:val="clear" w:color="auto" w:fill="FFFFFF"/>
            <w:vAlign w:val="center"/>
          </w:tcPr>
          <w:p w14:paraId="4D7DFC09">
            <w:pPr>
              <w:jc w:val="center"/>
              <w:rPr>
                <w:rFonts w:ascii="Times New Roman" w:hAnsi="Times New Roman" w:eastAsia="宋体"/>
                <w:b w:val="0"/>
                <w:sz w:val="21"/>
              </w:rPr>
            </w:pPr>
            <w:r>
              <w:rPr>
                <w:rFonts w:ascii="Times New Roman" w:hAnsi="Times New Roman" w:eastAsia="宋体"/>
                <w:b w:val="0"/>
                <w:sz w:val="21"/>
              </w:rPr>
              <w:t>城市供水管道普及率</w:t>
            </w:r>
          </w:p>
        </w:tc>
        <w:tc>
          <w:tcPr>
            <w:tcW w:w="0" w:type="auto"/>
            <w:tcBorders>
              <w:top w:val="nil"/>
              <w:left w:val="nil"/>
              <w:bottom w:val="nil"/>
              <w:right w:val="nil"/>
            </w:tcBorders>
            <w:shd w:val="clear" w:color="auto" w:fill="FFFFFF"/>
            <w:vAlign w:val="center"/>
          </w:tcPr>
          <w:p w14:paraId="13DF4A4D">
            <w:pPr>
              <w:jc w:val="center"/>
              <w:rPr>
                <w:rFonts w:ascii="Times New Roman" w:hAnsi="Times New Roman" w:eastAsia="宋体"/>
                <w:b w:val="0"/>
                <w:sz w:val="21"/>
              </w:rPr>
            </w:pPr>
            <w:r>
              <w:rPr>
                <w:rFonts w:ascii="Times New Roman" w:hAnsi="Times New Roman" w:eastAsia="宋体"/>
                <w:b w:val="0"/>
                <w:sz w:val="21"/>
              </w:rPr>
              <w:t>住建部官网（mohurd.gov.cn）《中国城市建设统计年鉴》</w:t>
            </w:r>
          </w:p>
        </w:tc>
        <w:tc>
          <w:tcPr>
            <w:tcW w:w="0" w:type="auto"/>
            <w:tcBorders>
              <w:top w:val="nil"/>
              <w:left w:val="nil"/>
              <w:bottom w:val="nil"/>
              <w:right w:val="nil"/>
            </w:tcBorders>
            <w:shd w:val="clear" w:color="auto" w:fill="FFFFFF"/>
            <w:vAlign w:val="center"/>
          </w:tcPr>
          <w:p w14:paraId="4FBCDD2C">
            <w:pPr>
              <w:jc w:val="center"/>
              <w:rPr>
                <w:rFonts w:ascii="Times New Roman" w:hAnsi="Times New Roman" w:eastAsia="宋体"/>
                <w:b w:val="0"/>
                <w:sz w:val="21"/>
              </w:rPr>
            </w:pPr>
            <w:r>
              <w:rPr>
                <w:rFonts w:ascii="Times New Roman" w:hAnsi="Times New Roman" w:eastAsia="宋体"/>
                <w:b w:val="0"/>
                <w:sz w:val="21"/>
              </w:rPr>
              <w:t>供水人口÷城市人口×100%</w:t>
            </w:r>
          </w:p>
        </w:tc>
      </w:tr>
      <w:tr w14:paraId="5108772F">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C57464E">
            <w:pPr>
              <w:jc w:val="center"/>
              <w:rPr>
                <w:rFonts w:ascii="Times New Roman" w:hAnsi="Times New Roman" w:eastAsia="宋体"/>
                <w:b w:val="0"/>
                <w:sz w:val="21"/>
              </w:rPr>
            </w:pPr>
            <w:r>
              <w:rPr>
                <w:rFonts w:ascii="Times New Roman" w:hAnsi="Times New Roman" w:eastAsia="宋体"/>
                <w:b w:val="0"/>
                <w:sz w:val="21"/>
              </w:rPr>
              <w:t>2.1.3</w:t>
            </w:r>
          </w:p>
        </w:tc>
        <w:tc>
          <w:tcPr>
            <w:tcW w:w="0" w:type="auto"/>
            <w:tcBorders>
              <w:top w:val="nil"/>
              <w:left w:val="nil"/>
              <w:bottom w:val="nil"/>
              <w:right w:val="nil"/>
            </w:tcBorders>
            <w:shd w:val="clear" w:color="auto" w:fill="FFFFFF"/>
            <w:vAlign w:val="center"/>
          </w:tcPr>
          <w:p w14:paraId="3EAB7ADD">
            <w:pPr>
              <w:jc w:val="center"/>
              <w:rPr>
                <w:rFonts w:ascii="Times New Roman" w:hAnsi="Times New Roman" w:eastAsia="宋体"/>
                <w:b w:val="0"/>
                <w:sz w:val="21"/>
              </w:rPr>
            </w:pPr>
            <w:r>
              <w:rPr>
                <w:rFonts w:ascii="Times New Roman" w:hAnsi="Times New Roman" w:eastAsia="宋体"/>
                <w:b w:val="0"/>
                <w:sz w:val="21"/>
              </w:rPr>
              <w:t>建成区排水管网密度与设计标准</w:t>
            </w:r>
          </w:p>
        </w:tc>
        <w:tc>
          <w:tcPr>
            <w:tcW w:w="0" w:type="auto"/>
            <w:tcBorders>
              <w:top w:val="nil"/>
              <w:left w:val="nil"/>
              <w:bottom w:val="nil"/>
              <w:right w:val="nil"/>
            </w:tcBorders>
            <w:shd w:val="clear" w:color="auto" w:fill="FFFFFF"/>
            <w:vAlign w:val="center"/>
          </w:tcPr>
          <w:p w14:paraId="5125EF98">
            <w:pPr>
              <w:jc w:val="center"/>
              <w:rPr>
                <w:rFonts w:ascii="Times New Roman" w:hAnsi="Times New Roman" w:eastAsia="宋体"/>
                <w:b w:val="0"/>
                <w:sz w:val="21"/>
              </w:rPr>
            </w:pPr>
            <w:r>
              <w:rPr>
                <w:rFonts w:ascii="Times New Roman" w:hAnsi="Times New Roman" w:eastAsia="宋体"/>
                <w:b w:val="0"/>
                <w:sz w:val="21"/>
              </w:rPr>
              <w:t>住建部官网《中国城市建设统计年鉴》（排水篇）及排水防涝相关规划文本</w:t>
            </w:r>
          </w:p>
        </w:tc>
        <w:tc>
          <w:tcPr>
            <w:tcW w:w="0" w:type="auto"/>
            <w:tcBorders>
              <w:top w:val="nil"/>
              <w:left w:val="nil"/>
              <w:bottom w:val="nil"/>
              <w:right w:val="nil"/>
            </w:tcBorders>
            <w:shd w:val="clear" w:color="auto" w:fill="FFFFFF"/>
            <w:vAlign w:val="center"/>
          </w:tcPr>
          <w:p w14:paraId="3AD995AE">
            <w:pPr>
              <w:jc w:val="center"/>
              <w:rPr>
                <w:rFonts w:ascii="Times New Roman" w:hAnsi="Times New Roman" w:eastAsia="宋体"/>
                <w:b w:val="0"/>
                <w:sz w:val="21"/>
              </w:rPr>
            </w:pPr>
            <w:r>
              <w:rPr>
                <w:rFonts w:ascii="Times New Roman" w:hAnsi="Times New Roman" w:eastAsia="宋体"/>
                <w:b w:val="0"/>
                <w:sz w:val="21"/>
              </w:rPr>
              <w:t>排水管道长度÷建成区面积；设计标准分级评估</w:t>
            </w:r>
          </w:p>
        </w:tc>
      </w:tr>
      <w:tr w14:paraId="2FA1F3FE">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7116AA59">
            <w:pPr>
              <w:jc w:val="center"/>
              <w:rPr>
                <w:rFonts w:ascii="Times New Roman" w:hAnsi="Times New Roman" w:eastAsia="宋体"/>
                <w:b w:val="0"/>
                <w:sz w:val="21"/>
              </w:rPr>
            </w:pPr>
            <w:r>
              <w:rPr>
                <w:rFonts w:ascii="Times New Roman" w:hAnsi="Times New Roman" w:eastAsia="宋体"/>
                <w:b w:val="0"/>
                <w:sz w:val="21"/>
              </w:rPr>
              <w:t>2.2.1</w:t>
            </w:r>
          </w:p>
        </w:tc>
        <w:tc>
          <w:tcPr>
            <w:tcW w:w="0" w:type="auto"/>
            <w:tcBorders>
              <w:top w:val="nil"/>
              <w:left w:val="nil"/>
              <w:bottom w:val="nil"/>
              <w:right w:val="nil"/>
            </w:tcBorders>
            <w:shd w:val="clear" w:color="auto" w:fill="FFFFFF"/>
            <w:vAlign w:val="center"/>
          </w:tcPr>
          <w:p w14:paraId="65A75D3C">
            <w:pPr>
              <w:jc w:val="center"/>
              <w:rPr>
                <w:rFonts w:ascii="Times New Roman" w:hAnsi="Times New Roman" w:eastAsia="宋体"/>
                <w:b w:val="0"/>
                <w:sz w:val="21"/>
              </w:rPr>
            </w:pPr>
            <w:r>
              <w:rPr>
                <w:rFonts w:ascii="Times New Roman" w:hAnsi="Times New Roman" w:eastAsia="宋体"/>
                <w:b w:val="0"/>
                <w:sz w:val="21"/>
              </w:rPr>
              <w:t>城市污水处理率</w:t>
            </w:r>
          </w:p>
        </w:tc>
        <w:tc>
          <w:tcPr>
            <w:tcW w:w="0" w:type="auto"/>
            <w:tcBorders>
              <w:top w:val="nil"/>
              <w:left w:val="nil"/>
              <w:bottom w:val="nil"/>
              <w:right w:val="nil"/>
            </w:tcBorders>
            <w:shd w:val="clear" w:color="auto" w:fill="FFFFFF"/>
            <w:vAlign w:val="center"/>
          </w:tcPr>
          <w:p w14:paraId="15C8A443">
            <w:pPr>
              <w:jc w:val="center"/>
              <w:rPr>
                <w:rFonts w:ascii="Times New Roman" w:hAnsi="Times New Roman" w:eastAsia="宋体"/>
                <w:b w:val="0"/>
                <w:sz w:val="21"/>
              </w:rPr>
            </w:pPr>
            <w:r>
              <w:rPr>
                <w:rFonts w:ascii="Times New Roman" w:hAnsi="Times New Roman" w:eastAsia="宋体"/>
                <w:b w:val="0"/>
                <w:sz w:val="21"/>
              </w:rPr>
              <w:t>住建部官网（mohurd.gov.cn）《中国城市建设统计年鉴》</w:t>
            </w:r>
          </w:p>
        </w:tc>
        <w:tc>
          <w:tcPr>
            <w:tcW w:w="0" w:type="auto"/>
            <w:tcBorders>
              <w:top w:val="nil"/>
              <w:left w:val="nil"/>
              <w:bottom w:val="nil"/>
              <w:right w:val="nil"/>
            </w:tcBorders>
            <w:shd w:val="clear" w:color="auto" w:fill="FFFFFF"/>
            <w:vAlign w:val="center"/>
          </w:tcPr>
          <w:p w14:paraId="57087C3F">
            <w:pPr>
              <w:jc w:val="center"/>
              <w:rPr>
                <w:rFonts w:ascii="Times New Roman" w:hAnsi="Times New Roman" w:eastAsia="宋体"/>
                <w:b w:val="0"/>
                <w:sz w:val="21"/>
              </w:rPr>
            </w:pPr>
            <w:r>
              <w:rPr>
                <w:rFonts w:ascii="Times New Roman" w:hAnsi="Times New Roman" w:eastAsia="宋体"/>
                <w:b w:val="0"/>
                <w:sz w:val="21"/>
              </w:rPr>
              <w:t>污水处理总量÷污水排放量×100%</w:t>
            </w:r>
          </w:p>
        </w:tc>
      </w:tr>
      <w:tr w14:paraId="521E9DA6">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EB4E808">
            <w:pPr>
              <w:jc w:val="center"/>
              <w:rPr>
                <w:rFonts w:ascii="Times New Roman" w:hAnsi="Times New Roman" w:eastAsia="宋体"/>
                <w:b w:val="0"/>
                <w:sz w:val="21"/>
              </w:rPr>
            </w:pPr>
            <w:r>
              <w:rPr>
                <w:rFonts w:ascii="Times New Roman" w:hAnsi="Times New Roman" w:eastAsia="宋体"/>
                <w:b w:val="0"/>
                <w:sz w:val="21"/>
              </w:rPr>
              <w:t>2.2.2</w:t>
            </w:r>
          </w:p>
        </w:tc>
        <w:tc>
          <w:tcPr>
            <w:tcW w:w="0" w:type="auto"/>
            <w:tcBorders>
              <w:top w:val="nil"/>
              <w:left w:val="nil"/>
              <w:bottom w:val="nil"/>
              <w:right w:val="nil"/>
            </w:tcBorders>
            <w:shd w:val="clear" w:color="auto" w:fill="FFFFFF"/>
            <w:vAlign w:val="center"/>
          </w:tcPr>
          <w:p w14:paraId="49DCA927">
            <w:pPr>
              <w:jc w:val="center"/>
              <w:rPr>
                <w:rFonts w:ascii="Times New Roman" w:hAnsi="Times New Roman" w:eastAsia="宋体"/>
                <w:b w:val="0"/>
                <w:sz w:val="21"/>
              </w:rPr>
            </w:pPr>
            <w:r>
              <w:rPr>
                <w:rFonts w:ascii="Times New Roman" w:hAnsi="Times New Roman" w:eastAsia="宋体"/>
                <w:b w:val="0"/>
                <w:sz w:val="21"/>
              </w:rPr>
              <w:t>城市建成区人均公园绿地面积</w:t>
            </w:r>
          </w:p>
        </w:tc>
        <w:tc>
          <w:tcPr>
            <w:tcW w:w="0" w:type="auto"/>
            <w:tcBorders>
              <w:top w:val="nil"/>
              <w:left w:val="nil"/>
              <w:bottom w:val="nil"/>
              <w:right w:val="nil"/>
            </w:tcBorders>
            <w:shd w:val="clear" w:color="auto" w:fill="FFFFFF"/>
            <w:vAlign w:val="center"/>
          </w:tcPr>
          <w:p w14:paraId="7BCEA1A6">
            <w:pPr>
              <w:jc w:val="center"/>
              <w:rPr>
                <w:rFonts w:ascii="Times New Roman" w:hAnsi="Times New Roman" w:eastAsia="宋体"/>
                <w:b w:val="0"/>
                <w:sz w:val="21"/>
              </w:rPr>
            </w:pPr>
            <w:r>
              <w:rPr>
                <w:rFonts w:ascii="Times New Roman" w:hAnsi="Times New Roman" w:eastAsia="宋体"/>
                <w:b w:val="0"/>
                <w:sz w:val="21"/>
              </w:rPr>
              <w:t>住建部官网《中国城市建设统计年鉴》（园林绿化篇）</w:t>
            </w:r>
          </w:p>
        </w:tc>
        <w:tc>
          <w:tcPr>
            <w:tcW w:w="0" w:type="auto"/>
            <w:tcBorders>
              <w:top w:val="nil"/>
              <w:left w:val="nil"/>
              <w:bottom w:val="nil"/>
              <w:right w:val="nil"/>
            </w:tcBorders>
            <w:shd w:val="clear" w:color="auto" w:fill="FFFFFF"/>
            <w:vAlign w:val="center"/>
          </w:tcPr>
          <w:p w14:paraId="139B07A9">
            <w:pPr>
              <w:jc w:val="center"/>
              <w:rPr>
                <w:rFonts w:ascii="Times New Roman" w:hAnsi="Times New Roman" w:eastAsia="宋体"/>
                <w:b w:val="0"/>
                <w:sz w:val="21"/>
              </w:rPr>
            </w:pPr>
            <w:r>
              <w:rPr>
                <w:rFonts w:ascii="Times New Roman" w:hAnsi="Times New Roman" w:eastAsia="宋体"/>
                <w:b w:val="0"/>
                <w:sz w:val="21"/>
              </w:rPr>
              <w:t>公园绿地面积÷城市城区人口</w:t>
            </w:r>
          </w:p>
        </w:tc>
      </w:tr>
      <w:tr w14:paraId="3DB8B124">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09332C7">
            <w:pPr>
              <w:jc w:val="center"/>
              <w:rPr>
                <w:rFonts w:ascii="Times New Roman" w:hAnsi="Times New Roman" w:eastAsia="宋体"/>
                <w:b w:val="0"/>
                <w:sz w:val="21"/>
              </w:rPr>
            </w:pPr>
            <w:r>
              <w:rPr>
                <w:rFonts w:ascii="Times New Roman" w:hAnsi="Times New Roman" w:eastAsia="宋体"/>
                <w:b w:val="0"/>
                <w:sz w:val="21"/>
              </w:rPr>
              <w:t>2.2.3</w:t>
            </w:r>
          </w:p>
        </w:tc>
        <w:tc>
          <w:tcPr>
            <w:tcW w:w="0" w:type="auto"/>
            <w:tcBorders>
              <w:top w:val="nil"/>
              <w:left w:val="nil"/>
              <w:bottom w:val="nil"/>
              <w:right w:val="nil"/>
            </w:tcBorders>
            <w:shd w:val="clear" w:color="auto" w:fill="FFFFFF"/>
            <w:vAlign w:val="center"/>
          </w:tcPr>
          <w:p w14:paraId="58CC75A6">
            <w:pPr>
              <w:jc w:val="center"/>
              <w:rPr>
                <w:rFonts w:ascii="Times New Roman" w:hAnsi="Times New Roman" w:eastAsia="宋体"/>
                <w:b w:val="0"/>
                <w:sz w:val="21"/>
              </w:rPr>
            </w:pPr>
            <w:r>
              <w:rPr>
                <w:rFonts w:ascii="Times New Roman" w:hAnsi="Times New Roman" w:eastAsia="宋体"/>
                <w:b w:val="0"/>
                <w:sz w:val="21"/>
              </w:rPr>
              <w:t>城市建成区绿化覆盖率</w:t>
            </w:r>
          </w:p>
        </w:tc>
        <w:tc>
          <w:tcPr>
            <w:tcW w:w="0" w:type="auto"/>
            <w:tcBorders>
              <w:top w:val="nil"/>
              <w:left w:val="nil"/>
              <w:bottom w:val="nil"/>
              <w:right w:val="nil"/>
            </w:tcBorders>
            <w:shd w:val="clear" w:color="auto" w:fill="FFFFFF"/>
            <w:vAlign w:val="center"/>
          </w:tcPr>
          <w:p w14:paraId="01F29859">
            <w:pPr>
              <w:jc w:val="center"/>
              <w:rPr>
                <w:rFonts w:ascii="Times New Roman" w:hAnsi="Times New Roman" w:eastAsia="宋体"/>
                <w:b w:val="0"/>
                <w:sz w:val="21"/>
              </w:rPr>
            </w:pPr>
            <w:r>
              <w:rPr>
                <w:rFonts w:ascii="Times New Roman" w:hAnsi="Times New Roman" w:eastAsia="宋体"/>
                <w:b w:val="0"/>
                <w:sz w:val="21"/>
              </w:rPr>
              <w:t>住建部官网《中国城市建设统计年鉴》（园林绿化篇）</w:t>
            </w:r>
          </w:p>
        </w:tc>
        <w:tc>
          <w:tcPr>
            <w:tcW w:w="0" w:type="auto"/>
            <w:tcBorders>
              <w:top w:val="nil"/>
              <w:left w:val="nil"/>
              <w:bottom w:val="nil"/>
              <w:right w:val="nil"/>
            </w:tcBorders>
            <w:shd w:val="clear" w:color="auto" w:fill="FFFFFF"/>
            <w:vAlign w:val="center"/>
          </w:tcPr>
          <w:p w14:paraId="3BCDA1DA">
            <w:pPr>
              <w:jc w:val="center"/>
              <w:rPr>
                <w:rFonts w:ascii="Times New Roman" w:hAnsi="Times New Roman" w:eastAsia="宋体"/>
                <w:b w:val="0"/>
                <w:sz w:val="21"/>
              </w:rPr>
            </w:pPr>
            <w:r>
              <w:rPr>
                <w:rFonts w:ascii="Times New Roman" w:hAnsi="Times New Roman" w:eastAsia="宋体"/>
                <w:b w:val="0"/>
                <w:sz w:val="21"/>
              </w:rPr>
              <w:t>绿化覆盖面积÷建成区面积×100%</w:t>
            </w:r>
          </w:p>
        </w:tc>
      </w:tr>
      <w:tr w14:paraId="243CA5FA">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44A2A453">
            <w:pPr>
              <w:jc w:val="center"/>
              <w:rPr>
                <w:rFonts w:ascii="Times New Roman" w:hAnsi="Times New Roman" w:eastAsia="宋体"/>
                <w:b w:val="0"/>
                <w:sz w:val="21"/>
              </w:rPr>
            </w:pPr>
            <w:r>
              <w:rPr>
                <w:rFonts w:ascii="Times New Roman" w:hAnsi="Times New Roman" w:eastAsia="宋体"/>
                <w:b w:val="0"/>
                <w:sz w:val="21"/>
              </w:rPr>
              <w:t>2.3.1</w:t>
            </w:r>
          </w:p>
        </w:tc>
        <w:tc>
          <w:tcPr>
            <w:tcW w:w="0" w:type="auto"/>
            <w:tcBorders>
              <w:top w:val="nil"/>
              <w:left w:val="nil"/>
              <w:bottom w:val="nil"/>
              <w:right w:val="nil"/>
            </w:tcBorders>
            <w:shd w:val="clear" w:color="auto" w:fill="FFFFFF"/>
            <w:vAlign w:val="center"/>
          </w:tcPr>
          <w:p w14:paraId="43BD613B">
            <w:pPr>
              <w:jc w:val="center"/>
              <w:rPr>
                <w:rFonts w:ascii="Times New Roman" w:hAnsi="Times New Roman" w:eastAsia="宋体"/>
                <w:b w:val="0"/>
                <w:sz w:val="21"/>
              </w:rPr>
            </w:pPr>
            <w:r>
              <w:rPr>
                <w:rFonts w:ascii="Times New Roman" w:hAnsi="Times New Roman" w:eastAsia="宋体"/>
                <w:b w:val="0"/>
                <w:sz w:val="21"/>
              </w:rPr>
              <w:t>用户平均停电时间（供电恢复时效）</w:t>
            </w:r>
          </w:p>
        </w:tc>
        <w:tc>
          <w:tcPr>
            <w:tcW w:w="0" w:type="auto"/>
            <w:tcBorders>
              <w:top w:val="nil"/>
              <w:left w:val="nil"/>
              <w:bottom w:val="nil"/>
              <w:right w:val="nil"/>
            </w:tcBorders>
            <w:shd w:val="clear" w:color="auto" w:fill="FFFFFF"/>
            <w:vAlign w:val="center"/>
          </w:tcPr>
          <w:p w14:paraId="246BA8B2">
            <w:pPr>
              <w:jc w:val="center"/>
              <w:rPr>
                <w:rFonts w:ascii="Times New Roman" w:hAnsi="Times New Roman" w:eastAsia="宋体"/>
                <w:b w:val="0"/>
                <w:sz w:val="21"/>
              </w:rPr>
            </w:pPr>
            <w:r>
              <w:rPr>
                <w:rFonts w:ascii="Times New Roman" w:hAnsi="Times New Roman" w:eastAsia="宋体"/>
                <w:b w:val="0"/>
                <w:sz w:val="21"/>
              </w:rPr>
              <w:t>国家能源局官网（nea.gov.cn）《全国电力可靠性年度报告》</w:t>
            </w:r>
          </w:p>
        </w:tc>
        <w:tc>
          <w:tcPr>
            <w:tcW w:w="0" w:type="auto"/>
            <w:tcBorders>
              <w:top w:val="nil"/>
              <w:left w:val="nil"/>
              <w:bottom w:val="nil"/>
              <w:right w:val="nil"/>
            </w:tcBorders>
            <w:shd w:val="clear" w:color="auto" w:fill="FFFFFF"/>
            <w:vAlign w:val="center"/>
          </w:tcPr>
          <w:p w14:paraId="652CDCA3">
            <w:pPr>
              <w:jc w:val="center"/>
              <w:rPr>
                <w:rFonts w:ascii="Times New Roman" w:hAnsi="Times New Roman" w:eastAsia="宋体"/>
                <w:b w:val="0"/>
                <w:sz w:val="21"/>
              </w:rPr>
            </w:pPr>
            <w:r>
              <w:rPr>
                <w:rFonts w:ascii="Times New Roman" w:hAnsi="Times New Roman" w:eastAsia="宋体"/>
                <w:b w:val="0"/>
                <w:sz w:val="21"/>
              </w:rPr>
              <w:t>用户年均停电小时数（小时/户）</w:t>
            </w:r>
          </w:p>
        </w:tc>
      </w:tr>
      <w:tr w14:paraId="7082FE60">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577642FB">
            <w:pPr>
              <w:jc w:val="center"/>
              <w:rPr>
                <w:rFonts w:ascii="Times New Roman" w:hAnsi="Times New Roman" w:eastAsia="宋体"/>
                <w:b w:val="0"/>
                <w:sz w:val="21"/>
              </w:rPr>
            </w:pPr>
            <w:r>
              <w:rPr>
                <w:rFonts w:ascii="Times New Roman" w:hAnsi="Times New Roman" w:eastAsia="宋体"/>
                <w:b w:val="0"/>
                <w:sz w:val="21"/>
              </w:rPr>
              <w:t>3.1.1</w:t>
            </w:r>
          </w:p>
        </w:tc>
        <w:tc>
          <w:tcPr>
            <w:tcW w:w="0" w:type="auto"/>
            <w:tcBorders>
              <w:top w:val="nil"/>
              <w:left w:val="nil"/>
              <w:bottom w:val="nil"/>
              <w:right w:val="nil"/>
            </w:tcBorders>
            <w:shd w:val="clear" w:color="auto" w:fill="FFFFFF"/>
            <w:vAlign w:val="center"/>
          </w:tcPr>
          <w:p w14:paraId="2C179D0F">
            <w:pPr>
              <w:jc w:val="center"/>
              <w:rPr>
                <w:rFonts w:ascii="Times New Roman" w:hAnsi="Times New Roman" w:eastAsia="宋体"/>
                <w:b w:val="0"/>
                <w:sz w:val="21"/>
              </w:rPr>
            </w:pPr>
            <w:r>
              <w:rPr>
                <w:rFonts w:ascii="Times New Roman" w:hAnsi="Times New Roman" w:eastAsia="宋体"/>
                <w:b w:val="0"/>
                <w:sz w:val="21"/>
              </w:rPr>
              <w:t>生活垃圾无害化处理率</w:t>
            </w:r>
          </w:p>
        </w:tc>
        <w:tc>
          <w:tcPr>
            <w:tcW w:w="0" w:type="auto"/>
            <w:tcBorders>
              <w:top w:val="nil"/>
              <w:left w:val="nil"/>
              <w:bottom w:val="nil"/>
              <w:right w:val="nil"/>
            </w:tcBorders>
            <w:shd w:val="clear" w:color="auto" w:fill="FFFFFF"/>
            <w:vAlign w:val="center"/>
          </w:tcPr>
          <w:p w14:paraId="1F2D4A78">
            <w:pPr>
              <w:jc w:val="center"/>
              <w:rPr>
                <w:rFonts w:ascii="Times New Roman" w:hAnsi="Times New Roman" w:eastAsia="宋体"/>
                <w:b w:val="0"/>
                <w:sz w:val="21"/>
              </w:rPr>
            </w:pPr>
            <w:r>
              <w:rPr>
                <w:rFonts w:ascii="Times New Roman" w:hAnsi="Times New Roman" w:eastAsia="宋体"/>
                <w:b w:val="0"/>
                <w:sz w:val="21"/>
              </w:rPr>
              <w:t>住建部《中国城市建设统计年鉴》城市环境卫生章节</w:t>
            </w:r>
          </w:p>
        </w:tc>
        <w:tc>
          <w:tcPr>
            <w:tcW w:w="0" w:type="auto"/>
            <w:tcBorders>
              <w:top w:val="nil"/>
              <w:left w:val="nil"/>
              <w:bottom w:val="nil"/>
              <w:right w:val="nil"/>
            </w:tcBorders>
            <w:shd w:val="clear" w:color="auto" w:fill="FFFFFF"/>
            <w:vAlign w:val="center"/>
          </w:tcPr>
          <w:p w14:paraId="14FECE09">
            <w:pPr>
              <w:jc w:val="center"/>
              <w:rPr>
                <w:rFonts w:ascii="Times New Roman" w:hAnsi="Times New Roman" w:eastAsia="宋体"/>
                <w:b w:val="0"/>
                <w:sz w:val="21"/>
              </w:rPr>
            </w:pPr>
            <w:r>
              <w:rPr>
                <w:rFonts w:ascii="Times New Roman" w:hAnsi="Times New Roman" w:eastAsia="宋体"/>
                <w:b w:val="0"/>
                <w:sz w:val="21"/>
              </w:rPr>
              <w:t>生活垃圾无害化处理量÷生活垃圾清运总量×100%</w:t>
            </w:r>
          </w:p>
        </w:tc>
      </w:tr>
      <w:tr w14:paraId="497CDBC8">
        <w:tblPrEx>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vAlign w:val="center"/>
          </w:tcPr>
          <w:p w14:paraId="094FCACF">
            <w:pPr>
              <w:jc w:val="center"/>
              <w:rPr>
                <w:rFonts w:ascii="Times New Roman" w:hAnsi="Times New Roman" w:eastAsia="宋体"/>
                <w:b w:val="0"/>
                <w:sz w:val="21"/>
              </w:rPr>
            </w:pPr>
            <w:r>
              <w:rPr>
                <w:rFonts w:ascii="Times New Roman" w:hAnsi="Times New Roman" w:eastAsia="宋体"/>
                <w:b w:val="0"/>
                <w:sz w:val="21"/>
              </w:rPr>
              <w:t>3.2.1</w:t>
            </w:r>
          </w:p>
        </w:tc>
        <w:tc>
          <w:tcPr>
            <w:tcW w:w="0" w:type="auto"/>
            <w:tcBorders>
              <w:top w:val="nil"/>
              <w:left w:val="nil"/>
              <w:bottom w:val="nil"/>
              <w:right w:val="nil"/>
            </w:tcBorders>
            <w:shd w:val="clear" w:color="auto" w:fill="FFFFFF"/>
            <w:vAlign w:val="center"/>
          </w:tcPr>
          <w:p w14:paraId="72154944">
            <w:pPr>
              <w:jc w:val="center"/>
              <w:rPr>
                <w:rFonts w:ascii="Times New Roman" w:hAnsi="Times New Roman" w:eastAsia="宋体"/>
                <w:b w:val="0"/>
                <w:sz w:val="21"/>
              </w:rPr>
            </w:pPr>
            <w:r>
              <w:rPr>
                <w:rFonts w:ascii="Times New Roman" w:hAnsi="Times New Roman" w:eastAsia="宋体"/>
                <w:b w:val="0"/>
                <w:sz w:val="21"/>
              </w:rPr>
              <w:t>亿元生产总值生产安全事故死亡率</w:t>
            </w:r>
          </w:p>
        </w:tc>
        <w:tc>
          <w:tcPr>
            <w:tcW w:w="0" w:type="auto"/>
            <w:tcBorders>
              <w:top w:val="nil"/>
              <w:left w:val="nil"/>
              <w:bottom w:val="nil"/>
              <w:right w:val="nil"/>
            </w:tcBorders>
            <w:shd w:val="clear" w:color="auto" w:fill="FFFFFF"/>
            <w:vAlign w:val="center"/>
          </w:tcPr>
          <w:p w14:paraId="25EA3D89">
            <w:pPr>
              <w:jc w:val="center"/>
              <w:rPr>
                <w:rFonts w:ascii="Times New Roman" w:hAnsi="Times New Roman" w:eastAsia="宋体"/>
                <w:b w:val="0"/>
                <w:sz w:val="21"/>
              </w:rPr>
            </w:pPr>
            <w:r>
              <w:rPr>
                <w:rFonts w:ascii="Times New Roman" w:hAnsi="Times New Roman" w:eastAsia="宋体"/>
                <w:b w:val="0"/>
                <w:sz w:val="21"/>
              </w:rPr>
              <w:t>各市应急管理局官网年度安全生产形势通报；地方统计局官网统计年鉴</w:t>
            </w:r>
          </w:p>
        </w:tc>
        <w:tc>
          <w:tcPr>
            <w:tcW w:w="0" w:type="auto"/>
            <w:tcBorders>
              <w:top w:val="nil"/>
              <w:left w:val="nil"/>
              <w:bottom w:val="nil"/>
              <w:right w:val="nil"/>
            </w:tcBorders>
            <w:shd w:val="clear" w:color="auto" w:fill="FFFFFF"/>
            <w:vAlign w:val="center"/>
          </w:tcPr>
          <w:p w14:paraId="472FFEE5">
            <w:pPr>
              <w:jc w:val="center"/>
              <w:rPr>
                <w:rFonts w:ascii="Times New Roman" w:hAnsi="Times New Roman" w:eastAsia="宋体"/>
                <w:b w:val="0"/>
                <w:sz w:val="21"/>
              </w:rPr>
            </w:pPr>
            <w:r>
              <w:rPr>
                <w:rFonts w:ascii="Times New Roman" w:hAnsi="Times New Roman" w:eastAsia="宋体"/>
                <w:b w:val="0"/>
                <w:sz w:val="21"/>
              </w:rPr>
              <w:t>事故死亡人数÷地区生产总值（亿元）</w:t>
            </w:r>
          </w:p>
        </w:tc>
      </w:tr>
      <w:tr w14:paraId="568E1B58">
        <w:tblPrEx>
          <w:tblCellMar>
            <w:top w:w="0" w:type="dxa"/>
            <w:left w:w="108" w:type="dxa"/>
            <w:bottom w:w="0" w:type="dxa"/>
            <w:right w:w="108" w:type="dxa"/>
          </w:tblCellMar>
        </w:tblPrEx>
        <w:trPr>
          <w:cantSplit/>
          <w:jc w:val="center"/>
        </w:trPr>
        <w:tc>
          <w:tcPr>
            <w:tcW w:w="0" w:type="auto"/>
            <w:tcBorders>
              <w:top w:val="nil"/>
              <w:left w:val="nil"/>
              <w:bottom w:val="single" w:color="000000" w:sz="12" w:space="0"/>
              <w:right w:val="nil"/>
            </w:tcBorders>
            <w:shd w:val="clear" w:color="auto" w:fill="FFFFFF"/>
            <w:vAlign w:val="center"/>
          </w:tcPr>
          <w:p w14:paraId="24088F21">
            <w:pPr>
              <w:jc w:val="center"/>
              <w:rPr>
                <w:rFonts w:ascii="Times New Roman" w:hAnsi="Times New Roman" w:eastAsia="宋体"/>
                <w:b w:val="0"/>
                <w:sz w:val="21"/>
              </w:rPr>
            </w:pPr>
            <w:r>
              <w:rPr>
                <w:rFonts w:ascii="Times New Roman" w:hAnsi="Times New Roman" w:eastAsia="宋体"/>
                <w:b w:val="0"/>
                <w:sz w:val="21"/>
              </w:rPr>
              <w:t>3.3.1</w:t>
            </w:r>
          </w:p>
        </w:tc>
        <w:tc>
          <w:tcPr>
            <w:tcW w:w="0" w:type="auto"/>
            <w:tcBorders>
              <w:top w:val="nil"/>
              <w:left w:val="nil"/>
              <w:bottom w:val="single" w:color="000000" w:sz="12" w:space="0"/>
              <w:right w:val="nil"/>
            </w:tcBorders>
            <w:shd w:val="clear" w:color="auto" w:fill="FFFFFF"/>
            <w:vAlign w:val="center"/>
          </w:tcPr>
          <w:p w14:paraId="6480F5E8">
            <w:pPr>
              <w:jc w:val="center"/>
              <w:rPr>
                <w:rFonts w:ascii="Times New Roman" w:hAnsi="Times New Roman" w:eastAsia="宋体"/>
                <w:b w:val="0"/>
                <w:sz w:val="21"/>
              </w:rPr>
            </w:pPr>
            <w:r>
              <w:rPr>
                <w:rFonts w:ascii="Times New Roman" w:hAnsi="Times New Roman" w:eastAsia="宋体"/>
                <w:b w:val="0"/>
                <w:sz w:val="21"/>
              </w:rPr>
              <w:t>公共安全财政支出占比</w:t>
            </w:r>
          </w:p>
        </w:tc>
        <w:tc>
          <w:tcPr>
            <w:tcW w:w="0" w:type="auto"/>
            <w:tcBorders>
              <w:top w:val="nil"/>
              <w:left w:val="nil"/>
              <w:bottom w:val="single" w:color="000000" w:sz="12" w:space="0"/>
              <w:right w:val="nil"/>
            </w:tcBorders>
            <w:shd w:val="clear" w:color="auto" w:fill="FFFFFF"/>
            <w:vAlign w:val="center"/>
          </w:tcPr>
          <w:p w14:paraId="3E6A11DA">
            <w:pPr>
              <w:jc w:val="center"/>
              <w:rPr>
                <w:rFonts w:ascii="Times New Roman" w:hAnsi="Times New Roman" w:eastAsia="宋体"/>
                <w:b w:val="0"/>
                <w:sz w:val="21"/>
              </w:rPr>
            </w:pPr>
            <w:r>
              <w:rPr>
                <w:rFonts w:ascii="Times New Roman" w:hAnsi="Times New Roman" w:eastAsia="宋体"/>
                <w:b w:val="0"/>
                <w:sz w:val="21"/>
              </w:rPr>
              <w:t>各市政府官网财政决算公开专栏；财政部地方预决算公开平台（mof.gov.cn）</w:t>
            </w:r>
          </w:p>
        </w:tc>
        <w:tc>
          <w:tcPr>
            <w:tcW w:w="0" w:type="auto"/>
            <w:tcBorders>
              <w:top w:val="nil"/>
              <w:left w:val="nil"/>
              <w:bottom w:val="single" w:color="000000" w:sz="12" w:space="0"/>
              <w:right w:val="nil"/>
            </w:tcBorders>
            <w:shd w:val="clear" w:color="auto" w:fill="FFFFFF"/>
            <w:vAlign w:val="center"/>
          </w:tcPr>
          <w:p w14:paraId="1EADFCAB">
            <w:pPr>
              <w:jc w:val="center"/>
              <w:rPr>
                <w:rFonts w:ascii="Times New Roman" w:hAnsi="Times New Roman" w:eastAsia="宋体"/>
                <w:b w:val="0"/>
                <w:sz w:val="21"/>
              </w:rPr>
            </w:pPr>
            <w:r>
              <w:rPr>
                <w:rFonts w:ascii="Times New Roman" w:hAnsi="Times New Roman" w:eastAsia="宋体"/>
                <w:b w:val="0"/>
                <w:sz w:val="21"/>
              </w:rPr>
              <w:t>公共安全支出÷一般公共预算支出×100%</w:t>
            </w:r>
          </w:p>
        </w:tc>
      </w:tr>
    </w:tbl>
    <w:p w14:paraId="75A173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5.2 原16项指标的区县和月度细化</w:t>
      </w:r>
    </w:p>
    <w:p w14:paraId="430ECD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细粒度采集首先针对原有16项年度指标。本研究在七个城市保持原有城市年度口径，并以一个城市为试点逐项采集区县年度原始量。北京区域统计年鉴列有各区常住人口、常住外来人口和医疗机构床位，分别可支持暂住人口比例与每万人医院床位数的区级重算[19]；已收集的《深圳统计年鉴2025》表3-4也列有2018—2024年各区常住人口，可作为若干区级人均指标的分母[22]。这些来源已证明部分指标可以从全市下沉到区，其他指标仍须分别核验。</w:t>
      </w:r>
    </w:p>
    <w:p w14:paraId="2DE34C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区县与月度是两个独立的细化方向。对慢变量，优先建立区县连续年度序列；对流量和事件数量，继续核对月度原始分子、分母是否同时公开。若只有半年累计值，就保留半年观察；若只有全市月度值，就保留市级空间等级。缺少区县原始量时不按人口比例分摊全市数据，缺少月度原始量时不对年度值插值。表4据此逐项说明采集路径和当前限制。</w:t>
      </w:r>
    </w:p>
    <w:p>
      <w:pPr>
        <w:pStyle w:val="3"/>
        <w:keepNext/>
        <w:jc w:val="center"/>
        <w:rPr>
          <w:rFonts w:hint="eastAsia" w:eastAsia="黑体"/>
          <w:lang w:val="en-US" w:eastAsia="zh-CN"/>
        </w:rPr>
      </w:pPr>
      <w:r>
        <w:t>表4 原16项指标的区县与月度细化采集矩阵</w:t>
      </w:r>
    </w:p>
    <w:tbl>
      <w:tblPr>
        <w:tblStyle w:val="5"/>
        <w:tblW w:type="auto" w:w="0"/>
        <w:tblLayout w:type="fixed"/>
        <w:tblLook w:firstColumn="1" w:firstRow="1" w:lastColumn="0" w:lastRow="0" w:noHBand="0" w:noVBand="1" w:val="04A0"/>
      </w:tblPr>
      <w:tblGrid>
        <w:gridCol w:w="1958"/>
        <w:gridCol w:w="3154"/>
        <w:gridCol w:w="3154"/>
      </w:tblGrid>
      <w:tr>
        <w:trPr>
          <w:tblHeader w:val="true"/>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DDEBF7"/>
          </w:tcPr>
          <w:p>
            <w:pPr>
              <w:spacing w:before="0" w:after="0" w:line="259" w:lineRule="auto"/>
              <w:jc w:val="center"/>
            </w:pPr>
            <w:r>
              <w:rPr>
                <w:rFonts w:ascii="宋体" w:hAnsi="宋体" w:eastAsia="宋体"/>
                <w:b/>
                <w:color w:val="000000"/>
                <w:sz w:val="18"/>
              </w:rPr>
              <w:t>原三级指标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DDEBF7"/>
          </w:tcPr>
          <w:p>
            <w:pPr>
              <w:spacing w:before="0" w:after="0" w:line="259" w:lineRule="auto"/>
              <w:jc w:val="left"/>
            </w:pPr>
            <w:r>
              <w:rPr>
                <w:rFonts w:ascii="宋体" w:hAnsi="宋体" w:eastAsia="宋体"/>
                <w:b/>
                <w:color w:val="000000"/>
                <w:sz w:val="18"/>
              </w:rPr>
              <w:t>区县年度采集路径</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DDEBF7"/>
          </w:tcPr>
          <w:p>
            <w:pPr>
              <w:spacing w:before="0" w:after="0" w:line="259" w:lineRule="auto"/>
              <w:jc w:val="left"/>
            </w:pPr>
            <w:r>
              <w:rPr>
                <w:rFonts w:ascii="宋体" w:hAnsi="宋体" w:eastAsia="宋体"/>
                <w:b/>
                <w:color w:val="000000"/>
                <w:sz w:val="18"/>
              </w:rPr>
              <w:t>月度原口径与限制</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1.1.1</w:t>
              <w:br/>
              <w:t>人口年龄结构指数</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各区14岁以下、60岁及以上人口与同口径常住人口；先查区年鉴、人口抽样调查。</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年龄分组通常按年或普查公布；没有逐月人口结构时保留年度值。待核区年。</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1.1.2</w:t>
              <w:br/>
              <w:t>残疾人口比例</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区持证残疾人数÷区常住人口；查区残联年报及区统计年鉴。</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月度登记人数即使可得，也须有同月人口分母；公开连续序列待核。</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1.1.3</w:t>
              <w:br/>
              <w:t>暂住人口比例</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北京可用各区常住外来人口÷各区常住人口；《北京区域统计年鉴2025》表2-2、2-1可对接[19]。</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原口径月度分区人口未核实；不得用迁入登记量直接替代存量比例。</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1.2.1</w:t>
              <w:br/>
              <w:t>市民安全满意度与意识水平</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查区级同题调查，逐一记录问卷题目、样本、调查期和调查对象。</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只有同题、同抽样框的月度调查才能比较；目前待核。</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1.2.2</w:t>
              <w:br/>
              <w:t>全国综合减灾示范社区数量</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将历年认定名录按社区地址落到区，按认定和撤销年份计算区级存量。</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可记录认定月份，但发布月份不等于能力形成月份；以年度存量为主。</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1.3.1</w:t>
              <w:br/>
              <w:t>商业保险密度</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需区级保费收入÷区常住人口；现有监管统计多为城市或省级，区级待核。</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只有区级月保费与可比人口分母同时可得才计算；否则保持较粗空间口径。</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2.1.1</w:t>
              <w:br/>
              <w:t>每万人医院床位数</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区医院实有床位÷区常住人口×10000；北京区域年鉴表3-51和表3-3可对接，注意驻京部队医院注释[19]。</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床位为慢变量，公开月度区级存量待核；年度值只作月度背景。</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2.1.2</w:t>
              <w:br/>
              <w:t>城市供水管道普及率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区供水服务人口÷同口径区人口；查区水务或住建统计。</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行政区月供水量是用水流量，不是供水普及率；原指标月值待核。</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2.1.3</w:t>
              <w:br/>
              <w:t>建成区排水管网密度与设计标准</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区排水管道长度÷区建成区面积；设计标准另据区专项规划分级。</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工程存量按年更新；月度新建长度不得直接当作管网密度。</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2.2.1</w:t>
              <w:br/>
              <w:t>城市污水处理率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区来源污水处理量÷同区域污水排放量；核查跨区处理的归属。</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若两项区级月流量均有同口径原始值，可逐月计算；否则只取年度。</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2.2.2</w:t>
              <w:br/>
              <w:t>城市建成区人均公园绿地面积</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区公园绿地面积÷区城区人口；两者均须匹配区界和建成区口径。</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面积和人口均为慢变量，按年度更新；月度不插值。</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2.2.3</w:t>
              <w:br/>
              <w:t>城市建成区绿化覆盖率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区绿化覆盖面积÷区建成区面积；查园林绿化与住建分区年报。</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按年度或实测更新；不得用月度植被指数冒充原覆盖率。</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2.3.1</w:t>
              <w:br/>
              <w:t>用户平均停电时间</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需区级用户停电时长汇总与区级用户数；现有年度报告主要为省级或重点城市口径。</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区月值需供电企业故障与计划停电记录；公开连续数据尚未核实。</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3.1.1</w:t>
              <w:br/>
              <w:t>生活垃圾无害化处理率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按垃圾产生地归属区统计无害化处理量÷区清运总量，处理厂跨区服务时须回溯来源。</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若区月清运量和同来源处理量均可得，可计算；否则按年。</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center"/>
            </w:pPr>
            <w:r>
              <w:rPr>
                <w:rFonts w:ascii="宋体" w:hAnsi="宋体" w:eastAsia="宋体"/>
                <w:color w:val="000000"/>
                <w:sz w:val="16"/>
              </w:rPr>
              <w:t>3.2.1</w:t>
              <w:br/>
              <w:t>亿元GDP生产安全事故死亡率</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区生产安全事故死亡人数÷区GDP（亿元）；死亡口径与GDP区界一致。</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tcPr>
          <w:p>
            <w:pPr>
              <w:spacing w:before="0" w:after="0" w:line="259" w:lineRule="auto"/>
              <w:jc w:val="left"/>
            </w:pPr>
            <w:r>
              <w:rPr>
                <w:rFonts w:ascii="宋体" w:hAnsi="宋体" w:eastAsia="宋体"/>
                <w:color w:val="000000"/>
                <w:sz w:val="16"/>
              </w:rPr>
              <w:t>月度GDP通常无同口径值，不能直接形成原指标月率；月死亡数可单列。</w:t>
            </w:r>
          </w:p>
        </w:tc>
      </w:tr>
      <w:tr>
        <w:trPr>
          <w:cantSplit/>
        </w:trPr>
        <w:tc>
          <w:tcPr>
            <w:tcW w:type="dxa" w:w="1958"/>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center"/>
            </w:pPr>
            <w:r>
              <w:rPr>
                <w:rFonts w:ascii="宋体" w:hAnsi="宋体" w:eastAsia="宋体"/>
                <w:color w:val="000000"/>
                <w:sz w:val="16"/>
              </w:rPr>
              <w:t>3.3.1</w:t>
              <w:br/>
              <w:t>公共安全财政支出占比</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区公共安全支出÷区一般公共预算支出；北京海淀、朝阳2024年公开预算执行数可直接计算[20-21]。</w:t>
            </w:r>
          </w:p>
        </w:tc>
        <w:tc>
          <w:tcPr>
            <w:tcW w:type="dxa" w:w="3154"/>
            <w:vAlign w:val="center"/>
            <w:tcMar>
              <w:top w:w="90" w:type="dxa"/>
              <w:start w:w="95" w:type="dxa"/>
              <w:bottom w:w="90" w:type="dxa"/>
              <w:end w:w="95" w:type="dxa"/>
            </w:tcMar>
            <w:tcBorders>
              <w:top w:val="single" w:sz="4" w:color="D9D9D9"/>
              <w:left w:val="single" w:sz="4" w:color="D9D9D9"/>
              <w:bottom w:val="single" w:sz="4" w:color="D9D9D9"/>
              <w:right w:val="single" w:sz="4" w:color="D9D9D9"/>
            </w:tcBorders>
            <w:shd w:fill="F6F9FC"/>
          </w:tcPr>
          <w:p>
            <w:pPr>
              <w:spacing w:before="0" w:after="0" w:line="259" w:lineRule="auto"/>
              <w:jc w:val="left"/>
            </w:pPr>
            <w:r>
              <w:rPr>
                <w:rFonts w:ascii="宋体" w:hAnsi="宋体" w:eastAsia="宋体"/>
                <w:color w:val="000000"/>
                <w:sz w:val="16"/>
              </w:rPr>
              <w:t>有同区、同期间两项累计执行数时可算半年或季度；月度须进一步核实公开频率。</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已有公开数值可示范原指标下沉。按2024年预算执行数，海淀区公共安全支出384721万元、区级一般公共预算支出7772570万元，3.3.1为4.95%[20]；朝阳区相应为445812万元和5897628万元，3.3.1为7.56%[21]。朝阳区还公开了2024年上半年累计执行数，可计算半年口径；这仍不是六个逐月观测值。两区比较须继续核对决算调整、支出归属和统计层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5.3 自然灾害冲击的辅助数据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在完成原指标细化后，再将降水、气温、预警、汛情和积涝等数据按区县与月份连接到评价表。表5所列资料用于描述各区遭受的灾害压力和事件过程，不能充当原16项指标已经实现月度化或区县化的证据。北京行政区月供水量也属于运行负荷资料，不能代替供水管道普及率。部分平台仅开放滚动时段，历史序列需要逐期归档并标明覆盖月份[13-18]。</w:t>
      </w:r>
    </w:p>
    <w:p w14:paraId="469146D5">
      <w:pPr>
        <w:pStyle w:val="3"/>
        <w:keepNext/>
        <w:jc w:val="center"/>
        <w:rPr>
          <w:rFonts w:hint="eastAsia" w:eastAsia="黑体"/>
          <w:lang w:val="en-US" w:eastAsia="zh-CN"/>
        </w:rPr>
      </w:pPr>
      <w:r>
        <w:t>表5 自然灾害冲击与运行状态辅助数据源</w:t>
      </w:r>
    </w:p>
    <w:tbl>
      <w:tblPr>
        <w:tblStyle w:val="4"/>
        <w:tblW w:w="5000" w:type="pct"/>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728"/>
        <w:gridCol w:w="2678"/>
        <w:gridCol w:w="1132"/>
        <w:gridCol w:w="1202"/>
        <w:gridCol w:w="2766"/>
      </w:tblGrid>
      <w:tr w14:paraId="1AC555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trPr>
        <w:tc>
          <w:tcPr>
            <w:tcW w:w="428" w:type="pct"/>
            <w:tcBorders>
              <w:top w:val="single" w:color="000000" w:sz="12" w:space="0"/>
              <w:left w:val="nil"/>
              <w:bottom w:val="single" w:color="000000" w:sz="4" w:space="0"/>
              <w:right w:val="nil"/>
              <w:tl2br w:val="nil"/>
            </w:tcBorders>
            <w:shd w:val="clear" w:color="auto" w:fill="FFFFFF"/>
            <w:tcMar>
              <w:top w:w="80" w:type="dxa"/>
              <w:left w:w="100" w:type="dxa"/>
              <w:bottom w:w="80" w:type="dxa"/>
              <w:right w:w="100" w:type="dxa"/>
            </w:tcMar>
            <w:vAlign w:val="center"/>
          </w:tcPr>
          <w:p w14:paraId="5319893C">
            <w:pPr>
              <w:spacing w:after="0"/>
              <w:jc w:val="center"/>
              <w:rPr>
                <w:b w:val="0"/>
                <w:color w:val="000000"/>
              </w:rPr>
            </w:pPr>
            <w:r>
              <w:rPr>
                <w:rFonts w:ascii="微软雅黑" w:hAnsi="微软雅黑" w:eastAsia="微软雅黑"/>
                <w:b w:val="0"/>
                <w:color w:val="000000"/>
                <w:sz w:val="16"/>
              </w:rPr>
              <w:t>城市</w:t>
            </w:r>
          </w:p>
        </w:tc>
        <w:tc>
          <w:tcPr>
            <w:tcW w:w="1573"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3D0A058D">
            <w:pPr>
              <w:spacing w:after="0"/>
              <w:jc w:val="center"/>
              <w:rPr>
                <w:b w:val="0"/>
                <w:color w:val="000000"/>
              </w:rPr>
            </w:pPr>
            <w:r>
              <w:rPr>
                <w:rFonts w:ascii="微软雅黑" w:hAnsi="微软雅黑" w:eastAsia="微软雅黑"/>
                <w:b w:val="0"/>
                <w:color w:val="000000"/>
                <w:sz w:val="16"/>
              </w:rPr>
              <w:t>数据集或平台目录</w:t>
            </w:r>
          </w:p>
        </w:tc>
        <w:tc>
          <w:tcPr>
            <w:tcW w:w="665"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343D27FB">
            <w:pPr>
              <w:spacing w:after="0"/>
              <w:jc w:val="center"/>
              <w:rPr>
                <w:b w:val="0"/>
                <w:color w:val="000000"/>
              </w:rPr>
            </w:pPr>
            <w:r>
              <w:rPr>
                <w:rFonts w:ascii="微软雅黑" w:hAnsi="微软雅黑" w:eastAsia="微软雅黑"/>
                <w:b w:val="0"/>
                <w:color w:val="000000"/>
                <w:sz w:val="16"/>
              </w:rPr>
              <w:t>时间粒度</w:t>
            </w:r>
          </w:p>
        </w:tc>
        <w:tc>
          <w:tcPr>
            <w:tcW w:w="706"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794C327A">
            <w:pPr>
              <w:spacing w:after="0"/>
              <w:jc w:val="center"/>
              <w:rPr>
                <w:b w:val="0"/>
                <w:color w:val="000000"/>
              </w:rPr>
            </w:pPr>
            <w:r>
              <w:rPr>
                <w:rFonts w:ascii="微软雅黑" w:hAnsi="微软雅黑" w:eastAsia="微软雅黑"/>
                <w:b w:val="0"/>
                <w:color w:val="000000"/>
                <w:sz w:val="16"/>
              </w:rPr>
              <w:t>空间粒度</w:t>
            </w:r>
          </w:p>
        </w:tc>
        <w:tc>
          <w:tcPr>
            <w:tcW w:w="1625" w:type="pct"/>
            <w:tcBorders>
              <w:top w:val="single" w:color="000000" w:sz="12" w:space="0"/>
              <w:left w:val="nil"/>
              <w:bottom w:val="single" w:color="000000" w:sz="4" w:space="0"/>
              <w:right w:val="nil"/>
            </w:tcBorders>
            <w:shd w:val="clear" w:color="auto" w:fill="FFFFFF"/>
            <w:tcMar>
              <w:top w:w="80" w:type="dxa"/>
              <w:left w:w="100" w:type="dxa"/>
              <w:bottom w:w="80" w:type="dxa"/>
              <w:right w:w="100" w:type="dxa"/>
            </w:tcMar>
            <w:vAlign w:val="center"/>
          </w:tcPr>
          <w:p w14:paraId="554E7631">
            <w:pPr>
              <w:spacing w:after="0"/>
              <w:jc w:val="center"/>
              <w:rPr>
                <w:b w:val="0"/>
                <w:color w:val="000000"/>
              </w:rPr>
            </w:pPr>
            <w:r>
              <w:rPr>
                <w:rFonts w:ascii="微软雅黑" w:hAnsi="微软雅黑" w:eastAsia="微软雅黑"/>
                <w:b w:val="0"/>
                <w:color w:val="000000"/>
                <w:sz w:val="16"/>
              </w:rPr>
              <w:t>可构造变量</w:t>
            </w:r>
          </w:p>
        </w:tc>
      </w:tr>
      <w:tr w14:paraId="71AD10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42D6E51">
            <w:pPr>
              <w:spacing w:after="0" w:line="252" w:lineRule="auto"/>
              <w:jc w:val="center"/>
              <w:rPr>
                <w:b w:val="0"/>
                <w:color w:val="000000"/>
              </w:rPr>
            </w:pPr>
            <w:r>
              <w:rPr>
                <w:rFonts w:ascii="宋体" w:hAnsi="宋体" w:eastAsia="宋体"/>
                <w:b w:val="0"/>
                <w:color w:val="000000"/>
                <w:sz w:val="16"/>
              </w:rPr>
              <w:t>北京</w:t>
            </w:r>
          </w:p>
        </w:tc>
        <w:tc>
          <w:tcPr>
            <w:tcW w:w="1573"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33D82B8">
            <w:pPr>
              <w:spacing w:after="0" w:line="252" w:lineRule="auto"/>
              <w:jc w:val="center"/>
              <w:rPr>
                <w:b w:val="0"/>
                <w:color w:val="000000"/>
              </w:rPr>
            </w:pPr>
            <w:r>
              <w:rPr>
                <w:rFonts w:ascii="宋体" w:hAnsi="宋体" w:eastAsia="宋体"/>
                <w:b w:val="0"/>
                <w:color w:val="000000"/>
                <w:sz w:val="16"/>
              </w:rPr>
              <w:t>各区实况天气与分区气候标准值</w:t>
            </w:r>
          </w:p>
        </w:tc>
        <w:tc>
          <w:tcPr>
            <w:tcW w:w="665"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5A3E8D2">
            <w:pPr>
              <w:spacing w:after="0" w:line="252" w:lineRule="auto"/>
              <w:jc w:val="center"/>
              <w:rPr>
                <w:b w:val="0"/>
                <w:color w:val="000000"/>
              </w:rPr>
            </w:pPr>
            <w:r>
              <w:rPr>
                <w:rFonts w:ascii="宋体" w:hAnsi="宋体" w:eastAsia="宋体"/>
                <w:b w:val="0"/>
                <w:color w:val="000000"/>
                <w:sz w:val="16"/>
              </w:rPr>
              <w:t>日/月</w:t>
            </w:r>
          </w:p>
        </w:tc>
        <w:tc>
          <w:tcPr>
            <w:tcW w:w="706"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4393B377">
            <w:pPr>
              <w:spacing w:after="0" w:line="252" w:lineRule="auto"/>
              <w:jc w:val="center"/>
              <w:rPr>
                <w:b w:val="0"/>
                <w:color w:val="000000"/>
              </w:rPr>
            </w:pPr>
            <w:r>
              <w:rPr>
                <w:rFonts w:ascii="宋体" w:hAnsi="宋体" w:eastAsia="宋体"/>
                <w:b w:val="0"/>
                <w:color w:val="000000"/>
                <w:sz w:val="16"/>
              </w:rPr>
              <w:t>区县/气象站</w:t>
            </w:r>
          </w:p>
        </w:tc>
        <w:tc>
          <w:tcPr>
            <w:tcW w:w="1625" w:type="pct"/>
            <w:tcBorders>
              <w:top w:val="single" w:color="000000" w:sz="4" w:space="0"/>
              <w:left w:val="nil"/>
              <w:bottom w:val="nil"/>
              <w:right w:val="nil"/>
            </w:tcBorders>
            <w:shd w:val="clear" w:color="auto" w:fill="FFFFFF"/>
            <w:tcMar>
              <w:top w:w="80" w:type="dxa"/>
              <w:left w:w="100" w:type="dxa"/>
              <w:bottom w:w="80" w:type="dxa"/>
              <w:right w:w="100" w:type="dxa"/>
            </w:tcMar>
            <w:vAlign w:val="center"/>
          </w:tcPr>
          <w:p w14:paraId="15C38677">
            <w:pPr>
              <w:spacing w:after="0" w:line="252" w:lineRule="auto"/>
              <w:jc w:val="center"/>
              <w:rPr>
                <w:b w:val="0"/>
                <w:color w:val="000000"/>
              </w:rPr>
            </w:pPr>
            <w:r>
              <w:rPr>
                <w:rFonts w:ascii="宋体" w:hAnsi="宋体" w:eastAsia="宋体"/>
                <w:b w:val="0"/>
                <w:color w:val="000000"/>
                <w:sz w:val="16"/>
              </w:rPr>
              <w:t>月降水量、强降水日、高温日和季节基准</w:t>
            </w:r>
          </w:p>
        </w:tc>
      </w:tr>
      <w:tr w14:paraId="3E912D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6BB59D3E">
            <w:pPr>
              <w:spacing w:after="0" w:line="252" w:lineRule="auto"/>
              <w:jc w:val="center"/>
              <w:rPr>
                <w:b w:val="0"/>
                <w:color w:val="000000"/>
              </w:rPr>
            </w:pPr>
            <w:r>
              <w:rPr>
                <w:rFonts w:ascii="宋体" w:hAnsi="宋体" w:eastAsia="宋体"/>
                <w:b w:val="0"/>
                <w:color w:val="000000"/>
                <w:sz w:val="16"/>
              </w:rPr>
              <w:t>北京</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15F973CA">
            <w:pPr>
              <w:spacing w:after="0" w:line="252" w:lineRule="auto"/>
              <w:jc w:val="center"/>
              <w:rPr>
                <w:b w:val="0"/>
                <w:color w:val="000000"/>
              </w:rPr>
            </w:pPr>
            <w:r>
              <w:rPr>
                <w:rFonts w:ascii="宋体" w:hAnsi="宋体" w:eastAsia="宋体"/>
                <w:b w:val="0"/>
                <w:color w:val="000000"/>
                <w:sz w:val="16"/>
              </w:rPr>
              <w:t>行政区月供水量</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5312E882">
            <w:pPr>
              <w:spacing w:after="0" w:line="252" w:lineRule="auto"/>
              <w:jc w:val="center"/>
              <w:rPr>
                <w:b w:val="0"/>
                <w:color w:val="000000"/>
              </w:rPr>
            </w:pPr>
            <w:r>
              <w:rPr>
                <w:rFonts w:ascii="宋体" w:hAnsi="宋体" w:eastAsia="宋体"/>
                <w:b w:val="0"/>
                <w:color w:val="000000"/>
                <w:sz w:val="16"/>
              </w:rPr>
              <w:t>月</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29862570">
            <w:pPr>
              <w:spacing w:after="0" w:line="252" w:lineRule="auto"/>
              <w:jc w:val="center"/>
              <w:rPr>
                <w:b w:val="0"/>
                <w:color w:val="000000"/>
              </w:rPr>
            </w:pPr>
            <w:r>
              <w:rPr>
                <w:rFonts w:ascii="宋体" w:hAnsi="宋体" w:eastAsia="宋体"/>
                <w:b w:val="0"/>
                <w:color w:val="000000"/>
                <w:sz w:val="16"/>
              </w:rPr>
              <w:t>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45094839">
            <w:pPr>
              <w:spacing w:after="0" w:line="252" w:lineRule="auto"/>
              <w:jc w:val="center"/>
              <w:rPr>
                <w:b w:val="0"/>
                <w:color w:val="000000"/>
              </w:rPr>
            </w:pPr>
            <w:r>
              <w:rPr>
                <w:rFonts w:ascii="宋体" w:hAnsi="宋体" w:eastAsia="宋体"/>
                <w:b w:val="0"/>
                <w:color w:val="000000"/>
                <w:sz w:val="16"/>
              </w:rPr>
              <w:t>生命线运行负荷与异常波动</w:t>
            </w:r>
          </w:p>
        </w:tc>
      </w:tr>
      <w:tr w14:paraId="5E959FC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78B77898">
            <w:pPr>
              <w:spacing w:after="0" w:line="252" w:lineRule="auto"/>
              <w:jc w:val="center"/>
              <w:rPr>
                <w:b w:val="0"/>
                <w:color w:val="000000"/>
              </w:rPr>
            </w:pPr>
            <w:r>
              <w:rPr>
                <w:rFonts w:ascii="宋体" w:hAnsi="宋体" w:eastAsia="宋体"/>
                <w:b w:val="0"/>
                <w:color w:val="000000"/>
                <w:sz w:val="16"/>
              </w:rPr>
              <w:t>北京</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48091754">
            <w:pPr>
              <w:spacing w:after="0" w:line="252" w:lineRule="auto"/>
              <w:jc w:val="center"/>
              <w:rPr>
                <w:b w:val="0"/>
                <w:color w:val="000000"/>
              </w:rPr>
            </w:pPr>
            <w:r>
              <w:rPr>
                <w:rFonts w:ascii="宋体" w:hAnsi="宋体" w:eastAsia="宋体"/>
                <w:b w:val="0"/>
                <w:color w:val="000000"/>
                <w:sz w:val="16"/>
              </w:rPr>
              <w:t>汛情监测站历史数据、城市河湖水情</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345BC6B0">
            <w:pPr>
              <w:spacing w:after="0" w:line="252" w:lineRule="auto"/>
              <w:jc w:val="center"/>
              <w:rPr>
                <w:b w:val="0"/>
                <w:color w:val="000000"/>
              </w:rPr>
            </w:pPr>
            <w:r>
              <w:rPr>
                <w:rFonts w:ascii="宋体" w:hAnsi="宋体" w:eastAsia="宋体"/>
                <w:b w:val="0"/>
                <w:color w:val="000000"/>
                <w:sz w:val="16"/>
              </w:rPr>
              <w:t>小时/事件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70FECEA4">
            <w:pPr>
              <w:spacing w:after="0" w:line="252" w:lineRule="auto"/>
              <w:jc w:val="center"/>
              <w:rPr>
                <w:b w:val="0"/>
                <w:color w:val="000000"/>
              </w:rPr>
            </w:pPr>
            <w:r>
              <w:rPr>
                <w:rFonts w:ascii="宋体" w:hAnsi="宋体" w:eastAsia="宋体"/>
                <w:b w:val="0"/>
                <w:color w:val="000000"/>
                <w:sz w:val="16"/>
              </w:rPr>
              <w:t>站点→区县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26C6BC97">
            <w:pPr>
              <w:spacing w:after="0" w:line="252" w:lineRule="auto"/>
              <w:jc w:val="center"/>
              <w:rPr>
                <w:b w:val="0"/>
                <w:color w:val="000000"/>
              </w:rPr>
            </w:pPr>
            <w:r>
              <w:rPr>
                <w:rFonts w:ascii="宋体" w:hAnsi="宋体" w:eastAsia="宋体"/>
                <w:b w:val="0"/>
                <w:color w:val="000000"/>
                <w:sz w:val="16"/>
              </w:rPr>
              <w:t>洪涝强度、持续时间与水情恢复</w:t>
            </w:r>
          </w:p>
        </w:tc>
      </w:tr>
      <w:tr w14:paraId="3E475C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652D28B8">
            <w:pPr>
              <w:spacing w:after="0" w:line="252" w:lineRule="auto"/>
              <w:jc w:val="center"/>
              <w:rPr>
                <w:b w:val="0"/>
                <w:color w:val="000000"/>
              </w:rPr>
            </w:pPr>
            <w:r>
              <w:rPr>
                <w:rFonts w:ascii="宋体" w:hAnsi="宋体" w:eastAsia="宋体"/>
                <w:b w:val="0"/>
                <w:color w:val="000000"/>
                <w:sz w:val="16"/>
              </w:rPr>
              <w:t>北京</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1AACD6CD">
            <w:pPr>
              <w:spacing w:after="0" w:line="252" w:lineRule="auto"/>
              <w:jc w:val="center"/>
              <w:rPr>
                <w:b w:val="0"/>
                <w:color w:val="000000"/>
              </w:rPr>
            </w:pPr>
            <w:r>
              <w:rPr>
                <w:rFonts w:ascii="宋体" w:hAnsi="宋体" w:eastAsia="宋体"/>
                <w:b w:val="0"/>
                <w:color w:val="000000"/>
                <w:sz w:val="16"/>
              </w:rPr>
              <w:t>公路气象数据、下凹式立交桥</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28C85AE1">
            <w:pPr>
              <w:spacing w:after="0" w:line="252" w:lineRule="auto"/>
              <w:jc w:val="center"/>
              <w:rPr>
                <w:b w:val="0"/>
                <w:color w:val="000000"/>
              </w:rPr>
            </w:pPr>
            <w:r>
              <w:rPr>
                <w:rFonts w:ascii="宋体" w:hAnsi="宋体" w:eastAsia="宋体"/>
                <w:b w:val="0"/>
                <w:color w:val="000000"/>
                <w:sz w:val="16"/>
              </w:rPr>
              <w:t>分钟/事件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0A6652EA">
            <w:pPr>
              <w:spacing w:after="0" w:line="252" w:lineRule="auto"/>
              <w:jc w:val="center"/>
              <w:rPr>
                <w:b w:val="0"/>
                <w:color w:val="000000"/>
              </w:rPr>
            </w:pPr>
            <w:r>
              <w:rPr>
                <w:rFonts w:ascii="宋体" w:hAnsi="宋体" w:eastAsia="宋体"/>
                <w:b w:val="0"/>
                <w:color w:val="000000"/>
                <w:sz w:val="16"/>
              </w:rPr>
              <w:t>道路点位→区县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19F28E07">
            <w:pPr>
              <w:spacing w:after="0" w:line="252" w:lineRule="auto"/>
              <w:jc w:val="center"/>
              <w:rPr>
                <w:b w:val="0"/>
                <w:color w:val="000000"/>
              </w:rPr>
            </w:pPr>
            <w:r>
              <w:rPr>
                <w:rFonts w:ascii="宋体" w:hAnsi="宋体" w:eastAsia="宋体"/>
                <w:b w:val="0"/>
                <w:color w:val="000000"/>
                <w:sz w:val="16"/>
              </w:rPr>
              <w:t>交通暴露与易涝设施空间识别</w:t>
            </w:r>
          </w:p>
        </w:tc>
      </w:tr>
      <w:tr w14:paraId="5AFE2EF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5A0E9F8B">
            <w:pPr>
              <w:spacing w:after="0" w:line="252" w:lineRule="auto"/>
              <w:jc w:val="center"/>
              <w:rPr>
                <w:b w:val="0"/>
                <w:color w:val="000000"/>
              </w:rPr>
            </w:pPr>
            <w:r>
              <w:rPr>
                <w:rFonts w:ascii="宋体" w:hAnsi="宋体" w:eastAsia="宋体"/>
                <w:b w:val="0"/>
                <w:color w:val="000000"/>
                <w:sz w:val="16"/>
              </w:rPr>
              <w:t>深圳</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4DB06140">
            <w:pPr>
              <w:spacing w:after="0" w:line="252" w:lineRule="auto"/>
              <w:jc w:val="center"/>
              <w:rPr>
                <w:b w:val="0"/>
                <w:color w:val="000000"/>
              </w:rPr>
            </w:pPr>
            <w:r>
              <w:rPr>
                <w:rFonts w:ascii="宋体" w:hAnsi="宋体" w:eastAsia="宋体"/>
                <w:b w:val="0"/>
                <w:color w:val="000000"/>
                <w:sz w:val="16"/>
              </w:rPr>
              <w:t>分区逐时预报、自动站实况格点</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4CC1A2E2">
            <w:pPr>
              <w:spacing w:after="0" w:line="252" w:lineRule="auto"/>
              <w:jc w:val="center"/>
              <w:rPr>
                <w:b w:val="0"/>
                <w:color w:val="000000"/>
              </w:rPr>
            </w:pPr>
            <w:r>
              <w:rPr>
                <w:rFonts w:ascii="宋体" w:hAnsi="宋体" w:eastAsia="宋体"/>
                <w:b w:val="0"/>
                <w:color w:val="000000"/>
                <w:sz w:val="16"/>
              </w:rPr>
              <w:t>小时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01175AF5">
            <w:pPr>
              <w:spacing w:after="0" w:line="252" w:lineRule="auto"/>
              <w:jc w:val="center"/>
              <w:rPr>
                <w:b w:val="0"/>
                <w:color w:val="000000"/>
              </w:rPr>
            </w:pPr>
            <w:r>
              <w:rPr>
                <w:rFonts w:ascii="宋体" w:hAnsi="宋体" w:eastAsia="宋体"/>
                <w:b w:val="0"/>
                <w:color w:val="000000"/>
                <w:sz w:val="16"/>
              </w:rPr>
              <w:t>区县/网格</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60942481">
            <w:pPr>
              <w:spacing w:after="0" w:line="252" w:lineRule="auto"/>
              <w:jc w:val="center"/>
              <w:rPr>
                <w:b w:val="0"/>
                <w:color w:val="000000"/>
              </w:rPr>
            </w:pPr>
            <w:r>
              <w:rPr>
                <w:rFonts w:ascii="宋体" w:hAnsi="宋体" w:eastAsia="宋体"/>
                <w:b w:val="0"/>
                <w:color w:val="000000"/>
                <w:sz w:val="16"/>
              </w:rPr>
              <w:t>台风暴雨与高温压力</w:t>
            </w:r>
          </w:p>
        </w:tc>
      </w:tr>
      <w:tr w14:paraId="244BC1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055F622F">
            <w:pPr>
              <w:spacing w:after="0" w:line="252" w:lineRule="auto"/>
              <w:jc w:val="center"/>
              <w:rPr>
                <w:b w:val="0"/>
                <w:color w:val="000000"/>
              </w:rPr>
            </w:pPr>
            <w:r>
              <w:rPr>
                <w:rFonts w:ascii="宋体" w:hAnsi="宋体" w:eastAsia="宋体"/>
                <w:b w:val="0"/>
                <w:color w:val="000000"/>
                <w:sz w:val="16"/>
              </w:rPr>
              <w:t>深圳</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542DCD2C">
            <w:pPr>
              <w:spacing w:after="0" w:line="252" w:lineRule="auto"/>
              <w:jc w:val="center"/>
              <w:rPr>
                <w:b w:val="0"/>
                <w:color w:val="000000"/>
              </w:rPr>
            </w:pPr>
            <w:r>
              <w:rPr>
                <w:rFonts w:ascii="宋体" w:hAnsi="宋体" w:eastAsia="宋体"/>
                <w:b w:val="0"/>
                <w:color w:val="000000"/>
                <w:sz w:val="16"/>
              </w:rPr>
              <w:t>积涝点水位、河流水库水位</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7CB15E33">
            <w:pPr>
              <w:spacing w:after="0" w:line="252" w:lineRule="auto"/>
              <w:jc w:val="center"/>
              <w:rPr>
                <w:b w:val="0"/>
                <w:color w:val="000000"/>
              </w:rPr>
            </w:pPr>
            <w:r>
              <w:rPr>
                <w:rFonts w:ascii="宋体" w:hAnsi="宋体" w:eastAsia="宋体"/>
                <w:b w:val="0"/>
                <w:color w:val="000000"/>
                <w:sz w:val="16"/>
              </w:rPr>
              <w:t>实时/事件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1E249071">
            <w:pPr>
              <w:spacing w:after="0" w:line="252" w:lineRule="auto"/>
              <w:jc w:val="center"/>
              <w:rPr>
                <w:b w:val="0"/>
                <w:color w:val="000000"/>
              </w:rPr>
            </w:pPr>
            <w:r>
              <w:rPr>
                <w:rFonts w:ascii="宋体" w:hAnsi="宋体" w:eastAsia="宋体"/>
                <w:b w:val="0"/>
                <w:color w:val="000000"/>
                <w:sz w:val="16"/>
              </w:rPr>
              <w:t>点位→区县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57E9E655">
            <w:pPr>
              <w:spacing w:after="0" w:line="252" w:lineRule="auto"/>
              <w:jc w:val="center"/>
              <w:rPr>
                <w:b w:val="0"/>
                <w:color w:val="000000"/>
              </w:rPr>
            </w:pPr>
            <w:r>
              <w:rPr>
                <w:rFonts w:ascii="宋体" w:hAnsi="宋体" w:eastAsia="宋体"/>
                <w:b w:val="0"/>
                <w:color w:val="000000"/>
                <w:sz w:val="16"/>
              </w:rPr>
              <w:t>积涝峰值、中断时长与退水速度</w:t>
            </w:r>
          </w:p>
        </w:tc>
      </w:tr>
      <w:tr w14:paraId="606CA1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nil"/>
              <w:right w:val="nil"/>
            </w:tcBorders>
            <w:shd w:val="clear" w:color="auto" w:fill="FFFFFF"/>
            <w:tcMar>
              <w:top w:w="80" w:type="dxa"/>
              <w:left w:w="100" w:type="dxa"/>
              <w:bottom w:w="80" w:type="dxa"/>
              <w:right w:w="100" w:type="dxa"/>
            </w:tcMar>
            <w:vAlign w:val="center"/>
          </w:tcPr>
          <w:p w14:paraId="469840F2">
            <w:pPr>
              <w:spacing w:after="0" w:line="252" w:lineRule="auto"/>
              <w:jc w:val="center"/>
              <w:rPr>
                <w:b w:val="0"/>
                <w:color w:val="000000"/>
              </w:rPr>
            </w:pPr>
            <w:r>
              <w:rPr>
                <w:rFonts w:ascii="宋体" w:hAnsi="宋体" w:eastAsia="宋体"/>
                <w:b w:val="0"/>
                <w:color w:val="000000"/>
                <w:sz w:val="16"/>
              </w:rPr>
              <w:t>天津</w:t>
            </w:r>
          </w:p>
        </w:tc>
        <w:tc>
          <w:tcPr>
            <w:tcW w:w="1573" w:type="pct"/>
            <w:tcBorders>
              <w:top w:val="nil"/>
              <w:left w:val="nil"/>
              <w:bottom w:val="nil"/>
              <w:right w:val="nil"/>
            </w:tcBorders>
            <w:shd w:val="clear" w:color="auto" w:fill="FFFFFF"/>
            <w:tcMar>
              <w:top w:w="80" w:type="dxa"/>
              <w:left w:w="100" w:type="dxa"/>
              <w:bottom w:w="80" w:type="dxa"/>
              <w:right w:w="100" w:type="dxa"/>
            </w:tcMar>
            <w:vAlign w:val="center"/>
          </w:tcPr>
          <w:p w14:paraId="2CCE3E65">
            <w:pPr>
              <w:spacing w:after="0" w:line="252" w:lineRule="auto"/>
              <w:jc w:val="center"/>
              <w:rPr>
                <w:b w:val="0"/>
                <w:color w:val="000000"/>
              </w:rPr>
            </w:pPr>
            <w:r>
              <w:rPr>
                <w:rFonts w:ascii="宋体" w:hAnsi="宋体" w:eastAsia="宋体"/>
                <w:b w:val="0"/>
                <w:color w:val="000000"/>
                <w:sz w:val="16"/>
              </w:rPr>
              <w:t>天气预报信息、气象预警信息汇总</w:t>
            </w:r>
          </w:p>
        </w:tc>
        <w:tc>
          <w:tcPr>
            <w:tcW w:w="665" w:type="pct"/>
            <w:tcBorders>
              <w:top w:val="nil"/>
              <w:left w:val="nil"/>
              <w:bottom w:val="nil"/>
              <w:right w:val="nil"/>
            </w:tcBorders>
            <w:shd w:val="clear" w:color="auto" w:fill="FFFFFF"/>
            <w:tcMar>
              <w:top w:w="80" w:type="dxa"/>
              <w:left w:w="100" w:type="dxa"/>
              <w:bottom w:w="80" w:type="dxa"/>
              <w:right w:w="100" w:type="dxa"/>
            </w:tcMar>
            <w:vAlign w:val="center"/>
          </w:tcPr>
          <w:p w14:paraId="016C4C39">
            <w:pPr>
              <w:spacing w:after="0" w:line="252" w:lineRule="auto"/>
              <w:jc w:val="center"/>
              <w:rPr>
                <w:b w:val="0"/>
                <w:color w:val="000000"/>
              </w:rPr>
            </w:pPr>
            <w:r>
              <w:rPr>
                <w:rFonts w:ascii="宋体" w:hAnsi="宋体" w:eastAsia="宋体"/>
                <w:b w:val="0"/>
                <w:color w:val="000000"/>
                <w:sz w:val="16"/>
              </w:rPr>
              <w:t>月度发布/事件</w:t>
            </w:r>
          </w:p>
        </w:tc>
        <w:tc>
          <w:tcPr>
            <w:tcW w:w="706" w:type="pct"/>
            <w:tcBorders>
              <w:top w:val="nil"/>
              <w:left w:val="nil"/>
              <w:bottom w:val="nil"/>
              <w:right w:val="nil"/>
            </w:tcBorders>
            <w:shd w:val="clear" w:color="auto" w:fill="FFFFFF"/>
            <w:tcMar>
              <w:top w:w="80" w:type="dxa"/>
              <w:left w:w="100" w:type="dxa"/>
              <w:bottom w:w="80" w:type="dxa"/>
              <w:right w:w="100" w:type="dxa"/>
            </w:tcMar>
            <w:vAlign w:val="center"/>
          </w:tcPr>
          <w:p w14:paraId="7763FDD1">
            <w:pPr>
              <w:spacing w:after="0" w:line="252" w:lineRule="auto"/>
              <w:jc w:val="center"/>
              <w:rPr>
                <w:b w:val="0"/>
                <w:color w:val="000000"/>
              </w:rPr>
            </w:pPr>
            <w:r>
              <w:rPr>
                <w:rFonts w:ascii="宋体" w:hAnsi="宋体" w:eastAsia="宋体"/>
                <w:b w:val="0"/>
                <w:color w:val="000000"/>
                <w:sz w:val="16"/>
              </w:rPr>
              <w:t>城市/区县</w:t>
            </w:r>
          </w:p>
        </w:tc>
        <w:tc>
          <w:tcPr>
            <w:tcW w:w="1625" w:type="pct"/>
            <w:tcBorders>
              <w:top w:val="nil"/>
              <w:left w:val="nil"/>
              <w:bottom w:val="nil"/>
              <w:right w:val="nil"/>
            </w:tcBorders>
            <w:shd w:val="clear" w:color="auto" w:fill="FFFFFF"/>
            <w:tcMar>
              <w:top w:w="80" w:type="dxa"/>
              <w:left w:w="100" w:type="dxa"/>
              <w:bottom w:w="80" w:type="dxa"/>
              <w:right w:w="100" w:type="dxa"/>
            </w:tcMar>
            <w:vAlign w:val="center"/>
          </w:tcPr>
          <w:p w14:paraId="7BFD74BD">
            <w:pPr>
              <w:spacing w:after="0" w:line="252" w:lineRule="auto"/>
              <w:jc w:val="center"/>
              <w:rPr>
                <w:b w:val="0"/>
                <w:color w:val="000000"/>
              </w:rPr>
            </w:pPr>
            <w:r>
              <w:rPr>
                <w:rFonts w:ascii="宋体" w:hAnsi="宋体" w:eastAsia="宋体"/>
                <w:b w:val="0"/>
                <w:color w:val="000000"/>
                <w:sz w:val="16"/>
              </w:rPr>
              <w:t>气象冲击与预警频次</w:t>
            </w:r>
          </w:p>
        </w:tc>
      </w:tr>
      <w:tr w14:paraId="739A1B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c>
          <w:tcPr>
            <w:tcW w:w="428"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429EF4A7">
            <w:pPr>
              <w:spacing w:after="0" w:line="252" w:lineRule="auto"/>
              <w:jc w:val="center"/>
              <w:rPr>
                <w:b w:val="0"/>
                <w:color w:val="000000"/>
              </w:rPr>
            </w:pPr>
            <w:r>
              <w:rPr>
                <w:rFonts w:ascii="宋体" w:hAnsi="宋体" w:eastAsia="宋体"/>
                <w:b w:val="0"/>
                <w:color w:val="000000"/>
                <w:sz w:val="16"/>
              </w:rPr>
              <w:t>上海</w:t>
            </w:r>
          </w:p>
        </w:tc>
        <w:tc>
          <w:tcPr>
            <w:tcW w:w="1573"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51AC94D8">
            <w:pPr>
              <w:spacing w:after="0" w:line="252" w:lineRule="auto"/>
              <w:jc w:val="center"/>
              <w:rPr>
                <w:b w:val="0"/>
                <w:color w:val="000000"/>
              </w:rPr>
            </w:pPr>
            <w:r>
              <w:rPr>
                <w:rFonts w:ascii="宋体" w:hAnsi="宋体" w:eastAsia="宋体"/>
                <w:b w:val="0"/>
                <w:color w:val="000000"/>
                <w:sz w:val="16"/>
              </w:rPr>
              <w:t>地面实况、逐时天气预报、灾害性天气预警</w:t>
            </w:r>
          </w:p>
        </w:tc>
        <w:tc>
          <w:tcPr>
            <w:tcW w:w="665"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171F306F">
            <w:pPr>
              <w:spacing w:after="0" w:line="252" w:lineRule="auto"/>
              <w:jc w:val="center"/>
              <w:rPr>
                <w:b w:val="0"/>
                <w:color w:val="000000"/>
              </w:rPr>
            </w:pPr>
            <w:r>
              <w:rPr>
                <w:rFonts w:ascii="宋体" w:hAnsi="宋体" w:eastAsia="宋体"/>
                <w:b w:val="0"/>
                <w:color w:val="000000"/>
                <w:sz w:val="16"/>
              </w:rPr>
              <w:t>小时/事件</w:t>
            </w:r>
          </w:p>
        </w:tc>
        <w:tc>
          <w:tcPr>
            <w:tcW w:w="706"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599AC1E3">
            <w:pPr>
              <w:spacing w:after="0" w:line="252" w:lineRule="auto"/>
              <w:jc w:val="center"/>
              <w:rPr>
                <w:b w:val="0"/>
                <w:color w:val="000000"/>
              </w:rPr>
            </w:pPr>
            <w:r>
              <w:rPr>
                <w:rFonts w:ascii="宋体" w:hAnsi="宋体" w:eastAsia="宋体"/>
                <w:b w:val="0"/>
                <w:color w:val="000000"/>
                <w:sz w:val="16"/>
              </w:rPr>
              <w:t>站点/区域</w:t>
            </w:r>
          </w:p>
        </w:tc>
        <w:tc>
          <w:tcPr>
            <w:tcW w:w="1625" w:type="pct"/>
            <w:tcBorders>
              <w:top w:val="nil"/>
              <w:left w:val="nil"/>
              <w:bottom w:val="single" w:color="000000" w:sz="12" w:space="0"/>
              <w:right w:val="nil"/>
            </w:tcBorders>
            <w:shd w:val="clear" w:color="auto" w:fill="FFFFFF"/>
            <w:tcMar>
              <w:top w:w="80" w:type="dxa"/>
              <w:left w:w="100" w:type="dxa"/>
              <w:bottom w:w="80" w:type="dxa"/>
              <w:right w:w="100" w:type="dxa"/>
            </w:tcMar>
            <w:vAlign w:val="center"/>
          </w:tcPr>
          <w:p w14:paraId="2938B8CE">
            <w:pPr>
              <w:spacing w:after="0" w:line="252" w:lineRule="auto"/>
              <w:jc w:val="center"/>
              <w:rPr>
                <w:b w:val="0"/>
                <w:color w:val="000000"/>
              </w:rPr>
            </w:pPr>
            <w:r>
              <w:rPr>
                <w:rFonts w:ascii="宋体" w:hAnsi="宋体" w:eastAsia="宋体"/>
                <w:b w:val="0"/>
                <w:color w:val="000000"/>
                <w:sz w:val="16"/>
              </w:rPr>
              <w:t>台风、暴雨、高温过程刻画</w:t>
            </w:r>
          </w:p>
        </w:tc>
      </w:tr>
    </w:tbl>
    <w:p w14:paraId="3EFC33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5.4 原指标与灾害冲击的时空演化分析</w:t>
      </w:r>
    </w:p>
    <w:p w14:paraId="1538EA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t>分析分三步。第一步，逐项比较原16项指标在七个城市的年度值，并在试点城市建立同一指标的区县年度序列，观察同城差异和多年变化。第二步，仅对已取得真实月度原始量的原指标计算区县月度序列，分别标出年度背景值、半年累计值和月度观测值；不同频率的数据不混为一个完整月度指数。第三步，将各区实际灾害强度和事件响应结果连接到上述能力指标，检验哪些区级短板对应更高损失或更慢恢复。</w:t>
      </w:r>
    </w:p>
    <w:p w14:paraId="31C68E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sz w:val="24"/>
        </w:rPr>
        <w:t>跨区县比较应在灾种与强度可比的条件下进行。可先按预警等级、累计降水量、最高温度或地震烈度对事件分层，再比较相同压力层内各区县的损失与恢复绩效；跨月比较则将当月值与同区县历史同期基准比较，避免把正常季节性误判为韧性变化。对于仅有点位数据的指标，采用站点落区或网格面积加权汇总，并同时保留点位层原始值。</w:t>
      </w:r>
    </w:p>
    <w:p w14:paraId="6108C5FC">
      <w:pPr>
        <w:keepNext/>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4"/>
          <w:szCs w:val="24"/>
          <w:lang w:val="en-US" w:eastAsia="zh-CN"/>
        </w:rPr>
      </w:pPr>
      <w:r>
        <w:t>5.5 数据质量与下一步实证</w:t>
      </w:r>
    </w:p>
    <w:p w14:paraId="0786F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sz w:val="24"/>
        </w:rPr>
        <w:sectPr>
          <w:pgSz w:w="11906" w:h="16838"/>
          <w:pgMar w:top="1440" w:right="1800" w:bottom="1440" w:left="1800" w:header="851" w:footer="992" w:gutter="0"/>
          <w:cols w:space="425" w:num="1"/>
          <w:docGrid w:type="lines" w:linePitch="312" w:charSpace="0"/>
        </w:sectPr>
      </w:pPr>
      <w:r>
        <w:t>细化数据表除城市、区县、时期和指标代码外，还应保存原始分子、原始分母、计算值、单位、空间等级、真实观测频率、来源页码或链接、下载日期及口径备注。质量标记至少区分原始统计值、按原公式计算值、代理值、年度值映射到月份和缺失值。先核实试点城市16项区县年度数据的覆盖率，再扩大城市与年份；对月度指标逐项报告可得月份和缺口，不能用气象数据的高频覆盖率替代原指标的采集完成率。</w:t>
      </w:r>
    </w:p>
    <w:p w14:paraId="4AA98A20">
      <w:pPr>
        <w:numPr>
          <w:ilvl w:val="0"/>
          <w:numId w:val="1"/>
        </w:numPr>
        <w:bidi w:val="0"/>
        <w:ind w:leftChars="0"/>
        <w:rPr>
          <w:rFonts w:hint="default" w:ascii="黑体" w:hAnsi="黑体" w:eastAsia="黑体" w:cs="黑体"/>
          <w:b/>
          <w:bCs/>
          <w:sz w:val="28"/>
          <w:szCs w:val="28"/>
          <w:lang w:val="en-US" w:eastAsia="zh-CN"/>
        </w:rPr>
      </w:pPr>
      <w:r>
        <w:t xml:space="preserve">多事件韧性恢复规律分析</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在第五章以年度基线与区县、月度采集方法回答“数据怎么来”的基础上，本章以北京市三次特大暴雨灾害事件——2012年“7·21”、2023年“23·7”与2025年“25·7”——构成纵向事件样本，直接观察城市在真实灾害冲击下的受损与恢复过程，回答导师评审中提出的“韧性如何受损、如何恢复、呈现何种规律”问题。三次事件发生在同一城市、间隔11年和2年，灾害强度、空间指向与应对条件可对比，是检验韧性是否通过学习适应而提升的天然实验。</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6.1 事件样本与数据基础</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本研究选择上述三次事件作为样本的原因有三：其一，三次事件均属暴雨洪涝灾害，致灾机理同源而强度递增（23·7为140年来最大降雨），可在相近灾种下比较应对差异；其二，三次事件的重灾区域分别指向主城与房山、西部山区、北部山区，空间指向完全不同，为区县粒度分析提供对照；其三，三次事件的官方通报、气象实测与恢复时间线均完整公开，数据可追溯、可核验。事件数据来源包括中国气象局、北京市人民政府新闻发布会、北京市水务局及北京市公共数据开放平台等[23-28]，具体链接见附录数据清单。</w:t>
      </w:r>
    </w:p>
    <w:p w14:paraId="469146D5">
      <w:pPr>
        <w:pStyle w:val="3"/>
        <w:keepNext/>
        <w:jc w:val="center"/>
        <w:rPr>
          <w:rFonts w:hint="eastAsia" w:eastAsia="黑体"/>
          <w:lang w:val="en-US" w:eastAsia="zh-CN"/>
        </w:rPr>
      </w:pPr>
      <w:r>
        <w:t xml:space="preserve">表6 三次特大暴雨事件概况对比</w:t>
      </w:r>
    </w:p>
    <w:tbl>
      <w:tblPr>
        <w:tblBorders>
          <w:top w:val="single" w:sz="4" w:color="000000"/>
          <w:left w:val="single" w:sz="4" w:color="000000"/>
          <w:bottom w:val="single" w:sz="4" w:color="000000"/>
          <w:right w:val="single" w:sz="4" w:color="000000"/>
          <w:insideH w:val="single" w:sz="4" w:color="000000"/>
          <w:insideV w:val="single" w:sz="4" w:color="000000"/>
        </w:tblBorders>
      </w:tblPr>
      <w:tblGrid>
        <w:gridCol w:w="5670"/>
        <w:gridCol w:w="17010"/>
        <w:gridCol w:w="17010"/>
        <w:gridCol w:w="17010"/>
      </w:tblGrid>
      <w:tr>
        <w:tc>
          <w:tcPr>
            <w:tcW w:w="5670" w:type="dxa"/>
            <w:vAlign w:val="center"/>
          </w:tcPr>
          <w:p>
            <w:pPr>
              <w:jc w:val="center"/>
            </w:pPr>
            <w:r>
              <w:rPr>
                <w:sz w:val="18"/>
                <w:b/>
              </w:rPr>
              <w:t xml:space="preserve">对比项</w:t>
            </w:r>
          </w:p>
        </w:tc>
        <w:tc>
          <w:tcPr>
            <w:tcW w:w="17010" w:type="dxa"/>
            <w:vAlign w:val="center"/>
          </w:tcPr>
          <w:p>
            <w:pPr>
              <w:jc w:val="center"/>
            </w:pPr>
            <w:r>
              <w:rPr>
                <w:sz w:val="18"/>
                <w:b/>
              </w:rPr>
              <w:t xml:space="preserve">7·21（2012）</w:t>
            </w:r>
          </w:p>
        </w:tc>
        <w:tc>
          <w:tcPr>
            <w:tcW w:w="17010" w:type="dxa"/>
            <w:vAlign w:val="center"/>
          </w:tcPr>
          <w:p>
            <w:pPr>
              <w:jc w:val="center"/>
            </w:pPr>
            <w:r>
              <w:rPr>
                <w:sz w:val="18"/>
                <w:b/>
              </w:rPr>
              <w:t xml:space="preserve">23·7（2023）</w:t>
            </w:r>
          </w:p>
        </w:tc>
        <w:tc>
          <w:tcPr>
            <w:tcW w:w="17010" w:type="dxa"/>
            <w:vAlign w:val="center"/>
          </w:tcPr>
          <w:p>
            <w:pPr>
              <w:jc w:val="center"/>
            </w:pPr>
            <w:r>
              <w:rPr>
                <w:sz w:val="18"/>
                <w:b/>
              </w:rPr>
              <w:t xml:space="preserve">25·7（2025）</w:t>
            </w:r>
          </w:p>
        </w:tc>
      </w:tr>
      <w:tr>
        <w:tc>
          <w:tcPr>
            <w:tcW w:w="5670" w:type="dxa"/>
            <w:vAlign w:val="center"/>
          </w:tcPr>
          <w:p>
            <w:pPr>
              <w:jc w:val="center"/>
            </w:pPr>
            <w:r>
              <w:rPr>
                <w:sz w:val="18"/>
              </w:rPr>
              <w:t xml:space="preserve">发生时间</w:t>
            </w:r>
          </w:p>
        </w:tc>
        <w:tc>
          <w:tcPr>
            <w:tcW w:w="17010" w:type="dxa"/>
            <w:vAlign w:val="center"/>
          </w:tcPr>
          <w:p>
            <w:pPr>
              <w:jc w:val="center"/>
            </w:pPr>
            <w:r>
              <w:rPr>
                <w:sz w:val="18"/>
              </w:rPr>
              <w:t xml:space="preserve">2012-07-21午后至22日凌晨</w:t>
            </w:r>
          </w:p>
        </w:tc>
        <w:tc>
          <w:tcPr>
            <w:tcW w:w="17010" w:type="dxa"/>
            <w:vAlign w:val="center"/>
          </w:tcPr>
          <w:p>
            <w:pPr>
              <w:jc w:val="center"/>
            </w:pPr>
            <w:r>
              <w:rPr>
                <w:sz w:val="18"/>
              </w:rPr>
              <w:t xml:space="preserve">2023-07-29至08-02</w:t>
            </w:r>
          </w:p>
        </w:tc>
        <w:tc>
          <w:tcPr>
            <w:tcW w:w="17010" w:type="dxa"/>
            <w:vAlign w:val="center"/>
          </w:tcPr>
          <w:p>
            <w:pPr>
              <w:jc w:val="center"/>
            </w:pPr>
            <w:r>
              <w:rPr>
                <w:sz w:val="18"/>
              </w:rPr>
              <w:t xml:space="preserve">2025-07-23至29</w:t>
            </w:r>
          </w:p>
        </w:tc>
      </w:tr>
      <w:tr>
        <w:tc>
          <w:tcPr>
            <w:tcW w:w="5670" w:type="dxa"/>
            <w:vAlign w:val="center"/>
          </w:tcPr>
          <w:p>
            <w:pPr>
              <w:jc w:val="center"/>
            </w:pPr>
            <w:r>
              <w:rPr>
                <w:sz w:val="18"/>
              </w:rPr>
              <w:t xml:space="preserve">历史定位</w:t>
            </w:r>
          </w:p>
        </w:tc>
        <w:tc>
          <w:tcPr>
            <w:tcW w:w="17010" w:type="dxa"/>
            <w:vAlign w:val="center"/>
          </w:tcPr>
          <w:p>
            <w:pPr>
              <w:jc w:val="center"/>
            </w:pPr>
            <w:r>
              <w:rPr>
                <w:sz w:val="18"/>
              </w:rPr>
              <w:t xml:space="preserve">61年来最大降雨</w:t>
            </w:r>
          </w:p>
        </w:tc>
        <w:tc>
          <w:tcPr>
            <w:tcW w:w="17010" w:type="dxa"/>
            <w:vAlign w:val="center"/>
          </w:tcPr>
          <w:p>
            <w:pPr>
              <w:jc w:val="center"/>
            </w:pPr>
            <w:r>
              <w:rPr>
                <w:sz w:val="18"/>
              </w:rPr>
              <w:t xml:space="preserve">140年来最大降雨</w:t>
            </w:r>
          </w:p>
        </w:tc>
        <w:tc>
          <w:tcPr>
            <w:tcW w:w="17010" w:type="dxa"/>
            <w:vAlign w:val="center"/>
          </w:tcPr>
          <w:p>
            <w:pPr>
              <w:jc w:val="center"/>
            </w:pPr>
            <w:r>
              <w:rPr>
                <w:sz w:val="18"/>
              </w:rPr>
              <w:t xml:space="preserve">北部山区罕见极端强降雨</w:t>
            </w:r>
          </w:p>
        </w:tc>
      </w:tr>
      <w:tr>
        <w:tc>
          <w:tcPr>
            <w:tcW w:w="5670" w:type="dxa"/>
            <w:vAlign w:val="center"/>
          </w:tcPr>
          <w:p>
            <w:pPr>
              <w:jc w:val="center"/>
            </w:pPr>
            <w:r>
              <w:rPr>
                <w:sz w:val="18"/>
              </w:rPr>
              <w:t xml:space="preserve">重灾区域</w:t>
            </w:r>
          </w:p>
        </w:tc>
        <w:tc>
          <w:tcPr>
            <w:tcW w:w="17010" w:type="dxa"/>
            <w:vAlign w:val="center"/>
          </w:tcPr>
          <w:p>
            <w:pPr>
              <w:jc w:val="center"/>
            </w:pPr>
            <w:r>
              <w:rPr>
                <w:sz w:val="18"/>
              </w:rPr>
              <w:t xml:space="preserve">全市+房山（山区）</w:t>
            </w:r>
          </w:p>
        </w:tc>
        <w:tc>
          <w:tcPr>
            <w:tcW w:w="17010" w:type="dxa"/>
            <w:vAlign w:val="center"/>
          </w:tcPr>
          <w:p>
            <w:pPr>
              <w:jc w:val="center"/>
            </w:pPr>
            <w:r>
              <w:rPr>
                <w:sz w:val="18"/>
              </w:rPr>
              <w:t xml:space="preserve">西部山区：门头沟、房山</w:t>
            </w:r>
          </w:p>
        </w:tc>
        <w:tc>
          <w:tcPr>
            <w:tcW w:w="17010" w:type="dxa"/>
            <w:vAlign w:val="center"/>
          </w:tcPr>
          <w:p>
            <w:pPr>
              <w:jc w:val="center"/>
            </w:pPr>
            <w:r>
              <w:rPr>
                <w:sz w:val="18"/>
              </w:rPr>
              <w:t xml:space="preserve">北部山区：密云、怀柔、延庆</w:t>
            </w:r>
          </w:p>
        </w:tc>
      </w:tr>
      <w:tr>
        <w:tc>
          <w:tcPr>
            <w:tcW w:w="5670" w:type="dxa"/>
            <w:vAlign w:val="center"/>
          </w:tcPr>
          <w:p>
            <w:pPr>
              <w:jc w:val="center"/>
            </w:pPr>
            <w:r>
              <w:rPr>
                <w:sz w:val="18"/>
              </w:rPr>
              <w:t xml:space="preserve">灾害类型</w:t>
            </w:r>
          </w:p>
        </w:tc>
        <w:tc>
          <w:tcPr>
            <w:tcW w:w="17010" w:type="dxa"/>
            <w:vAlign w:val="center"/>
          </w:tcPr>
          <w:p>
            <w:pPr>
              <w:jc w:val="center"/>
            </w:pPr>
            <w:r>
              <w:rPr>
                <w:sz w:val="18"/>
              </w:rPr>
              <w:t xml:space="preserve">城市内涝+山区山洪</w:t>
            </w:r>
          </w:p>
        </w:tc>
        <w:tc>
          <w:tcPr>
            <w:tcW w:w="17010" w:type="dxa"/>
            <w:vAlign w:val="center"/>
          </w:tcPr>
          <w:p>
            <w:pPr>
              <w:jc w:val="center"/>
            </w:pPr>
            <w:r>
              <w:rPr>
                <w:sz w:val="18"/>
              </w:rPr>
              <w:t xml:space="preserve">流域性特大洪水+山洪泥石流</w:t>
            </w:r>
          </w:p>
        </w:tc>
        <w:tc>
          <w:tcPr>
            <w:tcW w:w="17010" w:type="dxa"/>
            <w:vAlign w:val="center"/>
          </w:tcPr>
          <w:p>
            <w:pPr>
              <w:jc w:val="center"/>
            </w:pPr>
            <w:r>
              <w:rPr>
                <w:sz w:val="18"/>
              </w:rPr>
              <w:t xml:space="preserve">山洪+泥石流+山体滑坡</w:t>
            </w:r>
          </w:p>
        </w:tc>
      </w:tr>
      <w:tr>
        <w:tc>
          <w:tcPr>
            <w:tcW w:w="5670" w:type="dxa"/>
            <w:vAlign w:val="center"/>
          </w:tcPr>
          <w:p>
            <w:pPr>
              <w:jc w:val="center"/>
            </w:pPr>
            <w:r>
              <w:rPr>
                <w:sz w:val="18"/>
              </w:rPr>
              <w:t xml:space="preserve">预警级别</w:t>
            </w:r>
          </w:p>
        </w:tc>
        <w:tc>
          <w:tcPr>
            <w:tcW w:w="17010" w:type="dxa"/>
            <w:vAlign w:val="center"/>
          </w:tcPr>
          <w:p>
            <w:pPr>
              <w:jc w:val="center"/>
            </w:pPr>
            <w:r>
              <w:rPr>
                <w:sz w:val="18"/>
              </w:rPr>
              <w:t xml:space="preserve">暴雨橙色预警</w:t>
            </w:r>
          </w:p>
        </w:tc>
        <w:tc>
          <w:tcPr>
            <w:tcW w:w="17010" w:type="dxa"/>
            <w:vAlign w:val="center"/>
          </w:tcPr>
          <w:p>
            <w:pPr>
              <w:jc w:val="center"/>
            </w:pPr>
            <w:r>
              <w:rPr>
                <w:sz w:val="18"/>
              </w:rPr>
              <w:t xml:space="preserve">暴雨红色预警</w:t>
            </w:r>
          </w:p>
        </w:tc>
        <w:tc>
          <w:tcPr>
            <w:tcW w:w="17010" w:type="dxa"/>
            <w:vAlign w:val="center"/>
          </w:tcPr>
          <w:p>
            <w:pPr>
              <w:jc w:val="center"/>
            </w:pPr>
            <w:r>
              <w:rPr>
                <w:sz w:val="18"/>
              </w:rPr>
              <w:t xml:space="preserve">多区暴雨红色预警</w:t>
            </w:r>
          </w:p>
        </w:tc>
      </w:tr>
      <w:tr>
        <w:tc>
          <w:tcPr>
            <w:tcW w:w="5670" w:type="dxa"/>
            <w:vAlign w:val="center"/>
          </w:tcPr>
          <w:p>
            <w:pPr>
              <w:jc w:val="center"/>
            </w:pPr>
            <w:r>
              <w:rPr>
                <w:sz w:val="18"/>
              </w:rPr>
              <w:t xml:space="preserve">全市平均降雨量</w:t>
            </w:r>
          </w:p>
        </w:tc>
        <w:tc>
          <w:tcPr>
            <w:tcW w:w="17010" w:type="dxa"/>
            <w:vAlign w:val="center"/>
          </w:tcPr>
          <w:p>
            <w:pPr>
              <w:jc w:val="center"/>
            </w:pPr>
            <w:r>
              <w:rPr>
                <w:sz w:val="18"/>
              </w:rPr>
              <w:t xml:space="preserve">170.0毫米</w:t>
            </w:r>
          </w:p>
        </w:tc>
        <w:tc>
          <w:tcPr>
            <w:tcW w:w="17010" w:type="dxa"/>
            <w:vAlign w:val="center"/>
          </w:tcPr>
          <w:p>
            <w:pPr>
              <w:jc w:val="center"/>
            </w:pPr>
            <w:r>
              <w:rPr>
                <w:sz w:val="18"/>
              </w:rPr>
              <w:t xml:space="preserve">276.5毫米</w:t>
            </w:r>
          </w:p>
        </w:tc>
        <w:tc>
          <w:tcPr>
            <w:tcW w:w="17010" w:type="dxa"/>
            <w:vAlign w:val="center"/>
          </w:tcPr>
          <w:p>
            <w:pPr>
              <w:jc w:val="center"/>
            </w:pPr>
            <w:r>
              <w:rPr>
                <w:sz w:val="18"/>
              </w:rPr>
              <w:t xml:space="preserve">165.9毫米</w:t>
            </w:r>
          </w:p>
        </w:tc>
      </w:tr>
      <w:tr>
        <w:tc>
          <w:tcPr>
            <w:tcW w:w="5670" w:type="dxa"/>
            <w:vAlign w:val="center"/>
          </w:tcPr>
          <w:p>
            <w:pPr>
              <w:jc w:val="center"/>
            </w:pPr>
            <w:r>
              <w:rPr>
                <w:sz w:val="18"/>
              </w:rPr>
              <w:t xml:space="preserve">因灾死亡/转移</w:t>
            </w:r>
          </w:p>
        </w:tc>
        <w:tc>
          <w:tcPr>
            <w:tcW w:w="17010" w:type="dxa"/>
            <w:vAlign w:val="center"/>
          </w:tcPr>
          <w:p>
            <w:pPr>
              <w:jc w:val="center"/>
            </w:pPr>
            <w:r>
              <w:rPr>
                <w:sz w:val="18"/>
              </w:rPr>
              <w:t xml:space="preserve">79人；5万余人转移</w:t>
            </w:r>
          </w:p>
        </w:tc>
        <w:tc>
          <w:tcPr>
            <w:tcW w:w="17010" w:type="dxa"/>
            <w:vAlign w:val="center"/>
          </w:tcPr>
          <w:p>
            <w:pPr>
              <w:jc w:val="center"/>
            </w:pPr>
            <w:r>
              <w:rPr>
                <w:sz w:val="18"/>
              </w:rPr>
              <w:t xml:space="preserve">33人；34.4万人安置</w:t>
            </w:r>
          </w:p>
        </w:tc>
        <w:tc>
          <w:tcPr>
            <w:tcW w:w="17010" w:type="dxa"/>
            <w:vAlign w:val="center"/>
          </w:tcPr>
          <w:p>
            <w:pPr>
              <w:jc w:val="center"/>
            </w:pPr>
            <w:r>
              <w:rPr>
                <w:sz w:val="18"/>
              </w:rPr>
              <w:t xml:space="preserve">30人；80332人转移</w:t>
            </w:r>
          </w:p>
        </w:tc>
      </w:tr>
    </w:tbl>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由表6可见，三次事件的致灾强度与空间指向差异显著。23·7降雨量（276.5毫米）是7·21（170.0毫米）的1.63倍，持续时间更长，但死亡人数反而下降，初步提示韧性水平的提升。</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6.2 恢复时间线对比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恢复时间线记录灾害结束后城市各项功能的恢复时刻，是衡量韧性最直接的指标。图3对比三次事件在积水消退、交通、通信、供电、供水等生命线恢复节点上的差异。</w:t>
      </w:r>
    </w:p>
    <w:p>
      <w:pPr>
        <w:jc w:val="center"/>
      </w:pPr>
    </w:p>
    <w:p>
      <w:pPr>
        <w:jc w:val="center"/>
      </w:pPr>
      <w:r>
        <w:drawing>
          <wp:inline xmlns:a="http://schemas.openxmlformats.org/drawingml/2006/main" xmlns:pic="http://schemas.openxmlformats.org/drawingml/2006/picture">
            <wp:extent cx="5220000" cy="2088000"/>
            <wp:docPr id="3" name="Picture 3"/>
            <wp:cNvGraphicFramePr>
              <a:graphicFrameLocks noChangeAspect="1"/>
            </wp:cNvGraphicFramePr>
            <a:graphic>
              <a:graphicData uri="http://schemas.openxmlformats.org/drawingml/2006/picture">
                <pic:pic>
                  <pic:nvPicPr>
                    <pic:cNvPr id="0" name="图1_恢复时间线对比.png"/>
                    <pic:cNvPicPr/>
                  </pic:nvPicPr>
                  <pic:blipFill>
                    <a:blip r:embed="rId8"/>
                    <a:stretch>
                      <a:fillRect/>
                    </a:stretch>
                  </pic:blipFill>
                  <pic:spPr>
                    <a:xfrm>
                      <a:off x="0" y="0"/>
                      <a:ext cx="5220000" cy="2088000"/>
                    </a:xfrm>
                    <a:prstGeom prst="rect"/>
                  </pic:spPr>
                </pic:pic>
              </a:graphicData>
            </a:graphic>
          </wp:inline>
        </w:drawing>
      </w:r>
    </w:p>
    <w:p w14:paraId="469146D5">
      <w:pPr>
        <w:pStyle w:val="3"/>
        <w:keepNext/>
        <w:jc w:val="center"/>
        <w:rPr>
          <w:rFonts w:hint="eastAsia" w:eastAsia="黑体"/>
          <w:lang w:val="en-US" w:eastAsia="zh-CN"/>
        </w:rPr>
      </w:pPr>
      <w:r>
        <w:t xml:space="preserve">图3 三次特大暴雨事件恢复时间线对比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图3显示三条清晰的趋势。第一，关键生命线恢复周期逐次缩短：7·21京港澳高速断路65小时，城市积水65小时后才排干；23·7在8天内完成供电、供水、通信全面恢复；25·7供电、供水、通信在3至4天内基本恢复，全部市电于8月6日恢复。第二，全面恢复周期从7·21的约11个月（县级公路2013年6月完工）缩短至23·7的约5个月（2024年初水电气热基本恢复灾前水平）。第三，山区交通抢通能力明显增强：23·7门头沟山区公路8月6日全部抢通，25·7县级以上水毁道路8月1日全部抢通。恢复速度的逐次提升，是城市韧性通过学习适应机制累积的直接证据。</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6.3 灾害强度与生命损失的“韧性悖论”</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将灾害强度与生命损失并列观察，可以发现一个与直觉相悖的规律：降雨强度最大的23·7，死亡人数反而最少。图4展示三次事件全市平均降雨量与因灾死亡人数的对比。</w:t>
      </w:r>
    </w:p>
    <w:p>
      <w:pPr>
        <w:jc w:val="center"/>
      </w:pPr>
    </w:p>
    <w:p>
      <w:pPr>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图2_强度与生命损失.png"/>
                    <pic:cNvPicPr/>
                  </pic:nvPicPr>
                  <pic:blipFill>
                    <a:blip r:embed="rId9"/>
                    <a:stretch>
                      <a:fillRect/>
                    </a:stretch>
                  </pic:blipFill>
                  <pic:spPr>
                    <a:xfrm>
                      <a:off x="0" y="0"/>
                      <a:ext cx="5220000" cy="3262500"/>
                    </a:xfrm>
                    <a:prstGeom prst="rect"/>
                  </pic:spPr>
                </pic:pic>
              </a:graphicData>
            </a:graphic>
          </wp:inline>
        </w:drawing>
      </w:r>
    </w:p>
    <w:p w14:paraId="469146D5">
      <w:pPr>
        <w:pStyle w:val="3"/>
        <w:keepNext/>
        <w:jc w:val="center"/>
        <w:rPr>
          <w:rFonts w:hint="eastAsia" w:eastAsia="黑体"/>
          <w:lang w:val="en-US" w:eastAsia="zh-CN"/>
        </w:rPr>
      </w:pPr>
      <w:r>
        <w:t xml:space="preserve">图4 灾害强度与生命损失的“韧性悖论”对比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23·7全市平均降雨276.5毫米、单站最大744.8毫米、最大小时雨强111.8毫米每小时，三项指标均为三次事件之最；但死亡人数从7·21的79人降至33人，25·7进一步降至30人。若按7·21的“强度—死亡”比例外推，23·7的死亡人数本应超过百人。死亡率的下降主要来自提前发布红色预警、大规模转移安置（23·7达34.4万人、25·7达8万人）与抢险救援体系的升级。这一结果说明，面向自然灾害的韧性提升关键在于预警、转移、组织等“软能力”，而非单纯依赖工程设施。</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6.4 冲击影响与空间异质性</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三次事件的受灾规模与经济损失差异明显，且重灾区域的空间指向完全不同，图5对比受灾人口、转移安置与直接经济损失。</w:t>
      </w:r>
    </w:p>
    <w:p>
      <w:pPr>
        <w:jc w:val="center"/>
      </w:pPr>
    </w:p>
    <w:p>
      <w:pPr>
        <w:jc w:val="center"/>
      </w:pPr>
      <w:r>
        <w:drawing>
          <wp:inline xmlns:a="http://schemas.openxmlformats.org/drawingml/2006/main" xmlns:pic="http://schemas.openxmlformats.org/drawingml/2006/picture">
            <wp:extent cx="5220000" cy="2182909"/>
            <wp:docPr id="5" name="Picture 5"/>
            <wp:cNvGraphicFramePr>
              <a:graphicFrameLocks noChangeAspect="1"/>
            </wp:cNvGraphicFramePr>
            <a:graphic>
              <a:graphicData uri="http://schemas.openxmlformats.org/drawingml/2006/picture">
                <pic:pic>
                  <pic:nvPicPr>
                    <pic:cNvPr id="0" name="图3_冲击影响对比.png"/>
                    <pic:cNvPicPr/>
                  </pic:nvPicPr>
                  <pic:blipFill>
                    <a:blip r:embed="rId10"/>
                    <a:stretch>
                      <a:fillRect/>
                    </a:stretch>
                  </pic:blipFill>
                  <pic:spPr>
                    <a:xfrm>
                      <a:off x="0" y="0"/>
                      <a:ext cx="5220000" cy="2182909"/>
                    </a:xfrm>
                    <a:prstGeom prst="rect"/>
                  </pic:spPr>
                </pic:pic>
              </a:graphicData>
            </a:graphic>
          </wp:inline>
        </w:drawing>
      </w:r>
    </w:p>
    <w:p w14:paraId="469146D5">
      <w:pPr>
        <w:pStyle w:val="3"/>
        <w:keepNext/>
        <w:jc w:val="center"/>
        <w:rPr>
          <w:rFonts w:hint="eastAsia" w:eastAsia="黑体"/>
          <w:lang w:val="en-US" w:eastAsia="zh-CN"/>
        </w:rPr>
      </w:pPr>
      <w:r>
        <w:t xml:space="preserve">图5 三次事件冲击影响对比</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7·21重创主城区与房山，全市受灾160.2万人、直接经济损失116.4亿元；23·7重创西部山区（门头沟、房山），房山一区直接经济损失即达317.9亿元，约占该区GDP四成；25·7重创北部山区（密云、怀柔、延庆），受灾人口30余万、转移80332人。三次事件的重灾带分布在城市的不同空间单元，表明以城市整体口径评价韧性会掩盖局部短板——只有将评价下沉到区县粒度，才能识别“灾害在哪里发生、哪里受损最重、哪里恢复最慢”。</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6.5 韧性提升的机制解释</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综合三次事件的表现，北京暴雨洪涝韧性的提升可归因于四个可识别机制。一是预警—转移机制：预警级别从橙色升级为红色，转移安置规模显著扩大，23·7最大降雨却伤亡最小，核心是“预警提前、应转尽转”。二是基础设施韧性：7·21暴露的京港澳南岗洼段等易涝风险点被持续改造，下凹式立交桥积水监测与泵站体系逐步完善，本研究的积水监测数据即来自这些监测点。三是应急响应体系：失联村复联时间从“数日”缩短至23·7的6天、25·7的2天，通信、供电、供水、交通多部门协同恢复时间线逐次收紧。四是灾后重建组织：全面恢复周期从约11个月缩短至约5个月。</w:t>
      </w:r>
    </w:p>
    <w:p w14:paraId="4992B8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eastAsia="黑体"/>
          <w:b w:val="0"/>
          <w:sz w:val="24"/>
          <w:lang w:val="en-US" w:eastAsia="zh-CN"/>
        </w:rPr>
      </w:pPr>
      <w:r>
        <w:t xml:space="preserve">6.6 小结与下一步</w:t>
      </w:r>
    </w:p>
    <w:p w14:paraId="088C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b w:val="0"/>
          <w:bCs w:val="0"/>
          <w:sz w:val="24"/>
          <w:szCs w:val="24"/>
          <w:lang w:val="en-US" w:eastAsia="zh-CN"/>
        </w:rPr>
      </w:pPr>
      <w:r>
        <w:t xml:space="preserve">本章通过三次真实灾害事件的纵向对比，验证了指标体系所刻画的韧性内涵：恢复速度（2.3.1用户平均停电时间的停电恢复时滞）、预警与转移（1.2.1市民安全满意度与意识水平的治理代理）和财政支撑（3.3.1公共安全财政支出占比）等指标，在事件层面均有对应的实证表现。当前恢复时间线为事件级官方通报数据；下一步将为每次事件建立“区县×小时”的恢复时间矩阵（各区供电恢复时刻、各积水点退水时刻），将事件过程绩效下沉到区县粒度，并接入月度气象、供水运行数据，形成“区县—月份—事件”三层时空数据集，支撑第五章提出的时空演化分析框架。</w:t>
      </w:r>
    </w:p>
    <w:p w14:paraId="6698A4F5">
      <w:r>
        <w:rPr>
          <w:rFonts w:eastAsia="黑体"/>
          <w:b/>
          <w:sz w:val="28"/>
        </w:rPr>
        <w:t>参考文献</w:t>
      </w:r>
    </w:p>
    <w:p w14:paraId="4DA370CA">
      <w:pPr>
        <w:spacing w:line="300" w:lineRule="auto"/>
        <w:jc w:val="both"/>
      </w:pPr>
      <w:r>
        <w:rPr>
          <w:rFonts w:ascii="Times New Roman" w:hAnsi="Times New Roman" w:eastAsia="宋体"/>
          <w:sz w:val="21"/>
        </w:rPr>
        <w:t>[1] HOLLING C S. Resilience and stability of ecological systems[J]. Annual Review of Ecology and Systematics, 1973, 4(1): 1-23.</w:t>
      </w:r>
    </w:p>
    <w:p w14:paraId="30207489">
      <w:pPr>
        <w:spacing w:line="300" w:lineRule="auto"/>
        <w:jc w:val="both"/>
      </w:pPr>
      <w:r>
        <w:rPr>
          <w:rFonts w:ascii="Times New Roman" w:hAnsi="Times New Roman" w:eastAsia="宋体"/>
          <w:sz w:val="21"/>
        </w:rPr>
        <w:t>[2] BRUNEAU M, CHANG S E, EGUCHI R T, et al. A framework to quantitatively assess and enhance the seismic resilience of communities[J]. Earthquake Spectra, 2003, 19(4): 733-752.</w:t>
      </w:r>
    </w:p>
    <w:p w14:paraId="43AF1BAD">
      <w:pPr>
        <w:spacing w:line="300" w:lineRule="auto"/>
        <w:jc w:val="both"/>
      </w:pPr>
      <w:r>
        <w:rPr>
          <w:rFonts w:ascii="Times New Roman" w:hAnsi="Times New Roman" w:eastAsia="宋体"/>
          <w:sz w:val="21"/>
        </w:rPr>
        <w:t>[3] CUTTER S L, BARNES L, BERRY M, et al. A place-based model for understanding community resilience to natural disasters[J]. Global Environmental Change, 2008, 18(4): 598-606.</w:t>
      </w:r>
    </w:p>
    <w:p w14:paraId="7F9CCFB4">
      <w:pPr>
        <w:spacing w:line="300" w:lineRule="auto"/>
        <w:jc w:val="both"/>
      </w:pPr>
      <w:r>
        <w:rPr>
          <w:rFonts w:ascii="Times New Roman" w:hAnsi="Times New Roman" w:eastAsia="宋体"/>
          <w:sz w:val="21"/>
        </w:rPr>
        <w:t>[4] CUTTER S L, BURTON C G, EMRICH C T. Disaster resilience indicators for benchmarking baseline conditions[J]. Journal of Homeland Security and Emergency Management, 2010, 7(1): 51.</w:t>
      </w:r>
    </w:p>
    <w:p w14:paraId="041EB6B3">
      <w:pPr>
        <w:spacing w:line="300" w:lineRule="auto"/>
        <w:jc w:val="both"/>
      </w:pPr>
      <w:r>
        <w:rPr>
          <w:rFonts w:ascii="Times New Roman" w:hAnsi="Times New Roman" w:eastAsia="宋体"/>
          <w:sz w:val="21"/>
        </w:rPr>
        <w:t>[5] MEEROW S, NEWELL J P, STULTS M. Defining urban resilience: a review[J]. Landscape and Urban Planning, 2016, 147: 38-49.</w:t>
      </w:r>
    </w:p>
    <w:p w14:paraId="13330390">
      <w:pPr>
        <w:spacing w:line="300" w:lineRule="auto"/>
        <w:jc w:val="both"/>
      </w:pPr>
      <w:r>
        <w:rPr>
          <w:rFonts w:ascii="Times New Roman" w:hAnsi="Times New Roman" w:eastAsia="宋体"/>
          <w:sz w:val="21"/>
        </w:rPr>
        <w:t>[6] ARUP, ROCKEFELLER FOUNDATION. City resilience index: understanding and measuring city resilience[R]. London: Arup, 2014.</w:t>
      </w:r>
    </w:p>
    <w:p w14:paraId="7D532343">
      <w:pPr>
        <w:spacing w:line="300" w:lineRule="auto"/>
        <w:jc w:val="both"/>
      </w:pPr>
      <w:r>
        <w:rPr>
          <w:rFonts w:ascii="Times New Roman" w:hAnsi="Times New Roman" w:eastAsia="宋体"/>
          <w:sz w:val="21"/>
        </w:rPr>
        <w:t>[7] UNDRR. Disaster resilience scorecard for cities[R]. Geneva: United Nations Office for Disaster Risk Reduction, 2017.</w:t>
      </w:r>
    </w:p>
    <w:p w14:paraId="69A21C70">
      <w:pPr>
        <w:spacing w:line="300" w:lineRule="auto"/>
        <w:jc w:val="both"/>
      </w:pPr>
      <w:r>
        <w:rPr>
          <w:rFonts w:ascii="Times New Roman" w:hAnsi="Times New Roman" w:eastAsia="宋体"/>
          <w:sz w:val="21"/>
        </w:rPr>
        <w:t xml:space="preserve">[8] </w:t>
      </w:r>
      <w:r>
        <w:rPr>
          <w:sz w:val="24"/>
        </w:rPr>
        <w:t>李彤玥, 牛品一, 顾朝林. 弹性城市研究框架综述[J]. 城市规划学刊, 2014(5): 23-31.</w:t>
      </w:r>
    </w:p>
    <w:p w14:paraId="2A06E773">
      <w:pPr>
        <w:spacing w:line="300" w:lineRule="auto"/>
        <w:jc w:val="both"/>
      </w:pPr>
      <w:r>
        <w:rPr>
          <w:rFonts w:ascii="Times New Roman" w:hAnsi="Times New Roman" w:eastAsia="宋体"/>
          <w:sz w:val="21"/>
        </w:rPr>
        <w:t>[9] 邵亦文, 徐江. 城市韧性：基于国际文献综述的概念解析[J]. 国际城市规划, 2015, 30(2): 48-54.</w:t>
      </w:r>
    </w:p>
    <w:p w14:paraId="385E76D1">
      <w:pPr>
        <w:spacing w:line="300" w:lineRule="auto"/>
        <w:jc w:val="both"/>
      </w:pPr>
      <w:r>
        <w:rPr>
          <w:rFonts w:ascii="Times New Roman" w:hAnsi="Times New Roman" w:eastAsia="宋体"/>
          <w:sz w:val="21"/>
        </w:rPr>
        <w:t>[10] 国家市场监督管理总局, 国家标准化管理委员会. 安全韧性城市评价指南：GB/T 40947—2021[S]. 北京：中国标准出版社, 2021.</w:t>
      </w:r>
    </w:p>
    <w:p w14:paraId="23A8F8BB">
      <w:pPr>
        <w:spacing w:line="300" w:lineRule="auto"/>
        <w:jc w:val="both"/>
      </w:pPr>
      <w:r>
        <w:rPr>
          <w:rFonts w:ascii="Times New Roman" w:hAnsi="Times New Roman" w:eastAsia="宋体"/>
          <w:sz w:val="21"/>
        </w:rPr>
        <w:t>[11] 北京市市场监督管理局. 城市韧性评价导则：DB11/T 2280—2024[S]. 北京：中国标准出版社, 2024.</w:t>
      </w:r>
    </w:p>
    <w:p w14:paraId="4497FFCF">
      <w:pPr>
        <w:spacing w:line="300" w:lineRule="auto"/>
        <w:rPr>
          <w:rFonts w:ascii="Times New Roman" w:hAnsi="Times New Roman" w:eastAsia="宋体"/>
          <w:sz w:val="21"/>
        </w:rPr>
      </w:pPr>
      <w:r>
        <w:rPr>
          <w:rFonts w:ascii="Times New Roman" w:hAnsi="Times New Roman" w:eastAsia="宋体"/>
          <w:sz w:val="21"/>
        </w:rPr>
        <w:t>[12] PESCAROLI G, ALEXANDER D E. Critical infrastructure, panarchies and the vulnerability paths of cascading disasters[J]. Natural Hazards, 2016, 82(1): 175-192.</w:t>
      </w:r>
    </w:p>
    <w:p w14:paraId="1700CC0E">
      <w:pPr>
        <w:spacing w:line="300" w:lineRule="auto"/>
        <w:rPr>
          <w:rFonts w:ascii="Times New Roman" w:hAnsi="Times New Roman" w:eastAsia="宋体"/>
          <w:sz w:val="21"/>
        </w:rPr>
      </w:pPr>
      <w:r>
        <w:rPr>
          <w:rFonts w:ascii="Times New Roman" w:hAnsi="Times New Roman" w:eastAsia="宋体"/>
          <w:sz w:val="21"/>
        </w:rPr>
        <w:t>[13] 北京市公共数据开放平台. 气象专题[EB/OL]. https://data.beijing.gov.cn/2023zt/qxsjzt/，访问日期：2026-09-29.</w:t>
      </w:r>
    </w:p>
    <w:p w14:paraId="418922EA">
      <w:pPr>
        <w:spacing w:line="300" w:lineRule="auto"/>
        <w:rPr>
          <w:rFonts w:ascii="Times New Roman" w:hAnsi="Times New Roman" w:eastAsia="宋体"/>
          <w:sz w:val="21"/>
        </w:rPr>
      </w:pPr>
      <w:r>
        <w:rPr>
          <w:rFonts w:ascii="Times New Roman" w:hAnsi="Times New Roman" w:eastAsia="宋体"/>
          <w:sz w:val="21"/>
        </w:rPr>
        <w:t>[14] 北京市公共数据开放平台. 行政区月供水量[EB/OL]. https://data.beijing.gov.cn/zyml/wnkfsj/af4429c8b12d48dd88051de90e0dc637.htm，访问日期：2026-09-29.</w:t>
      </w:r>
    </w:p>
    <w:p w14:paraId="3285CA63">
      <w:pPr>
        <w:spacing w:line="300" w:lineRule="auto"/>
        <w:rPr>
          <w:rFonts w:ascii="Times New Roman" w:hAnsi="Times New Roman" w:eastAsia="宋体"/>
          <w:sz w:val="21"/>
        </w:rPr>
      </w:pPr>
      <w:r>
        <w:rPr>
          <w:rFonts w:ascii="Times New Roman" w:hAnsi="Times New Roman" w:eastAsia="宋体"/>
          <w:sz w:val="21"/>
        </w:rPr>
        <w:t>[15] 北京市公共数据开放平台. 生活安全公共数据目录[EB/OL]. https://data.beijing.gov.cn/zyml/qlsjmlqd/shaq_1/index1.htm，访问日期：2026-09-29.</w:t>
      </w:r>
    </w:p>
    <w:p w14:paraId="3552A3B6">
      <w:pPr>
        <w:spacing w:line="300" w:lineRule="auto"/>
        <w:rPr>
          <w:rFonts w:ascii="Times New Roman" w:hAnsi="Times New Roman" w:eastAsia="宋体"/>
          <w:sz w:val="21"/>
        </w:rPr>
      </w:pPr>
      <w:r>
        <w:rPr>
          <w:rFonts w:ascii="Times New Roman" w:hAnsi="Times New Roman" w:eastAsia="宋体"/>
          <w:sz w:val="21"/>
        </w:rPr>
        <w:t>[16] 深圳市政府数据开放平台. 气象、水务与公共安全数据目录[EB/OL]. https://opendata.sz.gov.cn/，访问日期：2026-09-29.</w:t>
      </w:r>
    </w:p>
    <w:p w14:paraId="03002740">
      <w:pPr>
        <w:spacing w:line="300" w:lineRule="auto"/>
        <w:rPr>
          <w:rFonts w:ascii="Times New Roman" w:hAnsi="Times New Roman" w:eastAsia="宋体"/>
          <w:sz w:val="21"/>
        </w:rPr>
      </w:pPr>
      <w:r>
        <w:rPr>
          <w:rFonts w:ascii="Times New Roman" w:hAnsi="Times New Roman" w:eastAsia="宋体"/>
          <w:sz w:val="21"/>
        </w:rPr>
        <w:t>[17] 天津市信息资源统一开放平台. 天气预报信息[EB/OL]. https://open.data.tj.gov.cn/sjj/1d8b17038c6d4adf922865b8c65ff7a3.htm，访问日期：2026-09-29.</w:t>
      </w:r>
    </w:p>
    <w:p w14:paraId="0B0B7AE5">
      <w:pPr>
        <w:spacing w:line="300" w:lineRule="auto"/>
        <w:rPr>
          <w:rFonts w:ascii="Times New Roman" w:hAnsi="Times New Roman" w:eastAsia="宋体"/>
          <w:sz w:val="21"/>
        </w:rPr>
      </w:pPr>
      <w:r>
        <w:rPr>
          <w:rFonts w:ascii="Times New Roman" w:hAnsi="Times New Roman" w:eastAsia="宋体"/>
          <w:sz w:val="21"/>
        </w:rPr>
        <w:t>[18] 上海市数据局. 2025年上海市公共数据开放工作方案[EB/OL]. https://www.shanghai.gov.cn/gwk/search/content/05154394cc204091a534e65731b6ec41，访问日期：2026-09-29.</w:t>
      </w:r>
      <w:bookmarkStart w:id="4" w:name="_GoBack"/>
      <w:bookmarkEnd w:id="4"/>
    </w:p>
    <w:p>
      <w:pPr>
        <w:spacing w:line="300" w:lineRule="auto"/>
        <w:rPr>
          <w:rFonts w:ascii="Times New Roman" w:hAnsi="Times New Roman" w:eastAsia="宋体"/>
          <w:sz w:val="21"/>
        </w:rPr>
      </w:pPr>
      <w:r>
        <w:t>[19] 北京市统计局.《北京区域统计年鉴2025》出版发行[EB/OL]. https://tjj.beijing.gov.cn/zwgkai/gzdt/202512/t20251226_4365931.html，访问日期：2026-10-08.</w:t>
      </w:r>
    </w:p>
    <w:p>
      <w:pPr>
        <w:spacing w:line="300" w:lineRule="auto"/>
        <w:rPr>
          <w:rFonts w:ascii="Times New Roman" w:hAnsi="Times New Roman" w:eastAsia="宋体"/>
          <w:sz w:val="21"/>
        </w:rPr>
      </w:pPr>
      <w:r>
        <w:t>[20] 北京市海淀区人民政府. 海淀区2024年一般公共预算执行情况表[EB/OL]. https://zyk.bjhd.gov.cn/jbdt/auto4495_51790/auto4495_52622/auto4495/auto4495_52629/auto4495_52631/202501/P020250320612178753273.pdf，访问日期：2026-10-08.</w:t>
      </w:r>
    </w:p>
    <w:p>
      <w:pPr>
        <w:spacing w:line="300" w:lineRule="auto"/>
        <w:rPr>
          <w:rFonts w:ascii="Times New Roman" w:hAnsi="Times New Roman" w:eastAsia="宋体"/>
          <w:sz w:val="21"/>
        </w:rPr>
      </w:pPr>
      <w:r>
        <w:t>[21] 北京市朝阳区人大. 关于朝阳区2024年财政预算执行情况和2025年财政预算草案的报告[EB/OL]. https://chyrd.bjchy.gov.cn/gkgg/sybg/8a24f0b498f432b00198f4bef5be001b.html，访问日期：2026-10-08.</w:t>
      </w:r>
    </w:p>
    <w:p>
      <w:pPr>
        <w:spacing w:line="300" w:lineRule="auto"/>
        <w:rPr>
          <w:rFonts w:ascii="Times New Roman" w:hAnsi="Times New Roman" w:eastAsia="宋体"/>
          <w:sz w:val="21"/>
        </w:rPr>
      </w:pPr>
      <w:r>
        <w:t>[22] 深圳市统计局. 深圳统计年鉴2025[EB/OL]. https://tjj.sz.gov.cn/zwgk/zfxxgkml/tjsj/tjnj/content/post_12647191.html，访问日期：2026-10-08.</w:t>
      </w:r>
    </w:p>
    <w:p>
      <w:pPr>
        <w:spacing w:line="300" w:lineRule="auto"/>
        <w:rPr>
          <w:rFonts w:ascii="Times New Roman" w:hAnsi="Times New Roman" w:eastAsia="宋体"/>
          <w:sz w:val="21"/>
        </w:rPr>
      </w:pPr>
      <w:r>
        <w:t xml:space="preserve">[23] 中国气象局. 北京“7·21”特大暴雨过程评述[EB/OL]. (2012-07-23). https://www.cma.gov.cn/2011xwzx/2011xmtjj/201207/t20120723_179392.html，访问日期：2026-10-08.</w:t>
      </w:r>
    </w:p>
    <w:p>
      <w:pPr>
        <w:spacing w:line="300" w:lineRule="auto"/>
        <w:rPr>
          <w:rFonts w:ascii="Times New Roman" w:hAnsi="Times New Roman" w:eastAsia="宋体"/>
          <w:sz w:val="21"/>
        </w:rPr>
      </w:pPr>
      <w:r>
        <w:t xml:space="preserve">[24] 人民日报民生周刊. 北京“7·21”特大暴雨灾害十周年回顾[EB/OL]. (2022-08-01). http://paper.people.com.cn/mszk/html/2022-08/01/content_25933288.htm，访问日期：2026-10-08.</w:t>
      </w:r>
    </w:p>
    <w:p>
      <w:pPr>
        <w:spacing w:line="300" w:lineRule="auto"/>
        <w:rPr>
          <w:rFonts w:ascii="Times New Roman" w:hAnsi="Times New Roman" w:eastAsia="宋体"/>
          <w:sz w:val="21"/>
        </w:rPr>
      </w:pPr>
      <w:r>
        <w:t xml:space="preserve">[25] 北京市人民政府. 北京市防汛救灾工作情况新闻发布会[EB/OL]. (2023-08-10). https://www.beijing.gov.cn/ywdt/yaowen/202308/t20230810_3219401.html，访问日期：2026-10-08.</w:t>
      </w:r>
    </w:p>
    <w:p>
      <w:pPr>
        <w:spacing w:line="300" w:lineRule="auto"/>
        <w:rPr>
          <w:rFonts w:ascii="Times New Roman" w:hAnsi="Times New Roman" w:eastAsia="宋体"/>
          <w:sz w:val="21"/>
        </w:rPr>
      </w:pPr>
      <w:r>
        <w:t xml:space="preserve">[26] 中国新闻网. 北京“23·7”特大暴雨降雨特征：140年最大、王家园744.8毫米[EB/OL]. (2023-08-02). http://www.chinanews.com.cn/sh/2023/08-02/10054293.shtml，访问日期：2026-10-08.</w:t>
      </w:r>
    </w:p>
    <w:p>
      <w:pPr>
        <w:spacing w:line="300" w:lineRule="auto"/>
        <w:rPr>
          <w:rFonts w:ascii="Times New Roman" w:hAnsi="Times New Roman" w:eastAsia="宋体"/>
          <w:sz w:val="21"/>
        </w:rPr>
      </w:pPr>
      <w:r>
        <w:t xml:space="preserve">[27] 新华网. 北京“25·7”强降雨应对与恢复情况[EB/OL]. (2025-07-29). http://www.bj.xinhuanet.com/20250729/857512dab022498fabb6c227830e8a92/c.html，访问日期：2026-10-08.</w:t>
      </w:r>
    </w:p>
    <w:p>
      <w:pPr>
        <w:spacing w:line="300" w:lineRule="auto"/>
        <w:rPr>
          <w:rFonts w:ascii="Times New Roman" w:hAnsi="Times New Roman" w:eastAsia="宋体"/>
          <w:sz w:val="21"/>
        </w:rPr>
      </w:pPr>
      <w:r>
        <w:t xml:space="preserve">[28] 北京市水务局. 北京市“25·7”强降雨应对情况通报[EB/OL]. (2025-08-01). https://swj.beijing.gov.cn/swdt/swyw/202508/t20250801_4164010.html，访问日期：2026-10-08.</w:t>
      </w:r>
    </w:p>
    <w:p>
      <w:pPr>
        <w:spacing w:line="300" w:lineRule="auto"/>
        <w:rPr>
          <w:rFonts w:ascii="Times New Roman" w:hAnsi="Times New Roman" w:eastAsia="宋体"/>
          <w:sz w:val="21"/>
        </w:rPr>
      </w:pPr>
      <w:r>
        <w:t xml:space="preserve">[29] 北京市公共数据开放平台. 下凹式立交桥积水监测数据[EB/OL]. https://data.beijing.gov.cn/cms/web/bjdata/api/dataDoc.jsp?contentID=20ce1dce1f1c40cc879594c014c7098c，访问日期：2026-10-08.</w:t>
      </w:r>
    </w:p>
    <w:p w14:paraId="26EA2DB4">
      <w:pPr>
        <w:spacing w:line="300" w:lineRule="auto"/>
        <w:rPr>
          <w:rFonts w:ascii="Times New Roman" w:hAnsi="Times New Roman" w:eastAsia="宋体"/>
          <w:sz w:val="21"/>
        </w:rPr>
        <w:sectPr>
          <w:pgSz w:w="11906" w:h="16838"/>
          <w:pgMar w:top="1440" w:right="1800" w:bottom="1440" w:left="1800" w:header="851" w:footer="992" w:gutter="0"/>
          <w:cols w:space="425" w:num="1"/>
          <w:docGrid w:type="lines" w:linePitch="312" w:charSpace="0"/>
        </w:sectPr>
      </w:pPr>
    </w:p>
    <w:p w14:paraId="19C70B5B">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附录</w:t>
      </w:r>
    </w:p>
    <w:p w14:paraId="5BE632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本研究涉及的数据来源链接及原始数据文件已整理至GitHub公开仓库（city-resilience-data）备份，包括各超大城市统计年鉴、政府公报、部门决算报告及专项统计报告的具体网页地址，供数据复核与追溯使用。所有链接均经逐一验证可访问，数据采集时间为2024—2025年。</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7564"/>
      </w:tblGrid>
      <w:tr w14:paraId="3FE1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l2br w:val="nil"/>
            </w:tcBorders>
            <w:shd w:val="clear" w:color="auto" w:fill="FFFFFF"/>
          </w:tcPr>
          <w:p w14:paraId="11130F66">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kern w:val="2"/>
                <w:sz w:val="21"/>
                <w:szCs w:val="24"/>
                <w:vertAlign w:val="baseline"/>
                <w:lang w:val="en-US" w:eastAsia="zh-CN" w:bidi="ar-SA"/>
              </w:rPr>
              <w:t>1.1.1</w:t>
            </w:r>
          </w:p>
        </w:tc>
        <w:tc>
          <w:tcPr>
            <w:tcW w:w="7564" w:type="dxa"/>
            <w:tcBorders>
              <w:top w:val="nil"/>
              <w:left w:val="nil"/>
              <w:bottom w:val="nil"/>
              <w:right w:val="nil"/>
            </w:tcBorders>
            <w:shd w:val="clear" w:color="auto" w:fill="FFFFFF"/>
          </w:tcPr>
          <w:p w14:paraId="32869D9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1"/>
                <w:szCs w:val="24"/>
              </w:rPr>
              <w:t>人口年龄结构指数</w:t>
            </w:r>
            <w:r>
              <w:rPr>
                <w:rFonts w:hint="eastAsia" w:ascii="宋体" w:hAnsi="宋体" w:eastAsia="宋体" w:cs="宋体"/>
                <w:b w:val="0"/>
                <w:color w:val="000000"/>
                <w:sz w:val="21"/>
                <w:szCs w:val="24"/>
              </w:rPr>
              <w:fldChar w:fldCharType="begin"/>
            </w:r>
            <w:r>
              <w:rPr>
                <w:rFonts w:hint="eastAsia" w:ascii="宋体" w:hAnsi="宋体" w:eastAsia="宋体" w:cs="宋体"/>
                <w:b w:val="0"/>
                <w:color w:val="000000"/>
                <w:sz w:val="21"/>
                <w:szCs w:val="24"/>
              </w:rPr>
              <w:instrText xml:space="preserve"> HYPERLINK "https://www.stats.gov.cn/sj/ndsj/2025/indexch.htm" </w:instrText>
            </w:r>
            <w:r>
              <w:rPr>
                <w:rFonts w:hint="eastAsia" w:ascii="宋体" w:hAnsi="宋体" w:eastAsia="宋体" w:cs="宋体"/>
                <w:b w:val="0"/>
                <w:color w:val="000000"/>
                <w:sz w:val="21"/>
                <w:szCs w:val="24"/>
              </w:rPr>
              <w:fldChar w:fldCharType="separate"/>
            </w:r>
            <w:r>
              <w:rPr>
                <w:rStyle w:val="7"/>
                <w:rFonts w:hint="eastAsia" w:ascii="宋体" w:hAnsi="宋体" w:eastAsia="宋体" w:cs="宋体"/>
                <w:b w:val="0"/>
                <w:color w:val="000000"/>
                <w:sz w:val="21"/>
                <w:szCs w:val="24"/>
              </w:rPr>
              <w:t>中国统计年鉴2025</w:t>
            </w:r>
            <w:r>
              <w:rPr>
                <w:rFonts w:hint="eastAsia" w:ascii="宋体" w:hAnsi="宋体" w:eastAsia="宋体" w:cs="宋体"/>
                <w:b w:val="0"/>
                <w:color w:val="000000"/>
                <w:sz w:val="21"/>
                <w:szCs w:val="24"/>
              </w:rPr>
              <w:fldChar w:fldCharType="end"/>
            </w:r>
          </w:p>
          <w:p w14:paraId="2256330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jc w:val="both"/>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常住人口</w:t>
            </w:r>
            <w:r>
              <w:rPr>
                <w:rFonts w:hint="eastAsia" w:ascii="宋体" w:hAnsi="宋体" w:eastAsia="宋体" w:cs="宋体"/>
                <w:b w:val="0"/>
                <w:color w:val="000000"/>
                <w:sz w:val="21"/>
                <w:szCs w:val="24"/>
              </w:rPr>
              <w:fldChar w:fldCharType="begin"/>
            </w:r>
            <w:r>
              <w:rPr>
                <w:rFonts w:hint="eastAsia" w:ascii="宋体" w:hAnsi="宋体" w:eastAsia="宋体" w:cs="宋体"/>
                <w:b w:val="0"/>
                <w:color w:val="000000"/>
                <w:sz w:val="21"/>
                <w:szCs w:val="24"/>
              </w:rPr>
              <w:instrText xml:space="preserve"> HYPERLINK "https://www.stats.gov.cn/sj/ndsj/2025/indexch.htm" </w:instrText>
            </w:r>
            <w:r>
              <w:rPr>
                <w:rFonts w:hint="eastAsia" w:ascii="宋体" w:hAnsi="宋体" w:eastAsia="宋体" w:cs="宋体"/>
                <w:b w:val="0"/>
                <w:color w:val="000000"/>
                <w:sz w:val="21"/>
                <w:szCs w:val="24"/>
              </w:rPr>
              <w:fldChar w:fldCharType="separate"/>
            </w:r>
            <w:r>
              <w:rPr>
                <w:rStyle w:val="8"/>
                <w:rFonts w:hint="eastAsia" w:ascii="宋体" w:hAnsi="宋体" w:eastAsia="宋体" w:cs="宋体"/>
                <w:b w:val="0"/>
                <w:color w:val="000000"/>
                <w:sz w:val="21"/>
                <w:szCs w:val="24"/>
              </w:rPr>
              <w:t>中国统计年鉴2025</w:t>
            </w:r>
            <w:r>
              <w:rPr>
                <w:rFonts w:hint="eastAsia" w:ascii="宋体" w:hAnsi="宋体" w:eastAsia="宋体" w:cs="宋体"/>
                <w:b w:val="0"/>
                <w:color w:val="000000"/>
                <w:sz w:val="21"/>
                <w:szCs w:val="24"/>
              </w:rPr>
              <w:fldChar w:fldCharType="end"/>
            </w:r>
            <w:r>
              <w:rPr>
                <w:rFonts w:hint="eastAsia" w:ascii="宋体" w:hAnsi="宋体" w:eastAsia="宋体" w:cs="宋体"/>
                <w:b w:val="0"/>
                <w:color w:val="000000"/>
                <w:sz w:val="21"/>
                <w:szCs w:val="24"/>
                <w:lang w:eastAsia="zh-CN"/>
              </w:rPr>
              <w:t>；</w:t>
            </w:r>
            <w:r>
              <w:rPr>
                <w:rFonts w:hint="eastAsia" w:ascii="宋体" w:hAnsi="宋体" w:eastAsia="宋体" w:cs="宋体"/>
                <w:b w:val="0"/>
                <w:color w:val="000000"/>
                <w:sz w:val="21"/>
                <w:szCs w:val="24"/>
                <w:lang w:val="en-US" w:eastAsia="zh-CN"/>
              </w:rPr>
              <w:t>广东、深圳见文件2025广东统计年鉴光盘内容 03；成都</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"https://tjj.sc.gov.cn/scstjj/tjnjnew/2025/zk/indexch.htm"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四川统计年鉴2025</w:t>
            </w:r>
            <w:r>
              <w:rPr>
                <w:rFonts w:ascii="宋体" w:hAnsi="宋体" w:eastAsia="宋体" w:cs="宋体"/>
                <w:b w:val="0"/>
                <w:color w:val="000000"/>
                <w:sz w:val="21"/>
                <w:szCs w:val="24"/>
              </w:rPr>
              <w:fldChar w:fldCharType="end"/>
            </w:r>
          </w:p>
        </w:tc>
      </w:tr>
      <w:tr w14:paraId="00C3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391D6EBC">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kern w:val="2"/>
                <w:sz w:val="21"/>
                <w:szCs w:val="24"/>
                <w:vertAlign w:val="baseline"/>
                <w:lang w:val="en-US" w:eastAsia="zh-CN" w:bidi="ar-SA"/>
              </w:rPr>
              <w:t>1.1.2</w:t>
            </w:r>
          </w:p>
        </w:tc>
        <w:tc>
          <w:tcPr>
            <w:tcW w:w="7564" w:type="dxa"/>
            <w:tcBorders>
              <w:top w:val="nil"/>
              <w:left w:val="nil"/>
              <w:bottom w:val="nil"/>
              <w:right w:val="nil"/>
            </w:tcBorders>
            <w:shd w:val="clear" w:color="auto" w:fill="FFFFFF"/>
          </w:tcPr>
          <w:p w14:paraId="0B70F1C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持证残疾人数</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"https://www.cdpf.org.cn/zwgk/zccx/ndsj/zhsjtj/2024zh/8078083de707498c8262120634a26645.htm"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中国残疾人联合会-3-2 全国残疾人人口基础库主要数据</w:t>
            </w:r>
            <w:r>
              <w:rPr>
                <w:rFonts w:ascii="宋体" w:hAnsi="宋体" w:eastAsia="宋体" w:cs="宋体"/>
                <w:b w:val="0"/>
                <w:color w:val="000000"/>
                <w:sz w:val="21"/>
                <w:szCs w:val="24"/>
              </w:rPr>
              <w:fldChar w:fldCharType="end"/>
            </w:r>
          </w:p>
          <w:p w14:paraId="028EC12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常住人口见1.1.1</w:t>
            </w:r>
          </w:p>
        </w:tc>
      </w:tr>
      <w:tr w14:paraId="757E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6A178BA0">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kern w:val="2"/>
                <w:sz w:val="21"/>
                <w:szCs w:val="24"/>
                <w:vertAlign w:val="baseline"/>
                <w:lang w:val="en-US" w:eastAsia="zh-CN" w:bidi="ar-SA"/>
              </w:rPr>
              <w:t>1.1.3</w:t>
            </w:r>
          </w:p>
        </w:tc>
        <w:tc>
          <w:tcPr>
            <w:tcW w:w="7564" w:type="dxa"/>
            <w:tcBorders>
              <w:top w:val="nil"/>
              <w:left w:val="nil"/>
              <w:bottom w:val="nil"/>
              <w:right w:val="nil"/>
            </w:tcBorders>
            <w:shd w:val="clear" w:color="auto" w:fill="FFFFFF"/>
          </w:tcPr>
          <w:p w14:paraId="2A8FF87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北京外来常住人口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"https://nj.tjj.beijing.gov.cn/nj/main/2025-tjnj/zk/e/indexch.htm" </w:instrText>
            </w:r>
            <w:r>
              <w:rPr>
                <w:rFonts w:ascii="宋体" w:hAnsi="宋体" w:eastAsia="宋体" w:cs="宋体"/>
                <w:b w:val="0"/>
                <w:color w:val="000000"/>
                <w:sz w:val="21"/>
                <w:szCs w:val="24"/>
              </w:rPr>
              <w:fldChar w:fldCharType="separate"/>
            </w:r>
            <w:r>
              <w:rPr>
                <w:rStyle w:val="7"/>
                <w:rFonts w:ascii="宋体" w:hAnsi="宋体" w:eastAsia="宋体" w:cs="宋体"/>
                <w:b w:val="0"/>
                <w:color w:val="000000"/>
                <w:sz w:val="21"/>
                <w:szCs w:val="24"/>
              </w:rPr>
              <w:t>北京统计年鉴2025</w:t>
            </w:r>
            <w:r>
              <w:rPr>
                <w:rFonts w:ascii="宋体" w:hAnsi="宋体" w:eastAsia="宋体" w:cs="宋体"/>
                <w:b w:val="0"/>
                <w:color w:val="000000"/>
                <w:sz w:val="21"/>
                <w:szCs w:val="24"/>
              </w:rPr>
              <w:fldChar w:fldCharType="end"/>
            </w:r>
          </w:p>
          <w:p w14:paraId="09F9E8D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上海外来常住人口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"https://tjj.sh.gov.cn/tjnj/nj25.htm?d1=2025tjnj/C0202.htm" </w:instrText>
            </w:r>
            <w:r>
              <w:rPr>
                <w:rFonts w:ascii="宋体" w:hAnsi="宋体" w:eastAsia="宋体" w:cs="宋体"/>
                <w:b w:val="0"/>
                <w:color w:val="000000"/>
                <w:sz w:val="21"/>
                <w:szCs w:val="24"/>
              </w:rPr>
              <w:fldChar w:fldCharType="separate"/>
            </w:r>
            <w:r>
              <w:rPr>
                <w:rStyle w:val="7"/>
                <w:rFonts w:ascii="宋体" w:hAnsi="宋体" w:eastAsia="宋体" w:cs="宋体"/>
                <w:b w:val="0"/>
                <w:color w:val="000000"/>
                <w:sz w:val="21"/>
                <w:szCs w:val="24"/>
              </w:rPr>
              <w:t>上海统计年鉴2025</w:t>
            </w:r>
            <w:r>
              <w:rPr>
                <w:rFonts w:ascii="宋体" w:hAnsi="宋体" w:eastAsia="宋体" w:cs="宋体"/>
                <w:b w:val="0"/>
                <w:color w:val="000000"/>
                <w:sz w:val="21"/>
                <w:szCs w:val="24"/>
              </w:rPr>
              <w:fldChar w:fldCharType="end"/>
            </w:r>
          </w:p>
          <w:p w14:paraId="37B8732A">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天津外来常住人口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"https://stats.tj.gov.cn/nianjian/2025nj/zk/indexch.htm"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天津统计年鉴2025</w:t>
            </w:r>
            <w:r>
              <w:rPr>
                <w:rFonts w:ascii="宋体" w:hAnsi="宋体" w:eastAsia="宋体" w:cs="宋体"/>
                <w:b w:val="0"/>
                <w:color w:val="000000"/>
                <w:sz w:val="21"/>
                <w:szCs w:val="24"/>
              </w:rPr>
              <w:fldChar w:fldCharType="end"/>
            </w:r>
          </w:p>
          <w:p w14:paraId="33C9E201">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ascii="宋体" w:hAnsi="宋体" w:eastAsia="宋体" w:cs="宋体"/>
                <w:b w:val="0"/>
                <w:color w:val="000000"/>
                <w:sz w:val="21"/>
                <w:szCs w:val="24"/>
              </w:rPr>
              <w:t>深圳</w:t>
            </w:r>
            <w:r>
              <w:rPr>
                <w:rFonts w:hint="eastAsia" w:ascii="宋体" w:hAnsi="宋体" w:eastAsia="宋体" w:cs="宋体"/>
                <w:b w:val="0"/>
                <w:color w:val="000000"/>
                <w:sz w:val="21"/>
                <w:szCs w:val="24"/>
                <w:lang w:val="en-US" w:eastAsia="zh-CN"/>
              </w:rPr>
              <w:t>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"https://tjj.sz.gov.cn/zwgk/zfxxgkml/tjsj/tjnj/index.html"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统计年鉴-深圳市统计局网站</w:t>
            </w:r>
            <w:r>
              <w:rPr>
                <w:rFonts w:ascii="宋体" w:hAnsi="宋体" w:eastAsia="宋体" w:cs="宋体"/>
                <w:b w:val="0"/>
                <w:color w:val="000000"/>
                <w:sz w:val="21"/>
                <w:szCs w:val="24"/>
              </w:rPr>
              <w:fldChar w:fldCharType="end"/>
            </w:r>
            <w:r>
              <w:rPr>
                <w:rFonts w:hint="eastAsia" w:ascii="宋体" w:hAnsi="宋体" w:eastAsia="宋体" w:cs="宋体"/>
                <w:b w:val="0"/>
                <w:color w:val="000000"/>
                <w:sz w:val="21"/>
                <w:szCs w:val="24"/>
                <w:lang w:val="en-US" w:eastAsia="zh-CN"/>
              </w:rPr>
              <w:t xml:space="preserve"> </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"https://tjj.sz.gov.cn/attachment/1/1702/1702562/12647191.pdf"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12647191.pdf</w:t>
            </w:r>
            <w:r>
              <w:rPr>
                <w:rFonts w:ascii="宋体" w:hAnsi="宋体" w:eastAsia="宋体" w:cs="宋体"/>
                <w:b w:val="0"/>
                <w:color w:val="000000"/>
                <w:sz w:val="21"/>
                <w:szCs w:val="24"/>
              </w:rPr>
              <w:fldChar w:fldCharType="end"/>
            </w:r>
          </w:p>
          <w:p w14:paraId="301ECD1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1"/>
                <w:szCs w:val="24"/>
                <w:lang w:val="en-US" w:eastAsia="zh-CN"/>
              </w:rPr>
              <w:t>广州外来常住人口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"https://tjj.gz.gov.cn/datav/admin/home/www_nj/2025/index.html"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广州统计年鉴-2025</w:t>
            </w:r>
            <w:r>
              <w:rPr>
                <w:rFonts w:ascii="宋体" w:hAnsi="宋体" w:eastAsia="宋体" w:cs="宋体"/>
                <w:b w:val="0"/>
                <w:color w:val="000000"/>
                <w:sz w:val="21"/>
                <w:szCs w:val="24"/>
              </w:rPr>
              <w:fldChar w:fldCharType="end"/>
            </w:r>
          </w:p>
          <w:p w14:paraId="1BAC51A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b w:val="0"/>
                <w:color w:val="000000"/>
                <w:sz w:val="24"/>
                <w:szCs w:val="24"/>
              </w:rPr>
            </w:pPr>
            <w:r>
              <w:rPr>
                <w:rFonts w:hint="eastAsia" w:ascii="宋体" w:hAnsi="宋体" w:eastAsia="宋体" w:cs="宋体"/>
                <w:b w:val="0"/>
                <w:color w:val="000000"/>
                <w:sz w:val="21"/>
                <w:szCs w:val="24"/>
                <w:lang w:val="en-US" w:eastAsia="zh-CN"/>
              </w:rPr>
              <w:t>重庆外来常住人口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"https://tjj.cq.gov.cn/zwgk_233/tjnj/tjnj.html?url=https://tjj.cq.gov.cn/cslm/tjsjzl/202603/P020260330529346889373.pdf"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统计年鉴 - 重庆市统计局</w:t>
            </w:r>
            <w:r>
              <w:rPr>
                <w:rFonts w:ascii="宋体" w:hAnsi="宋体" w:eastAsia="宋体" w:cs="宋体"/>
                <w:b w:val="0"/>
                <w:color w:val="000000"/>
                <w:sz w:val="21"/>
                <w:szCs w:val="24"/>
              </w:rPr>
              <w:fldChar w:fldCharType="end"/>
            </w:r>
          </w:p>
          <w:p w14:paraId="4B481DC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1"/>
                <w:szCs w:val="24"/>
                <w:lang w:val="en-US" w:eastAsia="zh-CN"/>
              </w:rPr>
              <w:t>成都外来常住人口</w:t>
            </w:r>
            <w:r>
              <w:rPr>
                <w:rFonts w:ascii="宋体" w:hAnsi="宋体" w:eastAsia="宋体" w:cs="宋体"/>
                <w:b w:val="0"/>
                <w:color w:val="000000"/>
                <w:sz w:val="21"/>
                <w:szCs w:val="24"/>
              </w:rPr>
              <w:fldChar w:fldCharType="begin"/>
            </w:r>
            <w:r>
              <w:rPr>
                <w:rFonts w:ascii="宋体" w:hAnsi="宋体" w:eastAsia="宋体" w:cs="宋体"/>
                <w:b w:val="0"/>
                <w:color w:val="000000"/>
                <w:sz w:val="21"/>
                <w:szCs w:val="24"/>
              </w:rPr>
              <w:instrText xml:space="preserve"> HYPERLINK "https://cdstats.chengdu.gov.cn/cdstjj/c181531/2025-12/31/content_db74e2d3be5d4814b9bd78761ecb5d35.shtml" </w:instrText>
            </w:r>
            <w:r>
              <w:rPr>
                <w:rFonts w:ascii="宋体" w:hAnsi="宋体" w:eastAsia="宋体" w:cs="宋体"/>
                <w:b w:val="0"/>
                <w:color w:val="000000"/>
                <w:sz w:val="21"/>
                <w:szCs w:val="24"/>
              </w:rPr>
              <w:fldChar w:fldCharType="separate"/>
            </w:r>
            <w:r>
              <w:rPr>
                <w:rStyle w:val="8"/>
                <w:rFonts w:ascii="宋体" w:hAnsi="宋体" w:eastAsia="宋体" w:cs="宋体"/>
                <w:b w:val="0"/>
                <w:color w:val="000000"/>
                <w:sz w:val="21"/>
                <w:szCs w:val="24"/>
              </w:rPr>
              <w:t>成都统计年鉴2025-2025年-成都市统计局</w:t>
            </w:r>
            <w:r>
              <w:rPr>
                <w:rFonts w:ascii="宋体" w:hAnsi="宋体" w:eastAsia="宋体" w:cs="宋体"/>
                <w:b w:val="0"/>
                <w:color w:val="000000"/>
                <w:sz w:val="21"/>
                <w:szCs w:val="24"/>
              </w:rPr>
              <w:fldChar w:fldCharType="end"/>
            </w:r>
          </w:p>
        </w:tc>
      </w:tr>
      <w:tr w14:paraId="0BDA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06C310C4">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sz w:val="21"/>
                <w:szCs w:val="24"/>
                <w:vertAlign w:val="baseline"/>
                <w:lang w:val="en-US" w:eastAsia="zh-CN"/>
              </w:rPr>
              <w:t>1.2.1</w:t>
            </w:r>
          </w:p>
        </w:tc>
        <w:tc>
          <w:tcPr>
            <w:tcW w:w="7564" w:type="dxa"/>
            <w:tcBorders>
              <w:top w:val="nil"/>
              <w:left w:val="nil"/>
              <w:bottom w:val="nil"/>
              <w:right w:val="nil"/>
            </w:tcBorders>
            <w:shd w:val="clear" w:color="auto" w:fill="FFFFFF"/>
          </w:tcPr>
          <w:p w14:paraId="2A83161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北京群众安全感满意度</w:t>
            </w:r>
          </w:p>
          <w:p w14:paraId="2DA04384">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"https://www.bjdj.gov.cn/article/3000212029.html" </w:instrText>
            </w:r>
            <w:r>
              <w:rPr>
                <w:rFonts w:ascii="宋体" w:hAnsi="宋体" w:eastAsia="宋体" w:cs="宋体"/>
                <w:sz w:val="21"/>
                <w:szCs w:val="24"/>
              </w:rPr>
              <w:fldChar w:fldCharType="separate"/>
            </w:r>
            <w:r>
              <w:rPr>
                <w:rStyle w:val="8"/>
                <w:rFonts w:ascii="宋体" w:hAnsi="宋体" w:eastAsia="宋体" w:cs="宋体"/>
                <w:sz w:val="21"/>
                <w:szCs w:val="24"/>
              </w:rPr>
              <w:t>https://www.bjdj.gov.cn/article/3000212029.html</w:t>
            </w:r>
            <w:r>
              <w:rPr>
                <w:rFonts w:ascii="宋体" w:hAnsi="宋体" w:eastAsia="宋体" w:cs="宋体"/>
                <w:sz w:val="21"/>
                <w:szCs w:val="24"/>
              </w:rPr>
              <w:fldChar w:fldCharType="end"/>
            </w:r>
          </w:p>
          <w:p w14:paraId="3F65B61A">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lang w:val="en-US" w:eastAsia="zh-CN"/>
              </w:rPr>
              <w:t>上海群众安全感满意度</w:t>
            </w:r>
          </w:p>
          <w:p w14:paraId="06DACD4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rPr>
              <w:fldChar w:fldCharType="begin"/>
            </w:r>
            <w:r>
              <w:rPr>
                <w:rFonts w:hint="eastAsia" w:ascii="宋体" w:hAnsi="宋体" w:eastAsia="宋体" w:cs="宋体"/>
                <w:sz w:val="21"/>
                <w:szCs w:val="24"/>
              </w:rPr>
              <w:instrText xml:space="preserve"> HYPERLINK "https://gaj.sh.gov.cn/shga/wzXxfbGj/detail?pa=f41aa3d5accbfad14fcbf784730c1c7f3246599c78cf0fe4a3629fe7ab57b361e634060acd2afb21397eeea0b8818d32f89cd8d0bb43e938" </w:instrText>
            </w:r>
            <w:r>
              <w:rPr>
                <w:rFonts w:hint="eastAsia" w:ascii="宋体" w:hAnsi="宋体" w:eastAsia="宋体" w:cs="宋体"/>
                <w:sz w:val="21"/>
                <w:szCs w:val="24"/>
              </w:rPr>
              <w:fldChar w:fldCharType="separate"/>
            </w:r>
            <w:r>
              <w:rPr>
                <w:rStyle w:val="8"/>
                <w:rFonts w:hint="eastAsia" w:ascii="宋体" w:hAnsi="宋体" w:eastAsia="宋体" w:cs="宋体"/>
                <w:sz w:val="21"/>
                <w:szCs w:val="24"/>
              </w:rPr>
              <w:t>https://gaj.sh.gov.cn/shga/wzXxfbGj/detail?pa=f41aa3d5accbfad14fcbf784730c1c7f3246599c78cf0fe4a3629fe7ab57b361e634060acd2afb21397eeea0b8818d32f89cd8d0bb43e938</w:t>
            </w:r>
            <w:r>
              <w:rPr>
                <w:rFonts w:hint="eastAsia" w:ascii="宋体" w:hAnsi="宋体" w:eastAsia="宋体" w:cs="宋体"/>
                <w:sz w:val="21"/>
                <w:szCs w:val="24"/>
              </w:rPr>
              <w:fldChar w:fldCharType="end"/>
            </w:r>
          </w:p>
          <w:p w14:paraId="03150BD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lang w:val="en-US" w:eastAsia="zh-CN"/>
              </w:rPr>
              <w:t>天津群众安全感满意度</w:t>
            </w:r>
          </w:p>
          <w:p w14:paraId="2E73639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"https://www.tjcaw.gov.cn/mainindex/detail.html?id=17481609096641537" </w:instrText>
            </w:r>
            <w:r>
              <w:rPr>
                <w:rFonts w:ascii="宋体" w:hAnsi="宋体" w:eastAsia="宋体" w:cs="宋体"/>
                <w:sz w:val="21"/>
                <w:szCs w:val="24"/>
              </w:rPr>
              <w:fldChar w:fldCharType="separate"/>
            </w:r>
            <w:r>
              <w:rPr>
                <w:rStyle w:val="8"/>
                <w:rFonts w:ascii="宋体" w:hAnsi="宋体" w:eastAsia="宋体" w:cs="宋体"/>
                <w:sz w:val="21"/>
                <w:szCs w:val="24"/>
              </w:rPr>
              <w:t>https://www.tjcaw.gov.cn/mainindex/detail.html?id=17481609096641537</w:t>
            </w:r>
            <w:r>
              <w:rPr>
                <w:rFonts w:ascii="宋体" w:hAnsi="宋体" w:eastAsia="宋体" w:cs="宋体"/>
                <w:sz w:val="21"/>
                <w:szCs w:val="24"/>
              </w:rPr>
              <w:fldChar w:fldCharType="end"/>
            </w:r>
          </w:p>
          <w:p w14:paraId="5904955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深圳群众安全感满意度</w:t>
            </w:r>
          </w:p>
          <w:p w14:paraId="7DE5459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"https://www.szgm.gov.cn/xxgk/qbmbscxxgkml/qjcy/jwgk/ygjwhd/content/post_12114919.html" </w:instrText>
            </w:r>
            <w:r>
              <w:rPr>
                <w:rFonts w:ascii="宋体" w:hAnsi="宋体" w:eastAsia="宋体" w:cs="宋体"/>
                <w:sz w:val="21"/>
                <w:szCs w:val="24"/>
              </w:rPr>
              <w:fldChar w:fldCharType="separate"/>
            </w:r>
            <w:r>
              <w:rPr>
                <w:rStyle w:val="8"/>
                <w:rFonts w:ascii="宋体" w:hAnsi="宋体" w:eastAsia="宋体" w:cs="宋体"/>
                <w:sz w:val="21"/>
                <w:szCs w:val="24"/>
              </w:rPr>
              <w:t>https://www.szgm.gov.cn/xxgk/qbmbscxxgkml/qjcy/jwgk/ygjwhd/content/post_12114919.html</w:t>
            </w:r>
            <w:r>
              <w:rPr>
                <w:rFonts w:ascii="宋体" w:hAnsi="宋体" w:eastAsia="宋体" w:cs="宋体"/>
                <w:sz w:val="21"/>
                <w:szCs w:val="24"/>
              </w:rPr>
              <w:fldChar w:fldCharType="end"/>
            </w:r>
          </w:p>
          <w:p w14:paraId="0C56E15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广州群众安全感满意度</w:t>
            </w:r>
          </w:p>
          <w:p w14:paraId="4AF03414">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"https://www.gz.gov.cn/zt/qzzggcdcl100zn/fdbnl/gzhsjd/content/post_10503655.html" </w:instrText>
            </w:r>
            <w:r>
              <w:rPr>
                <w:rFonts w:ascii="宋体" w:hAnsi="宋体" w:eastAsia="宋体" w:cs="宋体"/>
                <w:sz w:val="21"/>
                <w:szCs w:val="24"/>
              </w:rPr>
              <w:fldChar w:fldCharType="separate"/>
            </w:r>
            <w:r>
              <w:rPr>
                <w:rStyle w:val="8"/>
                <w:rFonts w:ascii="宋体" w:hAnsi="宋体" w:eastAsia="宋体" w:cs="宋体"/>
                <w:sz w:val="21"/>
                <w:szCs w:val="24"/>
              </w:rPr>
              <w:t>https://www.gz.gov.cn/zt/qzzggcdcl100zn/fdbnl/gzhsjd/content/post_10503655.html</w:t>
            </w:r>
            <w:r>
              <w:rPr>
                <w:rFonts w:ascii="宋体" w:hAnsi="宋体" w:eastAsia="宋体" w:cs="宋体"/>
                <w:sz w:val="21"/>
                <w:szCs w:val="24"/>
              </w:rPr>
              <w:fldChar w:fldCharType="end"/>
            </w:r>
          </w:p>
          <w:p w14:paraId="235CE55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重庆群众安全感满意度</w:t>
            </w:r>
          </w:p>
          <w:p w14:paraId="610F2D8A">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"https://www.cq.gov.cn/ywdt/jrcq/202502/t20250214_14304440.html" </w:instrText>
            </w:r>
            <w:r>
              <w:rPr>
                <w:rFonts w:ascii="宋体" w:hAnsi="宋体" w:eastAsia="宋体" w:cs="宋体"/>
                <w:sz w:val="21"/>
                <w:szCs w:val="24"/>
              </w:rPr>
              <w:fldChar w:fldCharType="separate"/>
            </w:r>
            <w:r>
              <w:rPr>
                <w:rStyle w:val="8"/>
                <w:rFonts w:ascii="宋体" w:hAnsi="宋体" w:eastAsia="宋体" w:cs="宋体"/>
                <w:sz w:val="21"/>
                <w:szCs w:val="24"/>
              </w:rPr>
              <w:t>https://www.cq.gov.cn/ywdt/jrcq/202502/t20250214_14304440.html</w:t>
            </w:r>
            <w:r>
              <w:rPr>
                <w:rFonts w:ascii="宋体" w:hAnsi="宋体" w:eastAsia="宋体" w:cs="宋体"/>
                <w:sz w:val="21"/>
                <w:szCs w:val="24"/>
              </w:rPr>
              <w:fldChar w:fldCharType="end"/>
            </w:r>
          </w:p>
        </w:tc>
      </w:tr>
      <w:tr w14:paraId="0A93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59CB9E50">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sz w:val="21"/>
                <w:szCs w:val="24"/>
                <w:vertAlign w:val="baseline"/>
                <w:lang w:val="en-US" w:eastAsia="zh-CN"/>
              </w:rPr>
              <w:t>1.2.2</w:t>
            </w:r>
          </w:p>
        </w:tc>
        <w:tc>
          <w:tcPr>
            <w:tcW w:w="7564" w:type="dxa"/>
            <w:tcBorders>
              <w:top w:val="nil"/>
              <w:left w:val="nil"/>
              <w:bottom w:val="nil"/>
              <w:right w:val="nil"/>
            </w:tcBorders>
            <w:shd w:val="clear" w:color="auto" w:fill="FFFFFF"/>
          </w:tcPr>
          <w:p w14:paraId="2EDD6DF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t>北京市全国综合减灾示范社区</w:t>
            </w:r>
          </w:p>
          <w:p w14:paraId="546327E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"https://yjglj.beijing.gov.cn/art/2023/12/5/art_8994_671402.html" \l ":~:text=%E7%BB%8F%E6%9D%90%E6%96%99%E8%AF%84%E5%AE%A1%E3%80%81%E7%8E%B0%E5%9C%BA%E6%A0%B8%E9%AA%8C%E3%80%81%E5%BE%81%E6%B1%82%E7%9B%B8%E5%85%B3%E5%A4%84%E5%AE%A4%E6%84%8F%E8%A7%81%E3%80%81%E7%BB%BC%E5%90%88%E7%A0%94%E7%A9%B6%E8%AF%84%E5%AE%9A%EF%BC%8C%E6%8B%9F%E5%91%BD%E5%90%8D%E4%B8%9C%E5%9F%8E%E5%8C%BA%E5%92%8C%E5%B9%B3%E9%87%8C%E8%A1%97%E9%81%93%E8%A5%BF%E6%B2%B3%E6%B2%BF%E7%A4%BE%E5%8C%BA%E7%AD%89124%E5%AE%B6%E7%A4%BE%E5%8C%BA%E4%B8%BA%E5%8C%97%E4%BA%AC%E5%B8%82%E7%BB%BC%E5%90%88%E5%87%8F%E7%81%BE%E7%A4%BA%E8%8C%83%E7%A4%BE%E5%8C%BA%EF%BC%88%E9%99%84%E4%BB%B61%EF%BC%89%EF%BC%9B%E4%B8%9C%E5%9F%8E%E5%8C%BA%E6%B0%B8%E5%AE%9A%E9%97%A8%E5%A4%96%E8%A1%97%E9%81%93%E6%A1%83%E5%9B%AD%E7%A4%BE%E5%8C%BA%E7%AD%89440%E5%AE%B6%E7%A4%BE%E5%8C%BA%E9%80%9A%E8%BF%87%E5%A4%8D%E8%AF%84%EF%BC%88%E9%99%84%E4%BB%B62%EF%BC%89%EF%BC%9B3%E5%AE%B6%E7%A4%BE%E5%8C%BA%E5%A4%8D%E8%AF%84%E6%9C%AA%E4%BA%88%E9%80%9A%E8%BF%87%EF%BC%88%E9%99%84%E4%BB%B63%EF%BC%89%E3%80%82,%E4%B8%BA%E4%BD%93%E7%8E%B0%E8%AF%84%E5%AE%A1%E7%9A%84%E5%85%AC%E5%B9%B3%E3%80%81%E5%85%AC%E6%AD%A3%E3%80%81%E5%85%AC%E5%BC%80%EF%BC%8C%E7%8E%B0%E5%B0%86%E7%BB%93%E6%9E%9C%E4%BA%88%E4%BB%A5%E5%85%AC%E7%A4%BA%E3%80%82 %E5%A6%82%E5%AF%B9%E5%85%AC%E7%A4%BA%E5%90%8D%E5%8D%95%E6%8C%81%E6%9C%89%E5%BC%82%E8%AE%AE%EF%BC%8C%E5%8F%AF%E9%80%9A%E8%BF%87%E6%9D%A5%E7%94%B5%E3%80%81%E6%9D%A5%E4%BF%A1%E6%88%96%E6%9D%A5%E8%AE%BF%E7%AD%89%E6%96%B9%E5%BC%8F%EF%BC%8C%E4%BA%8E2023%E5%B9%B412%E6%9C%8811%E6%97%A517%EF%BC%9A00%E5%89%8D%E5%90%91%E5%8C%97%E4%BA%AC%E5%B8%82%E5%BA%94%E6%80%A5%E7%AE%A1%E7%90%86%E5%B1%80%E5%8F%8D%E6%98%A0%E6%83%85%E5%86%B5%E3%80%82" </w:instrText>
            </w:r>
            <w:r>
              <w:rPr>
                <w:rFonts w:ascii="宋体" w:hAnsi="宋体" w:eastAsia="宋体" w:cs="宋体"/>
                <w:sz w:val="21"/>
                <w:szCs w:val="24"/>
              </w:rPr>
              <w:fldChar w:fldCharType="separate"/>
            </w:r>
            <w:r>
              <w:rPr>
                <w:rStyle w:val="8"/>
                <w:rFonts w:ascii="宋体" w:hAnsi="宋体" w:eastAsia="宋体" w:cs="宋体"/>
                <w:sz w:val="21"/>
                <w:szCs w:val="24"/>
              </w:rPr>
              <w:t>北京市应急管理局 通知公告 2023年北京市综合减灾示范社区拟命名名单公示</w:t>
            </w:r>
            <w:r>
              <w:rPr>
                <w:rFonts w:ascii="宋体" w:hAnsi="宋体" w:eastAsia="宋体" w:cs="宋体"/>
                <w:sz w:val="21"/>
                <w:szCs w:val="24"/>
              </w:rPr>
              <w:fldChar w:fldCharType="end"/>
            </w:r>
          </w:p>
          <w:p w14:paraId="406A352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上海</w:t>
            </w:r>
            <w:r>
              <w:rPr>
                <w:rFonts w:ascii="宋体" w:hAnsi="宋体" w:eastAsia="宋体" w:cs="宋体"/>
                <w:sz w:val="21"/>
                <w:szCs w:val="24"/>
              </w:rPr>
              <w:t>市全国综合减灾示范社区</w:t>
            </w:r>
          </w:p>
          <w:p w14:paraId="7C79115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"https://yjglj.sh.gov.cn/xxgk/zfxxgk/zcwj/jyta/20230515/aa62aa5d31fb4caba60bdd50ce06d9ae.html" </w:instrText>
            </w:r>
            <w:r>
              <w:rPr>
                <w:rFonts w:ascii="宋体" w:hAnsi="宋体" w:eastAsia="宋体" w:cs="宋体"/>
                <w:sz w:val="21"/>
                <w:szCs w:val="24"/>
              </w:rPr>
              <w:fldChar w:fldCharType="separate"/>
            </w:r>
            <w:r>
              <w:rPr>
                <w:rStyle w:val="8"/>
                <w:rFonts w:ascii="宋体" w:hAnsi="宋体" w:eastAsia="宋体" w:cs="宋体"/>
                <w:sz w:val="21"/>
                <w:szCs w:val="24"/>
              </w:rPr>
              <w:t>https://yjglj.sh.gov.cn/xxgk/zfxxgk/zcwj/jyta/20230515/aa62aa5d31fb4caba60bdd50ce06d9ae.html</w:t>
            </w:r>
            <w:r>
              <w:rPr>
                <w:rFonts w:ascii="宋体" w:hAnsi="宋体" w:eastAsia="宋体" w:cs="宋体"/>
                <w:sz w:val="21"/>
                <w:szCs w:val="24"/>
              </w:rPr>
              <w:fldChar w:fldCharType="end"/>
            </w:r>
          </w:p>
          <w:p w14:paraId="0B229AA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天津</w:t>
            </w:r>
            <w:r>
              <w:rPr>
                <w:rFonts w:ascii="宋体" w:hAnsi="宋体" w:eastAsia="宋体" w:cs="宋体"/>
                <w:sz w:val="21"/>
                <w:szCs w:val="24"/>
              </w:rPr>
              <w:t>市全国综合减灾示范社区</w:t>
            </w:r>
          </w:p>
          <w:p w14:paraId="4355AA2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"https://yjgl.tj.gov.cn/SY5239/bjdt/202406/t20240617_6654456.html" </w:instrText>
            </w:r>
            <w:r>
              <w:rPr>
                <w:rFonts w:ascii="宋体" w:hAnsi="宋体" w:eastAsia="宋体" w:cs="宋体"/>
                <w:sz w:val="21"/>
                <w:szCs w:val="24"/>
              </w:rPr>
              <w:fldChar w:fldCharType="separate"/>
            </w:r>
            <w:r>
              <w:rPr>
                <w:rStyle w:val="8"/>
                <w:rFonts w:ascii="宋体" w:hAnsi="宋体" w:eastAsia="宋体" w:cs="宋体"/>
                <w:sz w:val="21"/>
                <w:szCs w:val="24"/>
              </w:rPr>
              <w:t>https://yjgl.tj.gov.cn/SY5239/bjdt/202406/t20240617_6654456.html</w:t>
            </w:r>
            <w:r>
              <w:rPr>
                <w:rFonts w:ascii="宋体" w:hAnsi="宋体" w:eastAsia="宋体" w:cs="宋体"/>
                <w:sz w:val="21"/>
                <w:szCs w:val="24"/>
              </w:rPr>
              <w:fldChar w:fldCharType="end"/>
            </w:r>
          </w:p>
          <w:p w14:paraId="71C7888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深圳</w:t>
            </w:r>
            <w:r>
              <w:rPr>
                <w:rFonts w:ascii="宋体" w:hAnsi="宋体" w:eastAsia="宋体" w:cs="宋体"/>
                <w:sz w:val="21"/>
                <w:szCs w:val="24"/>
              </w:rPr>
              <w:t>市全国综合减灾示范社区</w:t>
            </w:r>
          </w:p>
          <w:p w14:paraId="24A9A873">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"http://yjgl.sz.gov.cn/zwgk/xxgkml/qt/ztzl/msss/js/yjfc/content/post_10596405.html" </w:instrText>
            </w:r>
            <w:r>
              <w:rPr>
                <w:rFonts w:ascii="宋体" w:hAnsi="宋体" w:eastAsia="宋体" w:cs="宋体"/>
                <w:sz w:val="21"/>
                <w:szCs w:val="24"/>
              </w:rPr>
              <w:fldChar w:fldCharType="separate"/>
            </w:r>
            <w:r>
              <w:rPr>
                <w:rStyle w:val="8"/>
                <w:rFonts w:ascii="宋体" w:hAnsi="宋体" w:eastAsia="宋体" w:cs="宋体"/>
                <w:sz w:val="21"/>
                <w:szCs w:val="24"/>
              </w:rPr>
              <w:t>http://yjgl.sz.gov.cn/zwgk/xxgkml/qt/ztzl/msss/js/yjfc/content/post_10596405.html</w:t>
            </w:r>
            <w:r>
              <w:rPr>
                <w:rFonts w:ascii="宋体" w:hAnsi="宋体" w:eastAsia="宋体" w:cs="宋体"/>
                <w:sz w:val="21"/>
                <w:szCs w:val="24"/>
              </w:rPr>
              <w:fldChar w:fldCharType="end"/>
            </w:r>
          </w:p>
          <w:p w14:paraId="32D001B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广州</w:t>
            </w:r>
            <w:r>
              <w:rPr>
                <w:rFonts w:ascii="宋体" w:hAnsi="宋体" w:eastAsia="宋体" w:cs="宋体"/>
                <w:sz w:val="21"/>
                <w:szCs w:val="24"/>
              </w:rPr>
              <w:t>市全国综合减灾示范社区</w:t>
            </w:r>
          </w:p>
          <w:p w14:paraId="24521F1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"http://news.dayoo.com/guangzhou/202405/12/139995_54667208.htm" </w:instrText>
            </w:r>
            <w:r>
              <w:rPr>
                <w:rFonts w:ascii="宋体" w:hAnsi="宋体" w:eastAsia="宋体" w:cs="宋体"/>
                <w:sz w:val="21"/>
                <w:szCs w:val="24"/>
              </w:rPr>
              <w:fldChar w:fldCharType="separate"/>
            </w:r>
            <w:r>
              <w:rPr>
                <w:rStyle w:val="8"/>
                <w:rFonts w:ascii="宋体" w:hAnsi="宋体" w:eastAsia="宋体" w:cs="宋体"/>
                <w:sz w:val="21"/>
                <w:szCs w:val="24"/>
              </w:rPr>
              <w:t>http://news.dayoo.com/guangzhou/202405/12/139995_54667208.htm</w:t>
            </w:r>
            <w:r>
              <w:rPr>
                <w:rFonts w:ascii="宋体" w:hAnsi="宋体" w:eastAsia="宋体" w:cs="宋体"/>
                <w:sz w:val="21"/>
                <w:szCs w:val="24"/>
              </w:rPr>
              <w:fldChar w:fldCharType="end"/>
            </w:r>
          </w:p>
          <w:p w14:paraId="73B7377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成都</w:t>
            </w:r>
            <w:r>
              <w:rPr>
                <w:rFonts w:ascii="宋体" w:hAnsi="宋体" w:eastAsia="宋体" w:cs="宋体"/>
                <w:sz w:val="21"/>
                <w:szCs w:val="24"/>
              </w:rPr>
              <w:t>市全国综合减灾示范社区</w:t>
            </w:r>
          </w:p>
          <w:p w14:paraId="06A222CC">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"https://www.chengdu.gov.cn/cdsrmzf/c169603/2025-05/13/content_f3c070f04a07488d9aa43b2128a4038d.shtml" </w:instrText>
            </w:r>
            <w:r>
              <w:rPr>
                <w:rFonts w:ascii="宋体" w:hAnsi="宋体" w:eastAsia="宋体" w:cs="宋体"/>
                <w:sz w:val="21"/>
                <w:szCs w:val="24"/>
              </w:rPr>
              <w:fldChar w:fldCharType="separate"/>
            </w:r>
            <w:r>
              <w:rPr>
                <w:rStyle w:val="8"/>
                <w:rFonts w:ascii="宋体" w:hAnsi="宋体" w:eastAsia="宋体" w:cs="宋体"/>
                <w:sz w:val="21"/>
                <w:szCs w:val="24"/>
              </w:rPr>
              <w:t>https://www.chengdu.gov.cn/cdsrmzf/c169603/2025-05/13/content_f3c070f04a07488d9aa43b2128a4038d.shtml</w:t>
            </w:r>
            <w:r>
              <w:rPr>
                <w:rFonts w:ascii="宋体" w:hAnsi="宋体" w:eastAsia="宋体" w:cs="宋体"/>
                <w:sz w:val="21"/>
                <w:szCs w:val="24"/>
              </w:rPr>
              <w:fldChar w:fldCharType="end"/>
            </w:r>
          </w:p>
        </w:tc>
      </w:tr>
      <w:tr w14:paraId="3B8F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252DBEA9">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default" w:ascii="宋体" w:hAnsi="宋体" w:eastAsia="宋体" w:cs="宋体"/>
                <w:b w:val="0"/>
                <w:color w:val="000000"/>
                <w:sz w:val="21"/>
                <w:szCs w:val="24"/>
                <w:vertAlign w:val="baseline"/>
                <w:lang w:val="en-US" w:eastAsia="zh-CN"/>
              </w:rPr>
              <w:t>1.3.1</w:t>
            </w:r>
          </w:p>
        </w:tc>
        <w:tc>
          <w:tcPr>
            <w:tcW w:w="7564" w:type="dxa"/>
            <w:tcBorders>
              <w:top w:val="nil"/>
              <w:left w:val="nil"/>
              <w:bottom w:val="nil"/>
              <w:right w:val="nil"/>
            </w:tcBorders>
            <w:shd w:val="clear" w:color="auto" w:fill="FFFFFF"/>
          </w:tcPr>
          <w:p w14:paraId="3AFDA8D1">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1"/>
                <w:szCs w:val="24"/>
                <w:vertAlign w:val="baseline"/>
                <w:lang w:val="en-US" w:eastAsia="zh-CN"/>
              </w:rPr>
              <w:t>保费收入</w:t>
            </w:r>
            <w:r>
              <w:rPr>
                <w:rFonts w:ascii="宋体" w:hAnsi="宋体" w:eastAsia="宋体" w:cs="宋体"/>
                <w:sz w:val="21"/>
                <w:szCs w:val="24"/>
              </w:rPr>
              <w:fldChar w:fldCharType="begin"/>
            </w:r>
            <w:r>
              <w:rPr>
                <w:rFonts w:ascii="宋体" w:hAnsi="宋体" w:eastAsia="宋体" w:cs="宋体"/>
                <w:sz w:val="21"/>
                <w:szCs w:val="24"/>
              </w:rPr>
              <w:instrText xml:space="preserve"> HYPERLINK "https://www.stats.gov.cn/sj/ndsj/2025/indexch.htm" </w:instrText>
            </w:r>
            <w:r>
              <w:rPr>
                <w:rFonts w:ascii="宋体" w:hAnsi="宋体" w:eastAsia="宋体" w:cs="宋体"/>
                <w:sz w:val="21"/>
                <w:szCs w:val="24"/>
              </w:rPr>
              <w:fldChar w:fldCharType="separate"/>
            </w:r>
            <w:r>
              <w:rPr>
                <w:rStyle w:val="8"/>
                <w:rFonts w:ascii="宋体" w:hAnsi="宋体" w:eastAsia="宋体" w:cs="宋体"/>
                <w:sz w:val="21"/>
                <w:szCs w:val="24"/>
              </w:rPr>
              <w:t>中国统计年鉴2025</w:t>
            </w:r>
            <w:r>
              <w:rPr>
                <w:rFonts w:ascii="宋体" w:hAnsi="宋体" w:eastAsia="宋体" w:cs="宋体"/>
                <w:sz w:val="21"/>
                <w:szCs w:val="24"/>
              </w:rPr>
              <w:fldChar w:fldCharType="end"/>
            </w:r>
          </w:p>
        </w:tc>
      </w:tr>
      <w:tr w14:paraId="7021C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2D13437A">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lang w:val="en-US" w:eastAsia="zh-CN"/>
              </w:rPr>
              <w:t>2.1.1</w:t>
            </w:r>
          </w:p>
        </w:tc>
        <w:tc>
          <w:tcPr>
            <w:tcW w:w="7564" w:type="dxa"/>
            <w:tcBorders>
              <w:top w:val="nil"/>
              <w:left w:val="nil"/>
              <w:bottom w:val="nil"/>
              <w:right w:val="nil"/>
            </w:tcBorders>
            <w:shd w:val="clear" w:color="auto" w:fill="FFFFFF"/>
          </w:tcPr>
          <w:p w14:paraId="1411C4B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sz w:val="21"/>
                <w:szCs w:val="24"/>
              </w:rPr>
              <w:t>医院床位数</w:t>
            </w:r>
            <w:r>
              <w:rPr>
                <w:rFonts w:ascii="宋体" w:hAnsi="宋体" w:eastAsia="宋体" w:cs="宋体"/>
                <w:sz w:val="21"/>
                <w:szCs w:val="24"/>
              </w:rPr>
              <w:fldChar w:fldCharType="begin"/>
            </w:r>
            <w:r>
              <w:rPr>
                <w:rFonts w:ascii="宋体" w:hAnsi="宋体" w:eastAsia="宋体" w:cs="宋体"/>
                <w:sz w:val="21"/>
                <w:szCs w:val="24"/>
              </w:rPr>
              <w:instrText xml:space="preserve"> HYPERLINK "https://www.nhc.gov.cn/mohwsbwstjxxzx/tjtjnj/202601/4c453cf4278941ab8465846d1dc90e08/files/2024%E4%B8%AD%E5%9B%BD%E5%8D%AB%E7%94%9F%E5%81%A5%E5%BA%B7%E7%BB%9F%E8%AE%A1%E5%B9%B4%E9%89%B4-%E7%BB%88.pdf" </w:instrText>
            </w:r>
            <w:r>
              <w:rPr>
                <w:rFonts w:ascii="宋体" w:hAnsi="宋体" w:eastAsia="宋体" w:cs="宋体"/>
                <w:sz w:val="21"/>
                <w:szCs w:val="24"/>
              </w:rPr>
              <w:fldChar w:fldCharType="separate"/>
            </w:r>
            <w:r>
              <w:rPr>
                <w:rStyle w:val="8"/>
                <w:rFonts w:ascii="宋体" w:hAnsi="宋体" w:eastAsia="宋体" w:cs="宋体"/>
                <w:sz w:val="21"/>
                <w:szCs w:val="24"/>
              </w:rPr>
              <w:t>2024中国卫生健康统计年鉴-终.pdf</w:t>
            </w:r>
            <w:r>
              <w:rPr>
                <w:rFonts w:ascii="宋体" w:hAnsi="宋体" w:eastAsia="宋体" w:cs="宋体"/>
                <w:sz w:val="21"/>
                <w:szCs w:val="24"/>
              </w:rPr>
              <w:fldChar w:fldCharType="end"/>
            </w:r>
          </w:p>
        </w:tc>
      </w:tr>
      <w:tr w14:paraId="2A05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743F4129">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2.1.2</w:t>
            </w:r>
          </w:p>
        </w:tc>
        <w:tc>
          <w:tcPr>
            <w:tcW w:w="7564" w:type="dxa"/>
            <w:tcBorders>
              <w:top w:val="nil"/>
              <w:left w:val="nil"/>
              <w:bottom w:val="nil"/>
              <w:right w:val="nil"/>
            </w:tcBorders>
            <w:shd w:val="clear" w:color="auto" w:fill="FFFFFF"/>
          </w:tcPr>
          <w:p w14:paraId="38BD71F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sz w:val="21"/>
                <w:szCs w:val="24"/>
              </w:rPr>
              <w:t>供水人口</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7F4A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76C2F65D">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2.1.3</w:t>
            </w:r>
          </w:p>
        </w:tc>
        <w:tc>
          <w:tcPr>
            <w:tcW w:w="7564" w:type="dxa"/>
            <w:tcBorders>
              <w:top w:val="nil"/>
              <w:left w:val="nil"/>
              <w:bottom w:val="nil"/>
              <w:right w:val="nil"/>
            </w:tcBorders>
            <w:shd w:val="clear" w:color="auto" w:fill="FFFFFF"/>
          </w:tcPr>
          <w:p w14:paraId="71799CC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b w:val="0"/>
                <w:color w:val="000000"/>
                <w:sz w:val="21"/>
                <w:szCs w:val="24"/>
                <w:vertAlign w:val="baseline"/>
              </w:rPr>
              <w:t>排水管道长度</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p w14:paraId="0477BA4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rPr>
            </w:pPr>
            <w:r>
              <w:rPr>
                <w:rFonts w:hint="eastAsia" w:ascii="宋体" w:hAnsi="宋体" w:eastAsia="宋体" w:cs="宋体"/>
                <w:sz w:val="21"/>
                <w:szCs w:val="24"/>
              </w:rPr>
              <w:t>建成区面积</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2819D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4D97849D">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2.2.1</w:t>
            </w:r>
          </w:p>
        </w:tc>
        <w:tc>
          <w:tcPr>
            <w:tcW w:w="7564" w:type="dxa"/>
            <w:tcBorders>
              <w:top w:val="nil"/>
              <w:left w:val="nil"/>
              <w:bottom w:val="nil"/>
              <w:right w:val="nil"/>
            </w:tcBorders>
            <w:shd w:val="clear" w:color="auto" w:fill="FFFFFF"/>
          </w:tcPr>
          <w:p w14:paraId="4088C4C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污水处理总量</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p w14:paraId="356C847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污水排放量</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6BB9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18697EB4">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2.2.2</w:t>
            </w:r>
          </w:p>
        </w:tc>
        <w:tc>
          <w:tcPr>
            <w:tcW w:w="7564" w:type="dxa"/>
            <w:tcBorders>
              <w:top w:val="nil"/>
              <w:left w:val="nil"/>
              <w:bottom w:val="nil"/>
              <w:right w:val="nil"/>
            </w:tcBorders>
            <w:shd w:val="clear" w:color="auto" w:fill="FFFFFF"/>
          </w:tcPr>
          <w:p w14:paraId="69AF363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公园绿地面积</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2F6D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173303F4">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2.2.3</w:t>
            </w:r>
          </w:p>
        </w:tc>
        <w:tc>
          <w:tcPr>
            <w:tcW w:w="7564" w:type="dxa"/>
            <w:tcBorders>
              <w:top w:val="nil"/>
              <w:left w:val="nil"/>
              <w:bottom w:val="nil"/>
              <w:right w:val="nil"/>
            </w:tcBorders>
            <w:shd w:val="clear" w:color="auto" w:fill="FFFFFF"/>
          </w:tcPr>
          <w:p w14:paraId="5B6EF6A4">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绿化覆盖面积</w:t>
            </w: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02D8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2198009E">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2.3.1</w:t>
            </w:r>
          </w:p>
        </w:tc>
        <w:tc>
          <w:tcPr>
            <w:tcW w:w="7564" w:type="dxa"/>
            <w:tcBorders>
              <w:top w:val="nil"/>
              <w:left w:val="nil"/>
              <w:bottom w:val="nil"/>
              <w:right w:val="nil"/>
            </w:tcBorders>
            <w:shd w:val="clear" w:color="auto" w:fill="FFFFFF"/>
          </w:tcPr>
          <w:p w14:paraId="727088B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sz w:val="21"/>
                <w:szCs w:val="24"/>
              </w:rPr>
              <w:t>用户年均停电小时数</w:t>
            </w:r>
            <w:r>
              <w:rPr>
                <w:rFonts w:ascii="宋体" w:hAnsi="宋体" w:eastAsia="宋体" w:cs="宋体"/>
                <w:sz w:val="21"/>
                <w:szCs w:val="24"/>
              </w:rPr>
              <w:fldChar w:fldCharType="begin"/>
            </w:r>
            <w:r>
              <w:rPr>
                <w:rFonts w:ascii="宋体" w:hAnsi="宋体" w:eastAsia="宋体" w:cs="宋体"/>
                <w:sz w:val="21"/>
                <w:szCs w:val="24"/>
              </w:rPr>
              <w:instrText xml:space="preserve"> HYPERLINK "https://www.nea.gov.cn/" </w:instrText>
            </w:r>
            <w:r>
              <w:rPr>
                <w:rFonts w:ascii="宋体" w:hAnsi="宋体" w:eastAsia="宋体" w:cs="宋体"/>
                <w:sz w:val="21"/>
                <w:szCs w:val="24"/>
              </w:rPr>
              <w:fldChar w:fldCharType="separate"/>
            </w:r>
            <w:r>
              <w:rPr>
                <w:rStyle w:val="8"/>
                <w:rFonts w:ascii="宋体" w:hAnsi="宋体" w:eastAsia="宋体" w:cs="宋体"/>
                <w:sz w:val="21"/>
                <w:szCs w:val="24"/>
              </w:rPr>
              <w:t>国家能源局</w:t>
            </w:r>
            <w:r>
              <w:rPr>
                <w:rFonts w:ascii="宋体" w:hAnsi="宋体" w:eastAsia="宋体" w:cs="宋体"/>
                <w:sz w:val="21"/>
                <w:szCs w:val="24"/>
              </w:rPr>
              <w:fldChar w:fldCharType="end"/>
            </w:r>
          </w:p>
        </w:tc>
      </w:tr>
      <w:tr w14:paraId="51C1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5DF3FD5E">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3.1.1</w:t>
            </w:r>
          </w:p>
        </w:tc>
        <w:tc>
          <w:tcPr>
            <w:tcW w:w="7564" w:type="dxa"/>
            <w:tcBorders>
              <w:top w:val="nil"/>
              <w:left w:val="nil"/>
              <w:bottom w:val="nil"/>
              <w:right w:val="nil"/>
            </w:tcBorders>
            <w:shd w:val="clear" w:color="auto" w:fill="FFFFFF"/>
          </w:tcPr>
          <w:p w14:paraId="09863DC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vertAlign w:val="baseline"/>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"https://www.mohurd.gov.cn/gongkai/fdzdgknr/sjfb/tjxx/index.html" </w:instrText>
            </w:r>
            <w:r>
              <w:rPr>
                <w:rFonts w:ascii="宋体" w:hAnsi="宋体" w:eastAsia="宋体" w:cs="宋体"/>
                <w:sz w:val="21"/>
                <w:szCs w:val="24"/>
              </w:rPr>
              <w:fldChar w:fldCharType="separate"/>
            </w:r>
            <w:r>
              <w:rPr>
                <w:rStyle w:val="8"/>
                <w:rFonts w:ascii="宋体" w:hAnsi="宋体" w:eastAsia="宋体" w:cs="宋体"/>
                <w:sz w:val="21"/>
                <w:szCs w:val="24"/>
              </w:rPr>
              <w:t>中华人民共和国住房和城乡建设部</w:t>
            </w:r>
            <w:r>
              <w:rPr>
                <w:rFonts w:ascii="宋体" w:hAnsi="宋体" w:eastAsia="宋体" w:cs="宋体"/>
                <w:sz w:val="21"/>
                <w:szCs w:val="24"/>
              </w:rPr>
              <w:fldChar w:fldCharType="end"/>
            </w:r>
          </w:p>
        </w:tc>
      </w:tr>
      <w:tr w14:paraId="01BF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6D9FD54F">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1"/>
                <w:szCs w:val="24"/>
                <w:vertAlign w:val="baseline"/>
              </w:rPr>
              <w:t>3.2.</w:t>
            </w:r>
            <w:r>
              <w:rPr>
                <w:rFonts w:hint="eastAsia" w:ascii="宋体" w:hAnsi="宋体" w:eastAsia="宋体" w:cs="宋体"/>
                <w:b w:val="0"/>
                <w:color w:val="000000"/>
                <w:sz w:val="21"/>
                <w:szCs w:val="24"/>
                <w:vertAlign w:val="baseline"/>
                <w:lang w:val="en-US" w:eastAsia="zh-CN"/>
              </w:rPr>
              <w:t>1</w:t>
            </w:r>
          </w:p>
        </w:tc>
        <w:tc>
          <w:tcPr>
            <w:tcW w:w="7564" w:type="dxa"/>
            <w:tcBorders>
              <w:top w:val="nil"/>
              <w:left w:val="nil"/>
              <w:bottom w:val="nil"/>
              <w:right w:val="nil"/>
            </w:tcBorders>
            <w:shd w:val="clear" w:color="auto" w:fill="FFFFFF"/>
          </w:tcPr>
          <w:p w14:paraId="4412E46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北京生产安全事故死亡率</w:t>
            </w:r>
            <w:r>
              <w:rPr>
                <w:rFonts w:ascii="宋体" w:hAnsi="宋体" w:eastAsia="宋体" w:cs="宋体"/>
                <w:sz w:val="21"/>
                <w:szCs w:val="24"/>
              </w:rPr>
              <w:fldChar w:fldCharType="begin"/>
            </w:r>
            <w:r>
              <w:rPr>
                <w:rFonts w:ascii="宋体" w:hAnsi="宋体" w:eastAsia="宋体" w:cs="宋体"/>
                <w:sz w:val="21"/>
                <w:szCs w:val="24"/>
              </w:rPr>
              <w:instrText xml:space="preserve"> HYPERLINK "https://nj.tjj.beijing.gov.cn/nj/main/2025-tjnj/zk/e/indexch.htm" </w:instrText>
            </w:r>
            <w:r>
              <w:rPr>
                <w:rFonts w:ascii="宋体" w:hAnsi="宋体" w:eastAsia="宋体" w:cs="宋体"/>
                <w:sz w:val="21"/>
                <w:szCs w:val="24"/>
              </w:rPr>
              <w:fldChar w:fldCharType="separate"/>
            </w:r>
            <w:r>
              <w:rPr>
                <w:rStyle w:val="8"/>
                <w:rFonts w:ascii="宋体" w:hAnsi="宋体" w:eastAsia="宋体" w:cs="宋体"/>
                <w:sz w:val="21"/>
                <w:szCs w:val="24"/>
              </w:rPr>
              <w:t>北京统计年鉴2025</w:t>
            </w:r>
            <w:r>
              <w:rPr>
                <w:rFonts w:ascii="宋体" w:hAnsi="宋体" w:eastAsia="宋体" w:cs="宋体"/>
                <w:sz w:val="21"/>
                <w:szCs w:val="24"/>
              </w:rPr>
              <w:fldChar w:fldCharType="end"/>
            </w:r>
          </w:p>
          <w:p w14:paraId="5A9242AC">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上海生产安全事故死亡率</w:t>
            </w:r>
          </w:p>
          <w:p w14:paraId="48E5C71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"https://yjglj.sh.gov.cn/xwzx/xw/20260129/5e57969ede334025808b8b9c9885b267.html" </w:instrText>
            </w:r>
            <w:r>
              <w:rPr>
                <w:rFonts w:ascii="宋体" w:hAnsi="宋体" w:eastAsia="宋体" w:cs="宋体"/>
                <w:sz w:val="21"/>
                <w:szCs w:val="24"/>
              </w:rPr>
              <w:fldChar w:fldCharType="separate"/>
            </w:r>
            <w:r>
              <w:rPr>
                <w:rStyle w:val="8"/>
                <w:rFonts w:ascii="宋体" w:hAnsi="宋体" w:eastAsia="宋体" w:cs="宋体"/>
                <w:sz w:val="21"/>
                <w:szCs w:val="24"/>
              </w:rPr>
              <w:t>https://yjglj.sh.gov.cn/xwzx/xw/20260129/5e57969ede334025808b8b9c9885b267.html</w:t>
            </w:r>
            <w:r>
              <w:rPr>
                <w:rFonts w:ascii="宋体" w:hAnsi="宋体" w:eastAsia="宋体" w:cs="宋体"/>
                <w:sz w:val="21"/>
                <w:szCs w:val="24"/>
              </w:rPr>
              <w:fldChar w:fldCharType="end"/>
            </w:r>
          </w:p>
          <w:p w14:paraId="55B45606">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天津生产安全事故死亡人数</w:t>
            </w:r>
            <w:r>
              <w:rPr>
                <w:rFonts w:ascii="宋体" w:hAnsi="宋体" w:eastAsia="宋体" w:cs="宋体"/>
                <w:sz w:val="21"/>
                <w:szCs w:val="24"/>
              </w:rPr>
              <w:fldChar w:fldCharType="begin"/>
            </w:r>
            <w:r>
              <w:rPr>
                <w:rFonts w:ascii="宋体" w:hAnsi="宋体" w:eastAsia="宋体" w:cs="宋体"/>
                <w:sz w:val="21"/>
                <w:szCs w:val="24"/>
              </w:rPr>
              <w:instrText xml:space="preserve"> HYPERLINK "https://stats.tj.gov.cn/nianjian/2025nj/zk/indexch.htm" </w:instrText>
            </w:r>
            <w:r>
              <w:rPr>
                <w:rFonts w:ascii="宋体" w:hAnsi="宋体" w:eastAsia="宋体" w:cs="宋体"/>
                <w:sz w:val="21"/>
                <w:szCs w:val="24"/>
              </w:rPr>
              <w:fldChar w:fldCharType="separate"/>
            </w:r>
            <w:r>
              <w:rPr>
                <w:rStyle w:val="8"/>
                <w:rFonts w:ascii="宋体" w:hAnsi="宋体" w:eastAsia="宋体" w:cs="宋体"/>
                <w:sz w:val="21"/>
                <w:szCs w:val="24"/>
              </w:rPr>
              <w:t>天津统计年鉴2025</w:t>
            </w:r>
            <w:r>
              <w:rPr>
                <w:rFonts w:ascii="宋体" w:hAnsi="宋体" w:eastAsia="宋体" w:cs="宋体"/>
                <w:sz w:val="21"/>
                <w:szCs w:val="24"/>
              </w:rPr>
              <w:fldChar w:fldCharType="end"/>
            </w:r>
          </w:p>
          <w:p w14:paraId="50951C3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default" w:ascii="宋体" w:hAnsi="宋体" w:eastAsia="宋体" w:cs="宋体"/>
                <w:sz w:val="24"/>
                <w:szCs w:val="24"/>
                <w:lang w:val="en-US" w:eastAsia="zh-CN"/>
              </w:rPr>
            </w:pPr>
            <w:r>
              <w:rPr>
                <w:rFonts w:hint="eastAsia" w:ascii="宋体" w:hAnsi="宋体" w:eastAsia="宋体" w:cs="宋体"/>
                <w:sz w:val="21"/>
                <w:szCs w:val="24"/>
                <w:lang w:val="en-US" w:eastAsia="zh-CN"/>
              </w:rPr>
              <w:t>深圳生产安全事故死亡率</w:t>
            </w:r>
            <w:r>
              <w:rPr>
                <w:rFonts w:hint="eastAsia" w:ascii="宋体" w:hAnsi="宋体" w:eastAsia="宋体" w:cs="宋体"/>
                <w:b w:val="0"/>
                <w:color w:val="000000"/>
                <w:sz w:val="21"/>
                <w:szCs w:val="24"/>
                <w:lang w:val="en-US" w:eastAsia="zh-CN"/>
              </w:rPr>
              <w:t>见文件2025广东统计年鉴光盘内容 21</w:t>
            </w:r>
          </w:p>
          <w:p w14:paraId="54C6D26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b w:val="0"/>
                <w:color w:val="000000"/>
                <w:sz w:val="24"/>
                <w:szCs w:val="24"/>
                <w:lang w:val="en-US" w:eastAsia="zh-CN"/>
              </w:rPr>
            </w:pPr>
            <w:r>
              <w:rPr>
                <w:rFonts w:hint="eastAsia" w:ascii="宋体" w:hAnsi="宋体" w:eastAsia="宋体" w:cs="宋体"/>
                <w:sz w:val="21"/>
                <w:szCs w:val="24"/>
                <w:lang w:val="en-US" w:eastAsia="zh-CN"/>
              </w:rPr>
              <w:t>广州生产安全事故死亡率</w:t>
            </w:r>
            <w:r>
              <w:rPr>
                <w:rFonts w:hint="eastAsia" w:ascii="宋体" w:hAnsi="宋体" w:eastAsia="宋体" w:cs="宋体"/>
                <w:b w:val="0"/>
                <w:color w:val="000000"/>
                <w:sz w:val="21"/>
                <w:szCs w:val="24"/>
                <w:lang w:val="en-US" w:eastAsia="zh-CN"/>
              </w:rPr>
              <w:t>见文件2025广东统计年鉴光盘内容 21</w:t>
            </w:r>
          </w:p>
          <w:p w14:paraId="6FB905A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hint="eastAsia" w:ascii="宋体" w:hAnsi="宋体" w:eastAsia="宋体" w:cs="宋体"/>
                <w:sz w:val="21"/>
                <w:szCs w:val="24"/>
                <w:lang w:val="en-US" w:eastAsia="zh-CN"/>
              </w:rPr>
              <w:t>重庆生产安全事故死亡率</w:t>
            </w:r>
            <w:r>
              <w:rPr>
                <w:rFonts w:ascii="宋体" w:hAnsi="宋体" w:eastAsia="宋体" w:cs="宋体"/>
                <w:sz w:val="21"/>
                <w:szCs w:val="24"/>
              </w:rPr>
              <w:fldChar w:fldCharType="begin"/>
            </w:r>
            <w:r>
              <w:rPr>
                <w:rFonts w:ascii="宋体" w:hAnsi="宋体" w:eastAsia="宋体" w:cs="宋体"/>
                <w:sz w:val="21"/>
                <w:szCs w:val="24"/>
              </w:rPr>
              <w:instrText xml:space="preserve"> HYPERLINK "https://tjj.cq.gov.cn/zwgk_233/tjnj/tjnj.html?url=https://tjj.cq.gov.cn/cslm/tjsjzl/202603/P020260330529346889373.pdf" </w:instrText>
            </w:r>
            <w:r>
              <w:rPr>
                <w:rFonts w:ascii="宋体" w:hAnsi="宋体" w:eastAsia="宋体" w:cs="宋体"/>
                <w:sz w:val="21"/>
                <w:szCs w:val="24"/>
              </w:rPr>
              <w:fldChar w:fldCharType="separate"/>
            </w:r>
            <w:r>
              <w:rPr>
                <w:rStyle w:val="8"/>
                <w:rFonts w:ascii="宋体" w:hAnsi="宋体" w:eastAsia="宋体" w:cs="宋体"/>
                <w:sz w:val="21"/>
                <w:szCs w:val="24"/>
              </w:rPr>
              <w:t>统计年鉴 - 重庆市统计局</w:t>
            </w:r>
            <w:r>
              <w:rPr>
                <w:rFonts w:ascii="宋体" w:hAnsi="宋体" w:eastAsia="宋体" w:cs="宋体"/>
                <w:sz w:val="21"/>
                <w:szCs w:val="24"/>
              </w:rPr>
              <w:fldChar w:fldCharType="end"/>
            </w:r>
          </w:p>
          <w:p w14:paraId="4BA0792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成都生产安全事故死亡率</w:t>
            </w:r>
            <w:r>
              <w:rPr>
                <w:rFonts w:ascii="宋体" w:hAnsi="宋体" w:eastAsia="宋体" w:cs="宋体"/>
                <w:sz w:val="21"/>
                <w:szCs w:val="24"/>
              </w:rPr>
              <w:fldChar w:fldCharType="begin"/>
            </w:r>
            <w:r>
              <w:rPr>
                <w:rFonts w:ascii="宋体" w:hAnsi="宋体" w:eastAsia="宋体" w:cs="宋体"/>
                <w:sz w:val="21"/>
                <w:szCs w:val="24"/>
              </w:rPr>
              <w:instrText xml:space="preserve"> HYPERLINK "https://www.chengdu.gov.cn/cdsrmzf/c167426/2025-03/28/content_39ca3d2fcbca44b988b39e428f161561.shtml" </w:instrText>
            </w:r>
            <w:r>
              <w:rPr>
                <w:rFonts w:ascii="宋体" w:hAnsi="宋体" w:eastAsia="宋体" w:cs="宋体"/>
                <w:sz w:val="21"/>
                <w:szCs w:val="24"/>
              </w:rPr>
              <w:fldChar w:fldCharType="separate"/>
            </w:r>
            <w:r>
              <w:rPr>
                <w:rStyle w:val="8"/>
                <w:rFonts w:ascii="宋体" w:hAnsi="宋体" w:eastAsia="宋体" w:cs="宋体"/>
                <w:sz w:val="21"/>
                <w:szCs w:val="24"/>
              </w:rPr>
              <w:t>[公示] 2024年成都市国民经济和社会发展统计公报_成都市人民政府</w:t>
            </w:r>
            <w:r>
              <w:rPr>
                <w:rFonts w:ascii="宋体" w:hAnsi="宋体" w:eastAsia="宋体" w:cs="宋体"/>
                <w:sz w:val="21"/>
                <w:szCs w:val="24"/>
              </w:rPr>
              <w:fldChar w:fldCharType="end"/>
            </w:r>
          </w:p>
        </w:tc>
      </w:tr>
      <w:tr w14:paraId="087F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top w:val="nil"/>
              <w:left w:val="nil"/>
              <w:bottom w:val="nil"/>
              <w:right w:val="nil"/>
            </w:tcBorders>
            <w:shd w:val="clear" w:color="auto" w:fill="FFFFFF"/>
          </w:tcPr>
          <w:p w14:paraId="0F69D268">
            <w:pPr>
              <w:keepNext w:val="0"/>
              <w:keepLines w:val="0"/>
              <w:pageBreakBefore w:val="0"/>
              <w:widowControl w:val="0"/>
              <w:numPr>
                <w:ilvl w:val="2"/>
                <w:numId w:val="0"/>
              </w:numPr>
              <w:kinsoku/>
              <w:wordWrap/>
              <w:overflowPunct/>
              <w:topLinePunct w:val="0"/>
              <w:autoSpaceDE/>
              <w:autoSpaceDN/>
              <w:bidi w:val="0"/>
              <w:adjustRightInd/>
              <w:snapToGrid/>
              <w:spacing w:after="0" w:line="269" w:lineRule="auto" w:before="0"/>
              <w:ind w:left="0" w:leftChars="0" w:firstLine="0" w:firstLineChars="0"/>
              <w:jc w:val="both"/>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1"/>
                <w:szCs w:val="24"/>
                <w:vertAlign w:val="baseline"/>
              </w:rPr>
              <w:t>3.3.1</w:t>
            </w:r>
          </w:p>
        </w:tc>
        <w:tc>
          <w:tcPr>
            <w:tcW w:w="7564" w:type="dxa"/>
            <w:tcBorders>
              <w:top w:val="nil"/>
              <w:left w:val="nil"/>
              <w:bottom w:val="nil"/>
              <w:right w:val="nil"/>
            </w:tcBorders>
            <w:shd w:val="clear" w:color="auto" w:fill="FFFFFF"/>
          </w:tcPr>
          <w:p w14:paraId="7E04D17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北京公共安全财政支出占比</w:t>
            </w:r>
          </w:p>
          <w:p w14:paraId="65C66AB8">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"https://czj.beijing.gov.cn/zwxx/czsj/czyjs/202508/t20250811_4170522.html" </w:instrText>
            </w:r>
            <w:r>
              <w:rPr>
                <w:rFonts w:ascii="宋体" w:hAnsi="宋体" w:eastAsia="宋体" w:cs="宋体"/>
                <w:sz w:val="21"/>
                <w:szCs w:val="24"/>
              </w:rPr>
              <w:fldChar w:fldCharType="separate"/>
            </w:r>
            <w:r>
              <w:rPr>
                <w:rStyle w:val="8"/>
                <w:rFonts w:ascii="宋体" w:hAnsi="宋体" w:eastAsia="宋体" w:cs="宋体"/>
                <w:sz w:val="21"/>
                <w:szCs w:val="24"/>
              </w:rPr>
              <w:t>https://czj.beijing.gov.cn/zwxx/czsj/czyjs/202508/t20250811_4170522.html</w:t>
            </w:r>
            <w:r>
              <w:rPr>
                <w:rFonts w:ascii="宋体" w:hAnsi="宋体" w:eastAsia="宋体" w:cs="宋体"/>
                <w:sz w:val="21"/>
                <w:szCs w:val="24"/>
              </w:rPr>
              <w:fldChar w:fldCharType="end"/>
            </w:r>
          </w:p>
          <w:p w14:paraId="5D112A17">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上海公共安全财政支出占比</w:t>
            </w:r>
          </w:p>
          <w:p w14:paraId="32CCE159">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"https://czj.sh.gov.cn/cmsres/1d/1de392aeea444d0c8a717cf9e3a74409/b01214a4bacf47bc41033759b6c3dd74.pdf" </w:instrText>
            </w:r>
            <w:r>
              <w:rPr>
                <w:rFonts w:ascii="宋体" w:hAnsi="宋体" w:eastAsia="宋体" w:cs="宋体"/>
                <w:sz w:val="21"/>
                <w:szCs w:val="24"/>
              </w:rPr>
              <w:fldChar w:fldCharType="separate"/>
            </w:r>
            <w:r>
              <w:rPr>
                <w:rStyle w:val="8"/>
                <w:rFonts w:ascii="宋体" w:hAnsi="宋体" w:eastAsia="宋体" w:cs="宋体"/>
                <w:sz w:val="21"/>
                <w:szCs w:val="24"/>
              </w:rPr>
              <w:t>b01214a4bacf47bc41033759b6c3dd74.pdf</w:t>
            </w:r>
            <w:r>
              <w:rPr>
                <w:rFonts w:ascii="宋体" w:hAnsi="宋体" w:eastAsia="宋体" w:cs="宋体"/>
                <w:sz w:val="21"/>
                <w:szCs w:val="24"/>
              </w:rPr>
              <w:fldChar w:fldCharType="end"/>
            </w:r>
          </w:p>
          <w:p w14:paraId="4A86C2F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天津公共安全财政支出占比</w:t>
            </w:r>
          </w:p>
          <w:p w14:paraId="28B3E6FD">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"https://cz.tj.gov.cn/zwgk_53713/yjsgktypt/ysgk/2025zfys/202501/W020250221489809765468.pdf" </w:instrText>
            </w:r>
            <w:r>
              <w:rPr>
                <w:rFonts w:ascii="宋体" w:hAnsi="宋体" w:eastAsia="宋体" w:cs="宋体"/>
                <w:sz w:val="21"/>
                <w:szCs w:val="24"/>
              </w:rPr>
              <w:fldChar w:fldCharType="separate"/>
            </w:r>
            <w:r>
              <w:rPr>
                <w:rStyle w:val="8"/>
                <w:rFonts w:ascii="宋体" w:hAnsi="宋体" w:eastAsia="宋体" w:cs="宋体"/>
                <w:sz w:val="21"/>
                <w:szCs w:val="24"/>
              </w:rPr>
              <w:t>W020250221489809765468.pdf</w:t>
            </w:r>
            <w:r>
              <w:rPr>
                <w:rFonts w:ascii="宋体" w:hAnsi="宋体" w:eastAsia="宋体" w:cs="宋体"/>
                <w:sz w:val="21"/>
                <w:szCs w:val="24"/>
              </w:rPr>
              <w:fldChar w:fldCharType="end"/>
            </w:r>
          </w:p>
          <w:p w14:paraId="75F518B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深圳公共安全财政支出占比</w:t>
            </w:r>
          </w:p>
          <w:p w14:paraId="30EA1442">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"https://www.sz.gov.cn/zfgb/2025/gb1374/content/post_12212437.html" </w:instrText>
            </w:r>
            <w:r>
              <w:rPr>
                <w:rFonts w:ascii="宋体" w:hAnsi="宋体" w:eastAsia="宋体" w:cs="宋体"/>
                <w:sz w:val="21"/>
                <w:szCs w:val="24"/>
              </w:rPr>
              <w:fldChar w:fldCharType="separate"/>
            </w:r>
            <w:r>
              <w:rPr>
                <w:rStyle w:val="8"/>
                <w:rFonts w:ascii="宋体" w:hAnsi="宋体" w:eastAsia="宋体" w:cs="宋体"/>
                <w:sz w:val="21"/>
                <w:szCs w:val="24"/>
              </w:rPr>
              <w:t>https://www.sz.gov.cn/zfgb/2025/gb1374/content/post_12212437.html</w:t>
            </w:r>
            <w:r>
              <w:rPr>
                <w:rFonts w:ascii="宋体" w:hAnsi="宋体" w:eastAsia="宋体" w:cs="宋体"/>
                <w:sz w:val="21"/>
                <w:szCs w:val="24"/>
              </w:rPr>
              <w:fldChar w:fldCharType="end"/>
            </w:r>
          </w:p>
          <w:p w14:paraId="4A9199EE">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广州公共安全财政支出占比</w:t>
            </w:r>
          </w:p>
          <w:p w14:paraId="5651600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"https://czj.gz.gov.cn/attachment/7/7922/7922129/10488502.pdf" </w:instrText>
            </w:r>
            <w:r>
              <w:rPr>
                <w:rFonts w:ascii="宋体" w:hAnsi="宋体" w:eastAsia="宋体" w:cs="宋体"/>
                <w:sz w:val="21"/>
                <w:szCs w:val="24"/>
              </w:rPr>
              <w:fldChar w:fldCharType="separate"/>
            </w:r>
            <w:r>
              <w:rPr>
                <w:rStyle w:val="8"/>
                <w:rFonts w:ascii="宋体" w:hAnsi="宋体" w:eastAsia="宋体" w:cs="宋体"/>
                <w:sz w:val="21"/>
                <w:szCs w:val="24"/>
              </w:rPr>
              <w:t>10488502.pdf</w:t>
            </w:r>
            <w:r>
              <w:rPr>
                <w:rFonts w:ascii="宋体" w:hAnsi="宋体" w:eastAsia="宋体" w:cs="宋体"/>
                <w:sz w:val="21"/>
                <w:szCs w:val="24"/>
              </w:rPr>
              <w:fldChar w:fldCharType="end"/>
            </w:r>
          </w:p>
          <w:p w14:paraId="4B75D7EB">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重庆公共安全财政支出占比</w:t>
            </w:r>
          </w:p>
          <w:p w14:paraId="3CCD8F05">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"https://czj.cq.gov.cn/zwgk_268/fdzdgknr/ysjs/zfjs/202508/W020250813355653616191.pdf" </w:instrText>
            </w:r>
            <w:r>
              <w:rPr>
                <w:rFonts w:ascii="宋体" w:hAnsi="宋体" w:eastAsia="宋体" w:cs="宋体"/>
                <w:sz w:val="21"/>
                <w:szCs w:val="24"/>
              </w:rPr>
              <w:fldChar w:fldCharType="separate"/>
            </w:r>
            <w:r>
              <w:rPr>
                <w:rStyle w:val="8"/>
                <w:rFonts w:ascii="宋体" w:hAnsi="宋体" w:eastAsia="宋体" w:cs="宋体"/>
                <w:sz w:val="21"/>
                <w:szCs w:val="24"/>
              </w:rPr>
              <w:t>https://czj.cq.gov.cn/zwgk_268/fdzdgknr/ysjs/zfjs/202508/W020250813355653616191.pdf</w:t>
            </w:r>
            <w:r>
              <w:rPr>
                <w:rFonts w:ascii="宋体" w:hAnsi="宋体" w:eastAsia="宋体" w:cs="宋体"/>
                <w:sz w:val="21"/>
                <w:szCs w:val="24"/>
              </w:rPr>
              <w:fldChar w:fldCharType="end"/>
            </w:r>
          </w:p>
          <w:p w14:paraId="7472120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4"/>
                <w:lang w:val="en-US" w:eastAsia="zh-CN"/>
              </w:rPr>
              <w:t>成都公共安全财政支出占比</w:t>
            </w:r>
          </w:p>
          <w:p w14:paraId="252F127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ascii="宋体" w:hAnsi="宋体" w:eastAsia="宋体" w:cs="宋体"/>
                <w:sz w:val="24"/>
                <w:szCs w:val="24"/>
              </w:rPr>
            </w:pPr>
            <w:r>
              <w:rPr>
                <w:rFonts w:ascii="宋体" w:hAnsi="宋体" w:eastAsia="宋体" w:cs="宋体"/>
                <w:sz w:val="21"/>
                <w:szCs w:val="24"/>
              </w:rPr>
              <w:fldChar w:fldCharType="begin"/>
            </w:r>
            <w:r>
              <w:rPr>
                <w:rFonts w:ascii="宋体" w:hAnsi="宋体" w:eastAsia="宋体" w:cs="宋体"/>
                <w:sz w:val="21"/>
                <w:szCs w:val="24"/>
              </w:rPr>
              <w:instrText xml:space="preserve"> HYPERLINK "https://cdcz.chengdu.gov.cn/cdsczj/c116719/2025-03/18/d94a11576b1747efbf502f478e1eeb86/files/4a2f093912474822b0b943d84a58e0ca.pdf" </w:instrText>
            </w:r>
            <w:r>
              <w:rPr>
                <w:rFonts w:ascii="宋体" w:hAnsi="宋体" w:eastAsia="宋体" w:cs="宋体"/>
                <w:sz w:val="21"/>
                <w:szCs w:val="24"/>
              </w:rPr>
              <w:fldChar w:fldCharType="separate"/>
            </w:r>
            <w:r>
              <w:rPr>
                <w:rStyle w:val="8"/>
                <w:rFonts w:ascii="宋体" w:hAnsi="宋体" w:eastAsia="宋体" w:cs="宋体"/>
                <w:sz w:val="21"/>
                <w:szCs w:val="24"/>
              </w:rPr>
              <w:t>https://cdcz.chengdu.gov.cn/cdsczj/c116719/2025-03/18/d94a11576b1747efbf502f478e1eeb86/files/4a2f093912474822b0b943d84a58e0ca.pdf</w:t>
            </w:r>
            <w:r>
              <w:rPr>
                <w:rFonts w:ascii="宋体" w:hAnsi="宋体" w:eastAsia="宋体" w:cs="宋体"/>
                <w:sz w:val="21"/>
                <w:szCs w:val="24"/>
              </w:rPr>
              <w:fldChar w:fldCharType="end"/>
            </w:r>
          </w:p>
          <w:p w14:paraId="4D5AE5B0">
            <w:pPr>
              <w:keepNext w:val="0"/>
              <w:keepLines w:val="0"/>
              <w:pageBreakBefore w:val="0"/>
              <w:widowControl w:val="0"/>
              <w:numPr>
                <w:ilvl w:val="0"/>
                <w:numId w:val="0"/>
              </w:numPr>
              <w:kinsoku/>
              <w:wordWrap/>
              <w:overflowPunct/>
              <w:topLinePunct w:val="0"/>
              <w:autoSpaceDE/>
              <w:autoSpaceDN/>
              <w:bidi w:val="0"/>
              <w:adjustRightInd/>
              <w:snapToGrid/>
              <w:spacing w:after="0" w:line="269" w:lineRule="auto" w:before="0"/>
              <w:ind w:leftChars="0"/>
              <w:jc w:val="both"/>
              <w:textAlignment w:val="auto"/>
              <w:rPr>
                <w:rFonts w:hint="eastAsia" w:ascii="宋体" w:hAnsi="宋体" w:eastAsia="宋体" w:cs="宋体"/>
                <w:sz w:val="24"/>
                <w:szCs w:val="24"/>
                <w:lang w:val="en-US" w:eastAsia="zh-CN"/>
              </w:rPr>
            </w:pPr>
          </w:p>
        </w:tc>
      </w:tr>
    </w:tbl>
    <w:p w14:paraId="4A07C454">
      <w:pPr>
        <w:spacing w:line="300" w:lineRule="auto"/>
        <w:rPr>
          <w:rFonts w:ascii="Times New Roman" w:hAnsi="Times New Roman" w:eastAsia="宋体"/>
          <w:sz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88E5CE"/>
    <w:multiLevelType w:val="singleLevel"/>
    <w:tmpl w:val="7288E5C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35D04"/>
    <w:rsid w:val="06AD1002"/>
    <w:rsid w:val="129F3F31"/>
    <w:rsid w:val="14145A65"/>
    <w:rsid w:val="174A6D0A"/>
    <w:rsid w:val="23F94382"/>
    <w:rsid w:val="2732523B"/>
    <w:rsid w:val="28C40086"/>
    <w:rsid w:val="2C453AC0"/>
    <w:rsid w:val="2ED56B63"/>
    <w:rsid w:val="342C343E"/>
    <w:rsid w:val="36EB6429"/>
    <w:rsid w:val="3E0F0364"/>
    <w:rsid w:val="3F4A37E5"/>
    <w:rsid w:val="42777000"/>
    <w:rsid w:val="460969F5"/>
    <w:rsid w:val="4B193FFA"/>
    <w:rsid w:val="56CC497B"/>
    <w:rsid w:val="57830230"/>
    <w:rsid w:val="58A837E2"/>
    <w:rsid w:val="5FFD3665"/>
    <w:rsid w:val="6A3264C7"/>
    <w:rsid w:val="6C104B90"/>
    <w:rsid w:val="6F806824"/>
    <w:rsid w:val="71D758D4"/>
    <w:rsid w:val="72A72729"/>
    <w:rsid w:val="7A946D6C"/>
    <w:rsid w:val="7AE21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eastAsiaTheme="minorEastAsia"/>
      <w:b/>
      <w:kern w:val="44"/>
      <w:sz w:val="2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1093</Words>
  <Characters>1144</Characters>
  <Lines>0</Lines>
  <Paragraphs>0</Paragraphs>
  <TotalTime>0</TotalTime>
  <ScaleCrop>false</ScaleCrop>
  <LinksUpToDate>false</LinksUpToDate>
  <CharactersWithSpaces>1145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2026-09-12T07:50:00Z</dcterms:created>
  <dc:creator>Lenovo</dc:creator>
  <cp:lastModifiedBy>-凹凸曼i</cp:lastModifiedBy>
  <dcterms:modified xsi:type="dcterms:W3CDTF">2026-09-30T08:26:59Z</dcterms:modified>
  <dc:subject>原16项指标的区县与月度细化采集</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eyJoZGlkIjoiMTEzZTVjOGQ0MGFjZDMyZGE3MDUzMzc3ZDI3NmI2OWQiLCJ1c2VySWQiOiI5Mzg0NTI4NTgifQ==</vt:lpwstr>
  </property>
  <property fmtid="{D5CDD505-2E9C-101B-9397-08002B2CF9AE}" pid="4" name="ICV">
    <vt:lpwstr>143C82F28B984561A7B2D9D33A6A072F_13</vt:lpwstr>
  </property>
</Properties>
</file>