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B57"/>
          <w:sz w:val="44"/>
        </w:rPr>
        <w:t>Подробная речь преподавателя</w:t>
      </w:r>
    </w:p>
    <w:p>
      <w:pPr>
        <w:jc w:val="center"/>
      </w:pPr>
      <w:r>
        <w:rPr>
          <w:b/>
          <w:color w:val="2364AA"/>
          <w:sz w:val="36"/>
        </w:rPr>
        <w:t>Первичная визуализация данных в Python</w:t>
      </w:r>
    </w:p>
    <w:p>
      <w:pPr>
        <w:jc w:val="center"/>
      </w:pPr>
      <w:r>
        <w:rPr>
          <w:color w:val="5F6C76"/>
          <w:sz w:val="21"/>
        </w:rPr>
        <w:t>Группа: Аналитик данных_ВНИИТ_Москва_5 · Дата: 05.09.2026 · Формат: очная практика 10:00–17:10</w:t>
      </w:r>
    </w:p>
    <w:p>
      <w:pPr>
        <w:jc w:val="center"/>
      </w:pPr>
      <w:r>
        <w:rPr>
          <w:b/>
          <w:color w:val="2E7D32"/>
          <w:sz w:val="21"/>
        </w:rPr>
        <w:t>Практический стек занятия: pandas, Matplotlib, Seaborn. R закрывается обзорно без отдельной практики.</w:t>
      </w:r>
    </w:p>
    <w:p/>
    <w:p>
      <w:r>
        <w:rPr>
          <w:b/>
        </w:rPr>
        <w:t xml:space="preserve">Назначение документа. </w:t>
      </w:r>
      <w:r>
        <w:t>Этот файл предназначен для преподавателя: он задает логику занятия, текстовые формулировки для объяснений, вопросы слушателям, переходы между ноутбуками, контрольные точки и резервные сценарии на случай проблем с локальной средой. Документ не заменяет ноутбуки и презентацию, а синхронизирует их в единый сценарий проведения.</w:t>
      </w:r>
    </w:p>
    <w:p>
      <w:pPr>
        <w:pStyle w:val="Heading1"/>
      </w:pPr>
      <w:r>
        <w:t>1. Паспорт занятия</w:t>
      </w:r>
    </w:p>
    <w:p>
      <w:pPr>
        <w:pStyle w:val="ListBullet"/>
      </w:pPr>
      <w:r>
        <w:rPr>
          <w:b/>
        </w:rPr>
        <w:t xml:space="preserve">Целевая аудитория: </w:t>
      </w:r>
      <w:r>
        <w:t>слушатели программы «Аналитик данных», начальный/средний уровень по визуализации.</w:t>
      </w:r>
    </w:p>
    <w:p>
      <w:pPr>
        <w:pStyle w:val="ListBullet"/>
      </w:pPr>
      <w:r>
        <w:rPr>
          <w:b/>
        </w:rPr>
        <w:t xml:space="preserve">Главный результат: </w:t>
      </w:r>
      <w:r>
        <w:t>слушатель строит не менее пяти графиков по кейсу, объясняет выбор визуализации и формулирует выводы с ограничениями.</w:t>
      </w:r>
    </w:p>
    <w:p>
      <w:pPr>
        <w:pStyle w:val="ListBullet"/>
      </w:pPr>
      <w:r>
        <w:rPr>
          <w:b/>
        </w:rPr>
        <w:t xml:space="preserve">Главная методическая идея: </w:t>
      </w:r>
      <w:r>
        <w:t>график является проверяемым ответом на аналитический вопрос, а не декоративной картинкой.</w:t>
      </w:r>
    </w:p>
    <w:p>
      <w:pPr>
        <w:pStyle w:val="ListBullet"/>
      </w:pPr>
      <w:r>
        <w:rPr>
          <w:b/>
        </w:rPr>
        <w:t xml:space="preserve">Среда: </w:t>
      </w:r>
      <w:r>
        <w:t>offline-first: материалы, данные, изображения, ноутбуки и инструкции должны быть доступны локально.</w:t>
      </w:r>
    </w:p>
    <w:p>
      <w:pPr>
        <w:pStyle w:val="ListBullet"/>
      </w:pPr>
      <w:r>
        <w:rPr>
          <w:b/>
        </w:rPr>
        <w:t xml:space="preserve">R-блок: </w:t>
      </w:r>
      <w:r>
        <w:t>обзорный контекст на 10 минут: без установки, без отдельного GitHub-каталога, без RStudio-практики.</w:t>
      </w:r>
    </w:p>
    <w:p>
      <w:pPr>
        <w:pStyle w:val="Heading1"/>
      </w:pPr>
      <w:r>
        <w:t>2. Тайминг и логика занятия</w:t>
      </w:r>
    </w:p>
    <w:tbl>
      <w:tblPr>
        <w:tblW w:type="auto" w:w="0"/>
        <w:jc w:val="center"/>
        <w:tblLook w:firstColumn="1" w:firstRow="1" w:lastColumn="0" w:lastRow="0" w:noHBand="0" w:noVBand="1" w:val="04A0"/>
      </w:tblPr>
      <w:tblGrid>
        <w:gridCol w:w="2520"/>
        <w:gridCol w:w="2520"/>
        <w:gridCol w:w="2520"/>
        <w:gridCol w:w="2520"/>
      </w:tblGrid>
      <w:tr>
        <w:tc>
          <w:tcPr>
            <w:tcW w:type="dxa" w:w="2520"/>
            <w:shd w:fill="163B57"/>
          </w:tcPr>
          <w:p>
            <w:pPr>
              <w:spacing w:after="40"/>
            </w:pPr>
            <w:r/>
            <w:r>
              <w:rPr>
                <w:b/>
                <w:color w:val="FFFFFF"/>
                <w:sz w:val="19"/>
              </w:rPr>
              <w:t>Время</w:t>
            </w:r>
          </w:p>
        </w:tc>
        <w:tc>
          <w:tcPr>
            <w:tcW w:type="dxa" w:w="2520"/>
            <w:shd w:fill="163B57"/>
          </w:tcPr>
          <w:p>
            <w:pPr>
              <w:spacing w:after="40"/>
            </w:pPr>
            <w:r/>
            <w:r>
              <w:rPr>
                <w:b/>
                <w:color w:val="FFFFFF"/>
                <w:sz w:val="19"/>
              </w:rPr>
              <w:t>Блок</w:t>
            </w:r>
          </w:p>
        </w:tc>
        <w:tc>
          <w:tcPr>
            <w:tcW w:type="dxa" w:w="2520"/>
            <w:shd w:fill="163B57"/>
          </w:tcPr>
          <w:p>
            <w:pPr>
              <w:spacing w:after="40"/>
            </w:pPr>
            <w:r/>
            <w:r>
              <w:rPr>
                <w:b/>
                <w:color w:val="FFFFFF"/>
                <w:sz w:val="19"/>
              </w:rPr>
              <w:t>Формат</w:t>
            </w:r>
          </w:p>
        </w:tc>
        <w:tc>
          <w:tcPr>
            <w:tcW w:type="dxa" w:w="2520"/>
            <w:shd w:fill="163B57"/>
          </w:tcPr>
          <w:p>
            <w:pPr>
              <w:spacing w:after="40"/>
            </w:pPr>
            <w:r/>
            <w:r>
              <w:rPr>
                <w:b/>
                <w:color w:val="FFFFFF"/>
                <w:sz w:val="19"/>
              </w:rPr>
              <w:t>Результат</w:t>
            </w:r>
          </w:p>
        </w:tc>
      </w:tr>
      <w:tr>
        <w:tc>
          <w:tcPr>
            <w:tcW w:type="dxa" w:w="2520"/>
            <w:vAlign w:val="top"/>
          </w:tcPr>
          <w:p>
            <w:pPr>
              <w:spacing w:after="40"/>
            </w:pPr>
            <w:r/>
            <w:r>
              <w:rPr>
                <w:b w:val="0"/>
                <w:sz w:val="19"/>
              </w:rPr>
              <w:t>10:00–10:20</w:t>
            </w:r>
          </w:p>
        </w:tc>
        <w:tc>
          <w:tcPr>
            <w:tcW w:type="dxa" w:w="2520"/>
            <w:vAlign w:val="top"/>
          </w:tcPr>
          <w:p>
            <w:pPr>
              <w:spacing w:after="40"/>
            </w:pPr>
            <w:r/>
            <w:r>
              <w:rPr>
                <w:b w:val="0"/>
                <w:sz w:val="19"/>
              </w:rPr>
              <w:t>Открытие и диагностика</w:t>
            </w:r>
          </w:p>
        </w:tc>
        <w:tc>
          <w:tcPr>
            <w:tcW w:type="dxa" w:w="2520"/>
            <w:vAlign w:val="top"/>
          </w:tcPr>
          <w:p>
            <w:pPr>
              <w:spacing w:after="40"/>
            </w:pPr>
            <w:r/>
            <w:r>
              <w:rPr>
                <w:b w:val="0"/>
                <w:sz w:val="19"/>
              </w:rPr>
              <w:t>вопросы / мини-разбор</w:t>
            </w:r>
          </w:p>
        </w:tc>
        <w:tc>
          <w:tcPr>
            <w:tcW w:type="dxa" w:w="2520"/>
            <w:vAlign w:val="top"/>
          </w:tcPr>
          <w:p>
            <w:pPr>
              <w:spacing w:after="40"/>
            </w:pPr>
            <w:r/>
            <w:r>
              <w:rPr>
                <w:b w:val="0"/>
                <w:sz w:val="19"/>
              </w:rPr>
              <w:t>стартовый уровень и ожидания</w:t>
            </w:r>
          </w:p>
        </w:tc>
      </w:tr>
      <w:tr>
        <w:tc>
          <w:tcPr>
            <w:tcW w:type="dxa" w:w="2520"/>
            <w:vAlign w:val="top"/>
          </w:tcPr>
          <w:p>
            <w:pPr>
              <w:spacing w:after="40"/>
            </w:pPr>
            <w:r/>
            <w:r>
              <w:rPr>
                <w:b w:val="0"/>
                <w:sz w:val="19"/>
              </w:rPr>
              <w:t>10:20–11:30</w:t>
            </w:r>
          </w:p>
        </w:tc>
        <w:tc>
          <w:tcPr>
            <w:tcW w:type="dxa" w:w="2520"/>
            <w:vAlign w:val="top"/>
          </w:tcPr>
          <w:p>
            <w:pPr>
              <w:spacing w:after="40"/>
            </w:pPr>
            <w:r/>
            <w:r>
              <w:rPr>
                <w:b w:val="0"/>
                <w:sz w:val="19"/>
              </w:rPr>
              <w:t>Notebook 01</w:t>
            </w:r>
          </w:p>
        </w:tc>
        <w:tc>
          <w:tcPr>
            <w:tcW w:type="dxa" w:w="2520"/>
            <w:vAlign w:val="top"/>
          </w:tcPr>
          <w:p>
            <w:pPr>
              <w:spacing w:after="40"/>
            </w:pPr>
            <w:r/>
            <w:r>
              <w:rPr>
                <w:b w:val="0"/>
                <w:sz w:val="19"/>
              </w:rPr>
              <w:t>демонстрация + практика</w:t>
            </w:r>
          </w:p>
        </w:tc>
        <w:tc>
          <w:tcPr>
            <w:tcW w:type="dxa" w:w="2520"/>
            <w:vAlign w:val="top"/>
          </w:tcPr>
          <w:p>
            <w:pPr>
              <w:spacing w:after="40"/>
            </w:pPr>
            <w:r/>
            <w:r>
              <w:rPr>
                <w:b w:val="0"/>
                <w:sz w:val="19"/>
              </w:rPr>
              <w:t>line chart, bar chart, groupby, оси</w:t>
            </w:r>
          </w:p>
        </w:tc>
      </w:tr>
      <w:tr>
        <w:tc>
          <w:tcPr>
            <w:tcW w:type="dxa" w:w="2520"/>
            <w:vAlign w:val="top"/>
          </w:tcPr>
          <w:p>
            <w:pPr>
              <w:spacing w:after="40"/>
            </w:pPr>
            <w:r/>
            <w:r>
              <w:rPr>
                <w:b w:val="0"/>
                <w:sz w:val="19"/>
              </w:rPr>
              <w:t>11:30–11:40</w:t>
            </w:r>
          </w:p>
        </w:tc>
        <w:tc>
          <w:tcPr>
            <w:tcW w:type="dxa" w:w="2520"/>
            <w:vAlign w:val="top"/>
          </w:tcPr>
          <w:p>
            <w:pPr>
              <w:spacing w:after="40"/>
            </w:pPr>
            <w:r/>
            <w:r>
              <w:rPr>
                <w:b w:val="0"/>
                <w:sz w:val="19"/>
              </w:rPr>
              <w:t>Перерыв</w:t>
            </w:r>
          </w:p>
        </w:tc>
        <w:tc>
          <w:tcPr>
            <w:tcW w:type="dxa" w:w="2520"/>
            <w:vAlign w:val="top"/>
          </w:tcPr>
          <w:p>
            <w:pPr>
              <w:spacing w:after="40"/>
            </w:pPr>
            <w:r/>
            <w:r>
              <w:rPr>
                <w:b w:val="0"/>
                <w:sz w:val="19"/>
              </w:rPr>
              <w:t>—</w:t>
            </w:r>
          </w:p>
        </w:tc>
        <w:tc>
          <w:tcPr>
            <w:tcW w:type="dxa" w:w="2520"/>
            <w:vAlign w:val="top"/>
          </w:tcPr>
          <w:p>
            <w:pPr>
              <w:spacing w:after="40"/>
            </w:pPr>
            <w:r/>
            <w:r>
              <w:rPr>
                <w:b w:val="0"/>
                <w:sz w:val="19"/>
              </w:rPr>
              <w:t>переключение</w:t>
            </w:r>
          </w:p>
        </w:tc>
      </w:tr>
      <w:tr>
        <w:tc>
          <w:tcPr>
            <w:tcW w:type="dxa" w:w="2520"/>
            <w:vAlign w:val="top"/>
          </w:tcPr>
          <w:p>
            <w:pPr>
              <w:spacing w:after="40"/>
            </w:pPr>
            <w:r/>
            <w:r>
              <w:rPr>
                <w:b w:val="0"/>
                <w:sz w:val="19"/>
              </w:rPr>
              <w:t>11:40–13:10</w:t>
            </w:r>
          </w:p>
        </w:tc>
        <w:tc>
          <w:tcPr>
            <w:tcW w:type="dxa" w:w="2520"/>
            <w:vAlign w:val="top"/>
          </w:tcPr>
          <w:p>
            <w:pPr>
              <w:spacing w:after="40"/>
            </w:pPr>
            <w:r/>
            <w:r>
              <w:rPr>
                <w:b w:val="0"/>
                <w:sz w:val="19"/>
              </w:rPr>
              <w:t>Notebook 02</w:t>
            </w:r>
          </w:p>
        </w:tc>
        <w:tc>
          <w:tcPr>
            <w:tcW w:type="dxa" w:w="2520"/>
            <w:vAlign w:val="top"/>
          </w:tcPr>
          <w:p>
            <w:pPr>
              <w:spacing w:after="40"/>
            </w:pPr>
            <w:r/>
            <w:r>
              <w:rPr>
                <w:b w:val="0"/>
                <w:sz w:val="19"/>
              </w:rPr>
              <w:t>индивидуальная практика</w:t>
            </w:r>
          </w:p>
        </w:tc>
        <w:tc>
          <w:tcPr>
            <w:tcW w:type="dxa" w:w="2520"/>
            <w:vAlign w:val="top"/>
          </w:tcPr>
          <w:p>
            <w:pPr>
              <w:spacing w:after="40"/>
            </w:pPr>
            <w:r/>
            <w:r>
              <w:rPr>
                <w:b w:val="0"/>
                <w:sz w:val="19"/>
              </w:rPr>
              <w:t>histogram, boxplot, scatter, ticks, масштаб</w:t>
            </w:r>
          </w:p>
        </w:tc>
      </w:tr>
      <w:tr>
        <w:tc>
          <w:tcPr>
            <w:tcW w:type="dxa" w:w="2520"/>
            <w:vAlign w:val="top"/>
          </w:tcPr>
          <w:p>
            <w:pPr>
              <w:spacing w:after="40"/>
            </w:pPr>
            <w:r/>
            <w:r>
              <w:rPr>
                <w:b w:val="0"/>
                <w:sz w:val="19"/>
              </w:rPr>
              <w:t>13:10–14:00</w:t>
            </w:r>
          </w:p>
        </w:tc>
        <w:tc>
          <w:tcPr>
            <w:tcW w:type="dxa" w:w="2520"/>
            <w:vAlign w:val="top"/>
          </w:tcPr>
          <w:p>
            <w:pPr>
              <w:spacing w:after="40"/>
            </w:pPr>
            <w:r/>
            <w:r>
              <w:rPr>
                <w:b w:val="0"/>
                <w:sz w:val="19"/>
              </w:rPr>
              <w:t>Перерыв</w:t>
            </w:r>
          </w:p>
        </w:tc>
        <w:tc>
          <w:tcPr>
            <w:tcW w:type="dxa" w:w="2520"/>
            <w:vAlign w:val="top"/>
          </w:tcPr>
          <w:p>
            <w:pPr>
              <w:spacing w:after="40"/>
            </w:pPr>
            <w:r/>
            <w:r>
              <w:rPr>
                <w:b w:val="0"/>
                <w:sz w:val="19"/>
              </w:rPr>
              <w:t>—</w:t>
            </w:r>
          </w:p>
        </w:tc>
        <w:tc>
          <w:tcPr>
            <w:tcW w:type="dxa" w:w="2520"/>
            <w:vAlign w:val="top"/>
          </w:tcPr>
          <w:p>
            <w:pPr>
              <w:spacing w:after="40"/>
            </w:pPr>
            <w:r/>
            <w:r>
              <w:rPr>
                <w:b w:val="0"/>
                <w:sz w:val="19"/>
              </w:rPr>
              <w:t>обед</w:t>
            </w:r>
          </w:p>
        </w:tc>
      </w:tr>
      <w:tr>
        <w:tc>
          <w:tcPr>
            <w:tcW w:type="dxa" w:w="2520"/>
            <w:vAlign w:val="top"/>
          </w:tcPr>
          <w:p>
            <w:pPr>
              <w:spacing w:after="40"/>
            </w:pPr>
            <w:r/>
            <w:r>
              <w:rPr>
                <w:b w:val="0"/>
                <w:sz w:val="19"/>
              </w:rPr>
              <w:t>14:00–15:20</w:t>
            </w:r>
          </w:p>
        </w:tc>
        <w:tc>
          <w:tcPr>
            <w:tcW w:type="dxa" w:w="2520"/>
            <w:vAlign w:val="top"/>
          </w:tcPr>
          <w:p>
            <w:pPr>
              <w:spacing w:after="40"/>
            </w:pPr>
            <w:r/>
            <w:r>
              <w:rPr>
                <w:b w:val="0"/>
                <w:sz w:val="19"/>
              </w:rPr>
              <w:t>Notebook 03</w:t>
            </w:r>
          </w:p>
        </w:tc>
        <w:tc>
          <w:tcPr>
            <w:tcW w:type="dxa" w:w="2520"/>
            <w:vAlign w:val="top"/>
          </w:tcPr>
          <w:p>
            <w:pPr>
              <w:spacing w:after="40"/>
            </w:pPr>
            <w:r/>
            <w:r>
              <w:rPr>
                <w:b w:val="0"/>
                <w:sz w:val="19"/>
              </w:rPr>
              <w:t>демонстрация + практика</w:t>
            </w:r>
          </w:p>
        </w:tc>
        <w:tc>
          <w:tcPr>
            <w:tcW w:type="dxa" w:w="2520"/>
            <w:vAlign w:val="top"/>
          </w:tcPr>
          <w:p>
            <w:pPr>
              <w:spacing w:after="40"/>
            </w:pPr>
            <w:r/>
            <w:r>
              <w:rPr>
                <w:b w:val="0"/>
                <w:sz w:val="19"/>
              </w:rPr>
              <w:t>Seaborn для EDA</w:t>
            </w:r>
          </w:p>
        </w:tc>
      </w:tr>
      <w:tr>
        <w:tc>
          <w:tcPr>
            <w:tcW w:type="dxa" w:w="2520"/>
            <w:vAlign w:val="top"/>
          </w:tcPr>
          <w:p>
            <w:pPr>
              <w:spacing w:after="40"/>
            </w:pPr>
            <w:r/>
            <w:r>
              <w:rPr>
                <w:b w:val="0"/>
                <w:sz w:val="19"/>
              </w:rPr>
              <w:t>15:20–15:30</w:t>
            </w:r>
          </w:p>
        </w:tc>
        <w:tc>
          <w:tcPr>
            <w:tcW w:type="dxa" w:w="2520"/>
            <w:vAlign w:val="top"/>
          </w:tcPr>
          <w:p>
            <w:pPr>
              <w:spacing w:after="40"/>
            </w:pPr>
            <w:r/>
            <w:r>
              <w:rPr>
                <w:b w:val="0"/>
                <w:sz w:val="19"/>
              </w:rPr>
              <w:t>Перерыв</w:t>
            </w:r>
          </w:p>
        </w:tc>
        <w:tc>
          <w:tcPr>
            <w:tcW w:type="dxa" w:w="2520"/>
            <w:vAlign w:val="top"/>
          </w:tcPr>
          <w:p>
            <w:pPr>
              <w:spacing w:after="40"/>
            </w:pPr>
            <w:r/>
            <w:r>
              <w:rPr>
                <w:b w:val="0"/>
                <w:sz w:val="19"/>
              </w:rPr>
              <w:t>—</w:t>
            </w:r>
          </w:p>
        </w:tc>
        <w:tc>
          <w:tcPr>
            <w:tcW w:type="dxa" w:w="2520"/>
            <w:vAlign w:val="top"/>
          </w:tcPr>
          <w:p>
            <w:pPr>
              <w:spacing w:after="40"/>
            </w:pPr>
            <w:r/>
            <w:r>
              <w:rPr>
                <w:b w:val="0"/>
                <w:sz w:val="19"/>
              </w:rPr>
              <w:t>переключение</w:t>
            </w:r>
          </w:p>
        </w:tc>
      </w:tr>
      <w:tr>
        <w:tc>
          <w:tcPr>
            <w:tcW w:type="dxa" w:w="2520"/>
            <w:vAlign w:val="top"/>
          </w:tcPr>
          <w:p>
            <w:pPr>
              <w:spacing w:after="40"/>
            </w:pPr>
            <w:r/>
            <w:r>
              <w:rPr>
                <w:b w:val="0"/>
                <w:sz w:val="19"/>
              </w:rPr>
              <w:t>15:30–15:40</w:t>
            </w:r>
          </w:p>
        </w:tc>
        <w:tc>
          <w:tcPr>
            <w:tcW w:type="dxa" w:w="2520"/>
            <w:vAlign w:val="top"/>
          </w:tcPr>
          <w:p>
            <w:pPr>
              <w:spacing w:after="40"/>
            </w:pPr>
            <w:r/>
            <w:r>
              <w:rPr>
                <w:b w:val="0"/>
                <w:sz w:val="19"/>
              </w:rPr>
              <w:t>Python и R</w:t>
            </w:r>
          </w:p>
        </w:tc>
        <w:tc>
          <w:tcPr>
            <w:tcW w:type="dxa" w:w="2520"/>
            <w:vAlign w:val="top"/>
          </w:tcPr>
          <w:p>
            <w:pPr>
              <w:spacing w:after="40"/>
            </w:pPr>
            <w:r/>
            <w:r>
              <w:rPr>
                <w:b w:val="0"/>
                <w:sz w:val="19"/>
              </w:rPr>
              <w:t>обзорный слайд</w:t>
            </w:r>
          </w:p>
        </w:tc>
        <w:tc>
          <w:tcPr>
            <w:tcW w:type="dxa" w:w="2520"/>
            <w:vAlign w:val="top"/>
          </w:tcPr>
          <w:p>
            <w:pPr>
              <w:spacing w:after="40"/>
            </w:pPr>
            <w:r/>
            <w:r>
              <w:rPr>
                <w:b w:val="0"/>
                <w:sz w:val="19"/>
              </w:rPr>
              <w:t>формальное покрытие R без hands-on</w:t>
            </w:r>
          </w:p>
        </w:tc>
      </w:tr>
      <w:tr>
        <w:tc>
          <w:tcPr>
            <w:tcW w:type="dxa" w:w="2520"/>
            <w:vAlign w:val="top"/>
          </w:tcPr>
          <w:p>
            <w:pPr>
              <w:spacing w:after="40"/>
            </w:pPr>
            <w:r/>
            <w:r>
              <w:rPr>
                <w:b w:val="0"/>
                <w:sz w:val="19"/>
              </w:rPr>
              <w:t>15:40–16:00</w:t>
            </w:r>
          </w:p>
        </w:tc>
        <w:tc>
          <w:tcPr>
            <w:tcW w:type="dxa" w:w="2520"/>
            <w:vAlign w:val="top"/>
          </w:tcPr>
          <w:p>
            <w:pPr>
              <w:spacing w:after="40"/>
            </w:pPr>
            <w:r/>
            <w:r>
              <w:rPr>
                <w:b w:val="0"/>
                <w:sz w:val="19"/>
              </w:rPr>
              <w:t>Как испортить график</w:t>
            </w:r>
          </w:p>
        </w:tc>
        <w:tc>
          <w:tcPr>
            <w:tcW w:type="dxa" w:w="2520"/>
            <w:vAlign w:val="top"/>
          </w:tcPr>
          <w:p>
            <w:pPr>
              <w:spacing w:after="40"/>
            </w:pPr>
            <w:r/>
            <w:r>
              <w:rPr>
                <w:b w:val="0"/>
                <w:sz w:val="19"/>
              </w:rPr>
              <w:t>групповая диагностика</w:t>
            </w:r>
          </w:p>
        </w:tc>
        <w:tc>
          <w:tcPr>
            <w:tcW w:type="dxa" w:w="2520"/>
            <w:vAlign w:val="top"/>
          </w:tcPr>
          <w:p>
            <w:pPr>
              <w:spacing w:after="40"/>
            </w:pPr>
            <w:r/>
            <w:r>
              <w:rPr>
                <w:b w:val="0"/>
                <w:sz w:val="19"/>
              </w:rPr>
              <w:t>чек-лист качества</w:t>
            </w:r>
          </w:p>
        </w:tc>
      </w:tr>
      <w:tr>
        <w:tc>
          <w:tcPr>
            <w:tcW w:type="dxa" w:w="2520"/>
            <w:vAlign w:val="top"/>
          </w:tcPr>
          <w:p>
            <w:pPr>
              <w:spacing w:after="40"/>
            </w:pPr>
            <w:r/>
            <w:r>
              <w:rPr>
                <w:b w:val="0"/>
                <w:sz w:val="19"/>
              </w:rPr>
              <w:t>16:00–17:00</w:t>
            </w:r>
          </w:p>
        </w:tc>
        <w:tc>
          <w:tcPr>
            <w:tcW w:type="dxa" w:w="2520"/>
            <w:vAlign w:val="top"/>
          </w:tcPr>
          <w:p>
            <w:pPr>
              <w:spacing w:after="40"/>
            </w:pPr>
            <w:r/>
            <w:r>
              <w:rPr>
                <w:b w:val="0"/>
                <w:sz w:val="19"/>
              </w:rPr>
              <w:t>Notebook 04</w:t>
            </w:r>
          </w:p>
        </w:tc>
        <w:tc>
          <w:tcPr>
            <w:tcW w:type="dxa" w:w="2520"/>
            <w:vAlign w:val="top"/>
          </w:tcPr>
          <w:p>
            <w:pPr>
              <w:spacing w:after="40"/>
            </w:pPr>
            <w:r/>
            <w:r>
              <w:rPr>
                <w:b w:val="0"/>
                <w:sz w:val="19"/>
              </w:rPr>
              <w:t>самостоятельный кейс</w:t>
            </w:r>
          </w:p>
        </w:tc>
        <w:tc>
          <w:tcPr>
            <w:tcW w:type="dxa" w:w="2520"/>
            <w:vAlign w:val="top"/>
          </w:tcPr>
          <w:p>
            <w:pPr>
              <w:spacing w:after="40"/>
            </w:pPr>
            <w:r/>
            <w:r>
              <w:rPr>
                <w:b w:val="0"/>
                <w:sz w:val="19"/>
              </w:rPr>
              <w:t>5+ графиков и выводы</w:t>
            </w:r>
          </w:p>
        </w:tc>
      </w:tr>
      <w:tr>
        <w:tc>
          <w:tcPr>
            <w:tcW w:type="dxa" w:w="2520"/>
            <w:vAlign w:val="top"/>
          </w:tcPr>
          <w:p>
            <w:pPr>
              <w:spacing w:after="40"/>
            </w:pPr>
            <w:r/>
            <w:r>
              <w:rPr>
                <w:b w:val="0"/>
                <w:sz w:val="19"/>
              </w:rPr>
              <w:t>17:00–17:10</w:t>
            </w:r>
          </w:p>
        </w:tc>
        <w:tc>
          <w:tcPr>
            <w:tcW w:type="dxa" w:w="2520"/>
            <w:vAlign w:val="top"/>
          </w:tcPr>
          <w:p>
            <w:pPr>
              <w:spacing w:after="40"/>
            </w:pPr>
            <w:r/>
            <w:r>
              <w:rPr>
                <w:b w:val="0"/>
                <w:sz w:val="19"/>
              </w:rPr>
              <w:t>Финальный разбор</w:t>
            </w:r>
          </w:p>
        </w:tc>
        <w:tc>
          <w:tcPr>
            <w:tcW w:type="dxa" w:w="2520"/>
            <w:vAlign w:val="top"/>
          </w:tcPr>
          <w:p>
            <w:pPr>
              <w:spacing w:after="40"/>
            </w:pPr>
            <w:r/>
            <w:r>
              <w:rPr>
                <w:b w:val="0"/>
                <w:sz w:val="19"/>
              </w:rPr>
              <w:t>рефлексия</w:t>
            </w:r>
          </w:p>
        </w:tc>
        <w:tc>
          <w:tcPr>
            <w:tcW w:type="dxa" w:w="2520"/>
            <w:vAlign w:val="top"/>
          </w:tcPr>
          <w:p>
            <w:pPr>
              <w:spacing w:after="40"/>
            </w:pPr>
            <w:r/>
            <w:r>
              <w:rPr>
                <w:b w:val="0"/>
                <w:sz w:val="19"/>
              </w:rPr>
              <w:t>перенос в итоговую работу</w:t>
            </w:r>
          </w:p>
        </w:tc>
      </w:tr>
    </w:tbl>
    <w:p>
      <w:pPr>
        <w:pStyle w:val="Heading1"/>
      </w:pPr>
      <w:r>
        <w:t>3. Речь и методические комментарии по презентации</w:t>
      </w:r>
    </w:p>
    <w:p>
      <w:r>
        <w:t>Ниже приведен текст, который можно использовать как основу устного объяснения. Формулировки не обязательно читать дословно: лучше сохранять смысл и адаптировать темп под аудиторию.</w:t>
      </w:r>
    </w:p>
    <w:p>
      <w:pPr>
        <w:pStyle w:val="Heading2"/>
      </w:pPr>
      <w:r>
        <w:t>Слайд 1. Первичная визуализация данных</w:t>
      </w:r>
    </w:p>
    <w:p>
      <w:pPr>
        <w:spacing w:after="100"/>
      </w:pPr>
      <w:r>
        <w:t>Коллеги, сегодня мы будем говорить не о графиках как о декоративной части отчета, а о графиках как о способе доказательно отвечать на аналитические вопросы. Визуализация в работе аналитика нужна не для того, чтобы «сделать красиво», а чтобы увидеть структуру данных, проверить гипотезу, обнаружить ошибку, сравнить группы и объяснить вывод человеку, который не смотрит в код. Практический стек сегодня — Python, pandas, Matplotlib и Seaborn. R мы обозначим обзорно, потому что в расписании тема присутствует, но в практикуме фокус оставляем на Python как на основном рабочем инструменте.</w:t>
      </w:r>
    </w:p>
    <w:p>
      <w:pPr>
        <w:pStyle w:val="Heading2"/>
      </w:pPr>
      <w:r>
        <w:t>Слайд 2. Маршрут занятия</w:t>
      </w:r>
    </w:p>
    <w:p>
      <w:pPr>
        <w:spacing w:after="100"/>
      </w:pPr>
      <w:r>
        <w:t>День построен от простого к самостоятельному кейсу. Сначала быстро проверим, как вы различаете типы графиков. Затем разберем базовые визуализации, углубимся в Matplotlib, отдельно посмотрим на EDA через Seaborn, коротко проговорим место R и завершим самостоятельной работой. Важная договоренность: если у кого-то не запускается среда, это не останавливает занятие. У нас есть локальные данные, проверочные скрипты и резервные PNG-графики.</w:t>
      </w:r>
    </w:p>
    <w:p>
      <w:pPr>
        <w:pStyle w:val="Heading2"/>
      </w:pPr>
      <w:r>
        <w:t>Слайд 3. Что должен уметь аналитик после занятия</w:t>
      </w:r>
    </w:p>
    <w:p>
      <w:pPr>
        <w:spacing w:after="100"/>
      </w:pPr>
      <w:r>
        <w:t>Результат занятия измеряется не количеством запущенных ячеек. В конце вы должны уметь объяснить: почему выбран именно этот график, какие данные лежат на осях, на какой гранулярности выполнена агрегация, что показывает визуализация и где заканчиваются допустимые выводы. Минимальный практический результат — пять графиков, пять выводов и явные ограничения по ключевым выводам.</w:t>
      </w:r>
    </w:p>
    <w:p>
      <w:pPr>
        <w:pStyle w:val="Heading2"/>
      </w:pPr>
      <w:r>
        <w:t>Слайд 4. График начинается не с plt.show()</w:t>
      </w:r>
    </w:p>
    <w:p>
      <w:pPr>
        <w:spacing w:after="100"/>
      </w:pPr>
      <w:r>
        <w:t>Типичная ошибка новичка — начинать с команды построения графика. Правильная последовательность другая: сначала вопрос, потом данные, потом агрегация, потом график и только после этого вывод. Если вопрос не сформулирован, график будет случайным. Если гранулярность выбрана неверно, график может быть технически красивым, но аналитически неправильным.</w:t>
      </w:r>
    </w:p>
    <w:p>
      <w:pPr>
        <w:pStyle w:val="Heading2"/>
      </w:pPr>
      <w:r>
        <w:t>Слайд 5. Карта выбора графика</w:t>
      </w:r>
    </w:p>
    <w:p>
      <w:pPr>
        <w:spacing w:after="100"/>
      </w:pPr>
      <w:r>
        <w:t>Тип графика выбирается не по вкусу, а по типу вопроса. Изменение во времени — линия. Сравнение категорий — столбцы. Распределение числового показателя — гистограмма или boxplot. Связь двух числовых признаков — scatter. Матрица связей — heatmap. Это не жесткая таблица на всю жизнь, но хороший стартовый фильтр для начинающего аналитика.</w:t>
      </w:r>
    </w:p>
    <w:p>
      <w:pPr>
        <w:pStyle w:val="Heading2"/>
      </w:pPr>
      <w:r>
        <w:t>Слайд 6. Бизнес-кейс «РегионМаркет»</w:t>
      </w:r>
    </w:p>
    <w:p>
      <w:pPr>
        <w:spacing w:after="100"/>
      </w:pPr>
      <w:r>
        <w:t>Все практические задания построены на одном синтетическом кейсе. Это важно: мы не будем каждый раз тратить время на новый контекст, а будем углублять работу с одним набором данных. В датасете есть регионы, категории, каналы продаж, типы клиентов, выручка, прибыль, скидка, доставка и оценка клиента. Raw-версия содержит контролируемые проблемы качества, prepared-версия используется для основной визуализации.</w:t>
      </w:r>
    </w:p>
    <w:p>
      <w:pPr>
        <w:pStyle w:val="Heading2"/>
      </w:pPr>
      <w:r>
        <w:t>Слайд 7. Почему график требует проверки данных</w:t>
      </w:r>
    </w:p>
    <w:p>
      <w:pPr>
        <w:spacing w:after="100"/>
      </w:pPr>
      <w:r>
        <w:t>График не умеет сам отличать бизнес-событие от ошибки данных. Если дата не распознана, точка может исчезнуть. Если есть дубликаты, сумма выручки будет завышена. Если число прочитано как текст, график может вести себя неожиданно. Поэтому перед визуализацией нужен короткий контроль: размер таблицы, типы, пропуски, дубликаты и определение метрики.</w:t>
      </w:r>
    </w:p>
    <w:p>
      <w:pPr>
        <w:pStyle w:val="Heading2"/>
      </w:pPr>
      <w:r>
        <w:t>Слайд 8. Line chart</w:t>
      </w:r>
    </w:p>
    <w:p>
      <w:pPr>
        <w:spacing w:after="100"/>
      </w:pPr>
      <w:r>
        <w:t>Линейный график подходит там, где ось X имеет естественный порядок. Чаще всего это дата или период. Вопрос к слушателям: что означает одна точка на этой линии? Если ответ — «не знаю», значит график пока не готов. Точка может означать сумму за день, сумму за месяц или отдельный заказ. Это принципиально разные уровни анализа.</w:t>
      </w:r>
    </w:p>
    <w:p>
      <w:pPr>
        <w:pStyle w:val="Heading2"/>
      </w:pPr>
      <w:r>
        <w:t>Слайд 9. Читаемые даты и деления</w:t>
      </w:r>
    </w:p>
    <w:p>
      <w:pPr>
        <w:spacing w:after="100"/>
      </w:pPr>
      <w:r>
        <w:t>На временном графике недостаточно просто вывести линию. Нужно, чтобы слушатель или руководитель мог понять, к какой дате относится каждая точка. Поэтому мы отдельно настраиваем основные деления, дополнительные деления, поворот подписей и масштаб по Y. Этот блок особенно важен для ваших будущих отчетов: график без читаемой оси превращается в иллюстрацию без доказательной силы.</w:t>
      </w:r>
    </w:p>
    <w:p>
      <w:pPr>
        <w:pStyle w:val="Heading2"/>
      </w:pPr>
      <w:r>
        <w:t>Слайд 10. Bar chart</w:t>
      </w:r>
    </w:p>
    <w:p>
      <w:pPr>
        <w:spacing w:after="100"/>
      </w:pPr>
      <w:r>
        <w:t>Столбчатая диаграмма сравнивает категории. Здесь важно сортировать категории, подписывать единицы измерения и не перегружать график. Отдельный риск — обрезанная шкала. Для столбцов нулевая база часто критична, потому что высота столбца воспринимается как величина. Если вы обрезали ось, визуальная разница может стать гораздо сильнее фактической.</w:t>
      </w:r>
    </w:p>
    <w:p>
      <w:pPr>
        <w:pStyle w:val="Heading2"/>
      </w:pPr>
      <w:r>
        <w:t>Слайд 11. Histogram</w:t>
      </w:r>
    </w:p>
    <w:p>
      <w:pPr>
        <w:spacing w:after="100"/>
      </w:pPr>
      <w:r>
        <w:t>Гистограмма отвечает на вопрос о распределении одной числовой переменной. Например: как распределены чеки? Где основная масса заказов? Есть ли длинный хвост? Но важно помнить, что количество интервалов влияет на форму графика. Поэтому сильные выводы только по одной гистограмме делать рискованно: лучше дополнить ее описательной статистикой или boxplot.</w:t>
      </w:r>
    </w:p>
    <w:p>
      <w:pPr>
        <w:pStyle w:val="Heading2"/>
      </w:pPr>
      <w:r>
        <w:t>Слайд 12. Boxplot</w:t>
      </w:r>
    </w:p>
    <w:p>
      <w:pPr>
        <w:spacing w:after="100"/>
      </w:pPr>
      <w:r>
        <w:t>Boxplot компактно показывает медиану, межквартильный интервал, разброс и выбросы. Это хороший инструмент для сравнения групп. Например, можно сравнить выручку по категориям или типам клиентов. Важно: точка за пределами усов — не обязательно ошибка. Это сигнал для проверки. Иногда это действительно аномальный заказ, а иногда просто редкое, но корректное наблюдение.</w:t>
      </w:r>
    </w:p>
    <w:p>
      <w:pPr>
        <w:pStyle w:val="Heading2"/>
      </w:pPr>
      <w:r>
        <w:t>Слайд 13. Scatter</w:t>
      </w:r>
    </w:p>
    <w:p>
      <w:pPr>
        <w:spacing w:after="100"/>
      </w:pPr>
      <w:r>
        <w:t>Scatter показывает связь двух числовых признаков. Одна точка — одно наблюдение, например заказ. Координаты точки — два показателя. Цвет можно использовать для сегмента, но только если он помогает ответить на вопрос. Главное ограничение: scatter показывает совместное изменение, но не доказывает причинность.</w:t>
      </w:r>
    </w:p>
    <w:p>
      <w:pPr>
        <w:pStyle w:val="Heading2"/>
      </w:pPr>
      <w:r>
        <w:t>Слайд 14. Корреляция и причинность</w:t>
      </w:r>
    </w:p>
    <w:p>
      <w:pPr>
        <w:spacing w:after="100"/>
      </w:pPr>
      <w:r>
        <w:t>Корреляционная матрица полезна на этапе разведочного анализа, но ее легко переинтерпретировать. Если мы видим отрицательную связь между сроком доставки и оценкой клиента, корректная формулировка такая: в данных наблюдается отрицательная связь. Некорректная формулировка: доставка доказанно вызывает снижение оценки. Для причинного вывода нужен другой дизайн проверки.</w:t>
      </w:r>
    </w:p>
    <w:p>
      <w:pPr>
        <w:pStyle w:val="Heading2"/>
      </w:pPr>
      <w:r>
        <w:t>Слайд 15. Гранулярность</w:t>
      </w:r>
    </w:p>
    <w:p>
      <w:pPr>
        <w:spacing w:after="100"/>
      </w:pPr>
      <w:r>
        <w:t>Гранулярность — один из самых важных терминов занятия. Нужно понимать, что является строкой: заказ, клиент, день, месяц или регион. Если мы группируем данные по месяцам, одна точка уже означает месяц, а не заказ. Если считаем count строк, это не всегда число уникальных клиентов. Ошибки гранулярности — один из самых частых источников ложных визуальных выводов.</w:t>
      </w:r>
    </w:p>
    <w:p>
      <w:pPr>
        <w:pStyle w:val="Heading2"/>
      </w:pPr>
      <w:r>
        <w:t>Слайд 16. Matplotlib: Figure и Axes</w:t>
      </w:r>
    </w:p>
    <w:p>
      <w:pPr>
        <w:spacing w:after="100"/>
      </w:pPr>
      <w:r>
        <w:t>В Matplotlib полезно использовать объектный подход. Figure — это вся область рисунка, Axes — конкретная область графика. Когда вы пишете через ax, вам проще управлять заголовком, подписями, шкалами, сеткой и экспортом. Это особенно важно, когда график нужно не просто показать в ноутбуке, а довести до состояния, пригодного для отчета.</w:t>
      </w:r>
    </w:p>
    <w:p>
      <w:pPr>
        <w:pStyle w:val="Heading2"/>
      </w:pPr>
      <w:r>
        <w:t>Слайд 17. Оси и формат чисел</w:t>
      </w:r>
    </w:p>
    <w:p>
      <w:pPr>
        <w:spacing w:after="100"/>
      </w:pPr>
      <w:r>
        <w:t>Минимальный набор для серьезного графика: заголовок, подпись X, подпись Y, читаемые деления, единицы измерения и аккуратная сетка. Если вы показываете деньги, укажите рубли или тысячи рублей. Если показываете дату, подписи должны быть читаемыми. Если шкала непонятна, вывод будет трудно проверить.</w:t>
      </w:r>
    </w:p>
    <w:p>
      <w:pPr>
        <w:pStyle w:val="Heading2"/>
      </w:pPr>
      <w:r>
        <w:t>Слайд 18. Обрезанная шкала</w:t>
      </w:r>
    </w:p>
    <w:p>
      <w:pPr>
        <w:spacing w:after="100"/>
      </w:pPr>
      <w:r>
        <w:t>Сейчас посмотрим на плохой и исправленный пример. Слева разница между регионами выглядит драматичнее, чем есть на самом деле, потому что шкала обрезана. Справа шкала начинается с нуля, и сравнение воспринимается честнее. Обсудим важную оговорку: для всех типов графиков нулевая база не обязательна, но для столбцов это очень часто необходимое условие корректного восприятия.</w:t>
      </w:r>
    </w:p>
    <w:p>
      <w:pPr>
        <w:pStyle w:val="Heading2"/>
      </w:pPr>
      <w:r>
        <w:t>Слайд 19. Подписи и аннотации</w:t>
      </w:r>
    </w:p>
    <w:p>
      <w:pPr>
        <w:spacing w:after="100"/>
      </w:pPr>
      <w:r>
        <w:t>Подписи и аннотации нужны не для красоты, а для самостоятельности графика. Человек, который видит график в отчете, не должен искать рядом код, чтобы понять, что измерено. Легенда нужна только если есть несколько групп. Аннотация нужна только если она помогает выделить важное наблюдение. Лишняя декоративность снижает аналитическую ясность.</w:t>
      </w:r>
    </w:p>
    <w:p>
      <w:pPr>
        <w:pStyle w:val="Heading2"/>
      </w:pPr>
      <w:r>
        <w:t>Слайд 20. Экспорт графиков</w:t>
      </w:r>
    </w:p>
    <w:p>
      <w:pPr>
        <w:spacing w:after="100"/>
      </w:pPr>
      <w:r>
        <w:t>График становится полноценным артефактом, когда его можно сохранить и передать. Поэтому мы создаем папку outputs, называем файлы понятно и используем savefig. Параметр dpi влияет на качество растрового PNG. Параметр bbox_inches помогает убрать лишние поля. Экспорт — это не мелочь, а часть воспроизводимого аналитического результата.</w:t>
      </w:r>
    </w:p>
    <w:p>
      <w:pPr>
        <w:pStyle w:val="Heading2"/>
      </w:pPr>
      <w:r>
        <w:t>Слайд 21. Seaborn для EDA</w:t>
      </w:r>
    </w:p>
    <w:p>
      <w:pPr>
        <w:spacing w:after="100"/>
      </w:pPr>
      <w:r>
        <w:t>Seaborn удобен как высокоуровневый слой для разведочного анализа. Он позволяет быстрее строить типовые статистические графики и хорошо работает с DataFrame. Но важно не превратить Seaborn в галерею красивых шаблонов. Для каждого графика сначала должен быть вопрос, а уже потом функция.</w:t>
      </w:r>
    </w:p>
    <w:p>
      <w:pPr>
        <w:pStyle w:val="Heading2"/>
      </w:pPr>
      <w:r>
        <w:t>Слайд 22. Распределение и сегменты</w:t>
      </w:r>
    </w:p>
    <w:p>
      <w:pPr>
        <w:spacing w:after="100"/>
      </w:pPr>
      <w:r>
        <w:t>Теперь смотрим не только на одно распределение, но и на сравнение сегментов. Например, отличается ли чек между типами клиентов? Здесь важно смотреть не только на центральное значение, но и на разброс. Иногда группа имеет высокий средний чек, но очень нестабильное распределение, и это важно для бизнес-интерпретации.</w:t>
      </w:r>
    </w:p>
    <w:p>
      <w:pPr>
        <w:pStyle w:val="Heading2"/>
      </w:pPr>
      <w:r>
        <w:t>Слайд 23. Связь и сегментация</w:t>
      </w:r>
    </w:p>
    <w:p>
      <w:pPr>
        <w:spacing w:after="100"/>
      </w:pPr>
      <w:r>
        <w:t>Цвет в scatter помогает добавить сегмент, но может и перегрузить график. Если сегментов слишком много, паттерн становится хуже виден. Поэтому каждый дополнительный визуальный слой должен отвечать на вопрос: какую информацию он добавляет? Если ответ неясен, слой лучше убрать.</w:t>
      </w:r>
    </w:p>
    <w:p>
      <w:pPr>
        <w:pStyle w:val="Heading2"/>
      </w:pPr>
      <w:r>
        <w:t>Слайд 24. Heatmap</w:t>
      </w:r>
    </w:p>
    <w:p>
      <w:pPr>
        <w:spacing w:after="100"/>
      </w:pPr>
      <w:r>
        <w:t>Heatmap корреляций полезна как обзорная карта связей между числовыми показателями. Но она легко превращается в декоративный ковер, если включить слишком много признаков без вопроса. Наша задача — выбрать содержательно релевантные числовые переменные и сформулировать осторожные выводы.</w:t>
      </w:r>
    </w:p>
    <w:p>
      <w:pPr>
        <w:pStyle w:val="Heading2"/>
      </w:pPr>
      <w:r>
        <w:t>Слайд 25. Python и R</w:t>
      </w:r>
    </w:p>
    <w:p>
      <w:pPr>
        <w:spacing w:after="100"/>
      </w:pPr>
      <w:r>
        <w:t>В расписании тема включает Python и R, поэтому мы коротко обозначаем R как отдельную статистическую экосистему, где известен подход ggplot2. Но в рамках сегодняшнего практикума не дублируем код на втором языке. Для нашей цели важнее освоить переносимый принцип: вопрос, данные, гранулярность, тип графика, читаемость и ограниченный вывод.</w:t>
      </w:r>
    </w:p>
    <w:p>
      <w:pPr>
        <w:pStyle w:val="Heading2"/>
      </w:pPr>
      <w:r>
        <w:t>Слайд 26. Чек-лист качества</w:t>
      </w:r>
    </w:p>
    <w:p>
      <w:pPr>
        <w:spacing w:after="100"/>
      </w:pPr>
      <w:r>
        <w:t>Перед вставкой графика в отчет пройдитесь по чек-листу. Есть ли вопрос? Правильная ли гранулярность? Подходит ли тип графика? Подписаны ли оси и единицы измерения? Читаются ли деления? Есть ли вывод и ограничение? Нет ли искажения шкалы? Этот чек-лист полезен и в итоговой работе.</w:t>
      </w:r>
    </w:p>
    <w:p>
      <w:pPr>
        <w:pStyle w:val="Heading2"/>
      </w:pPr>
      <w:r>
        <w:t>Слайд 27. Самостоятельный кейс</w:t>
      </w:r>
    </w:p>
    <w:p>
      <w:pPr>
        <w:spacing w:after="100"/>
      </w:pPr>
      <w:r>
        <w:t>В самостоятельном кейсе ваша задача — не повторить демонстрационный код, а принять собственные визуальные решения. Нужно построить минимум пять графиков, использовать разные типы визуализаций, для каждого графика указать вопрос и вывод, а ключевые изображения сохранить в outputs. Если застряли, начинайте не с кода, а с вопроса: что именно я хочу показать?</w:t>
      </w:r>
    </w:p>
    <w:p>
      <w:pPr>
        <w:pStyle w:val="Heading2"/>
      </w:pPr>
      <w:r>
        <w:t>Слайд 28. Как проверяем результат</w:t>
      </w:r>
    </w:p>
    <w:p>
      <w:pPr>
        <w:spacing w:after="100"/>
      </w:pPr>
      <w:r>
        <w:t>Критерии проверки простые: выбор графика, корректность данных и агрегации, читаемость, вывод и аккуратность масштаба. Здесь не оценивается художественный вкус. Оценивается профессиональная способность превратить данные в понятный, проверяемый аналитический аргумент.</w:t>
      </w:r>
    </w:p>
    <w:p>
      <w:pPr>
        <w:pStyle w:val="Heading2"/>
      </w:pPr>
      <w:r>
        <w:t>Слайд 29. Финальный разбор</w:t>
      </w:r>
    </w:p>
    <w:p>
      <w:pPr>
        <w:spacing w:after="100"/>
      </w:pPr>
      <w:r>
        <w:t>Сформулируем главное. Хороший график отвечает на вопрос. Тип графика выбирается по данным. Агрегация важнее красоты. Оси и подписи — это часть качества. Корреляция не равна причинности. В итоговой работе каждый график должен иметь смысл, подписи, вывод и ограничение.</w:t>
      </w:r>
    </w:p>
    <w:p>
      <w:pPr>
        <w:pStyle w:val="Heading2"/>
      </w:pPr>
      <w:r>
        <w:t>Слайд 30. Что открыть после презентации</w:t>
      </w:r>
    </w:p>
    <w:p>
      <w:pPr>
        <w:spacing w:after="100"/>
      </w:pPr>
      <w:r>
        <w:t>После презентации основная работа идет в ноутбуках. Открываем первый student-notebook, затем двигаемся по маршруту. Преподавательские решения нужны только для контроля и разбора, слушательские файлы не должны содержать готовые ответы. Handouts можно использовать как краткие подсказки во время самостоятельной работы.</w:t>
      </w:r>
    </w:p>
    <w:p>
      <w:pPr>
        <w:pStyle w:val="Heading1"/>
      </w:pPr>
      <w:r>
        <w:t>4. Инструкции по практическим блокам</w:t>
      </w:r>
    </w:p>
    <w:p>
      <w:pPr>
        <w:pStyle w:val="Heading2"/>
      </w:pPr>
      <w:r>
        <w:t>Notebook 01 — основы визуализации</w:t>
      </w:r>
    </w:p>
    <w:p>
      <w:pPr>
        <w:pStyle w:val="ListBullet"/>
      </w:pPr>
      <w:r>
        <w:t>Открыть student-notebook и проверить, что датасет найден относительным путем. Если файл не найден, сначала запустить env_check.py или показать путь к prepared CSV.</w:t>
      </w:r>
    </w:p>
    <w:p>
      <w:pPr>
        <w:pStyle w:val="ListBullet"/>
      </w:pPr>
      <w:r>
        <w:t>Перед построением первого графика спросить группу: «Какой вопрос мы сейчас задаем данным?» Затем показать groupby и объяснить, что без агрегации график не будет отвечать на вопрос.</w:t>
      </w:r>
    </w:p>
    <w:p>
      <w:pPr>
        <w:pStyle w:val="ListBullet"/>
      </w:pPr>
      <w:r>
        <w:t>После line chart попросить слушателей устно объяснить, что означает одна точка. После bar chart — какая категория лидирует и почему важно сортировать столбцы.</w:t>
      </w:r>
    </w:p>
    <w:p>
      <w:pPr>
        <w:pStyle w:val="Heading2"/>
      </w:pPr>
      <w:r>
        <w:t>Notebook 02 — Matplotlib глубже</w:t>
      </w:r>
    </w:p>
    <w:p>
      <w:pPr>
        <w:pStyle w:val="ListBullet"/>
      </w:pPr>
      <w:r>
        <w:t>Не превращать блок в перечень функций. Для каждого графика начинать с вопроса: распределение чеков, сравнение категорий, связь скидки и прибыли, прибыль по регионам.</w:t>
      </w:r>
    </w:p>
    <w:p>
      <w:pPr>
        <w:pStyle w:val="ListBullet"/>
      </w:pPr>
      <w:r>
        <w:t>Обязательно разобрать плохой пример с обрезанной шкалой. Сначала попросить группу найти проблему самостоятельно, потом показать исправленную версию.</w:t>
      </w:r>
    </w:p>
    <w:p>
      <w:pPr>
        <w:pStyle w:val="ListBullet"/>
      </w:pPr>
      <w:r>
        <w:t>Отдельно проговорить экспорт графиков: ожидаемый результат — не только картинка на экране, но и сохраненный файл в outputs.</w:t>
      </w:r>
    </w:p>
    <w:p>
      <w:pPr>
        <w:pStyle w:val="Heading2"/>
      </w:pPr>
      <w:r>
        <w:t>Notebook 03 — Seaborn для EDA</w:t>
      </w:r>
    </w:p>
    <w:p>
      <w:pPr>
        <w:pStyle w:val="ListBullet"/>
      </w:pPr>
      <w:r>
        <w:t>Показать, что Seaborn позволяет быстрее строить статистические визуализации, но аналитическая дисциплина остается той же.</w:t>
      </w:r>
    </w:p>
    <w:p>
      <w:pPr>
        <w:pStyle w:val="ListBullet"/>
      </w:pPr>
      <w:r>
        <w:t>На heatmap запретить сильные причинные формулировки. Корректная фраза: «наблюдается связь», а не «одно вызывает другое».</w:t>
      </w:r>
    </w:p>
    <w:p>
      <w:pPr>
        <w:pStyle w:val="ListBullet"/>
      </w:pPr>
      <w:r>
        <w:t>Попросить каждого слушателя написать один вывод по графику и одно ограничение этого вывода.</w:t>
      </w:r>
    </w:p>
    <w:p>
      <w:pPr>
        <w:pStyle w:val="Heading2"/>
      </w:pPr>
      <w:r>
        <w:t>Notebook 04 — самостоятельный кейс</w:t>
      </w:r>
    </w:p>
    <w:p>
      <w:pPr>
        <w:pStyle w:val="ListBullet"/>
      </w:pPr>
      <w:r>
        <w:t>Не исправлять код за слушателя сразу. Сначала задавать уточняющий вопрос: «какой аналитический вопрос вы хотите показать?»</w:t>
      </w:r>
    </w:p>
    <w:p>
      <w:pPr>
        <w:pStyle w:val="ListBullet"/>
      </w:pPr>
      <w:r>
        <w:t>Если группа идет медленно, сократить количество дополнительных улучшений, но сохранить требование: минимум пять графиков и выводы.</w:t>
      </w:r>
    </w:p>
    <w:p>
      <w:pPr>
        <w:pStyle w:val="ListBullet"/>
      </w:pPr>
      <w:r>
        <w:t>Если группа сильнее, добавить требование сегментации по каналам продаж или типам клиентов и попросить объяснить, не перегружает ли это график.</w:t>
      </w:r>
    </w:p>
    <w:p>
      <w:pPr>
        <w:pStyle w:val="Heading1"/>
      </w:pPr>
      <w:r>
        <w:t>5. Вопросы для аудитории</w:t>
      </w:r>
    </w:p>
    <w:p>
      <w:pPr>
        <w:pStyle w:val="ListNumber"/>
      </w:pPr>
      <w:r>
        <w:t>Чем bar chart отличается от histogram по смыслу?</w:t>
      </w:r>
    </w:p>
    <w:p>
      <w:pPr>
        <w:pStyle w:val="ListNumber"/>
      </w:pPr>
      <w:r>
        <w:t>Что означает одна точка на line chart?</w:t>
      </w:r>
    </w:p>
    <w:p>
      <w:pPr>
        <w:pStyle w:val="ListNumber"/>
      </w:pPr>
      <w:r>
        <w:t>Почему scatter plot не доказывает причинность?</w:t>
      </w:r>
    </w:p>
    <w:p>
      <w:pPr>
        <w:pStyle w:val="ListNumber"/>
      </w:pPr>
      <w:r>
        <w:t>Как понять, что мы выбрали неверную гранулярность?</w:t>
      </w:r>
    </w:p>
    <w:p>
      <w:pPr>
        <w:pStyle w:val="ListNumber"/>
      </w:pPr>
      <w:r>
        <w:t>Когда легенда помогает, а когда мешает?</w:t>
      </w:r>
    </w:p>
    <w:p>
      <w:pPr>
        <w:pStyle w:val="ListNumber"/>
      </w:pPr>
      <w:r>
        <w:t>Какая ошибка опаснее: некрасивый график или неправильная агрегация?</w:t>
      </w:r>
    </w:p>
    <w:p>
      <w:pPr>
        <w:pStyle w:val="ListNumber"/>
      </w:pPr>
      <w:r>
        <w:t>Почему график без подписей осей нельзя считать готовым для отчета?</w:t>
      </w:r>
    </w:p>
    <w:p>
      <w:pPr>
        <w:pStyle w:val="Heading1"/>
      </w:pPr>
      <w:r>
        <w:t>6. Резервные сценарии</w:t>
      </w:r>
    </w:p>
    <w:p>
      <w:pPr>
        <w:pStyle w:val="ListBullet"/>
      </w:pPr>
      <w:r>
        <w:rPr>
          <w:b/>
        </w:rPr>
        <w:t xml:space="preserve">Нет Python у части слушателей: </w:t>
      </w:r>
      <w:r>
        <w:t>объединить слушателей в пары, дать работать с готовыми PNG и формулировкой выводов, затем вернуться к коду у тех, у кого среда готова.</w:t>
      </w:r>
    </w:p>
    <w:p>
      <w:pPr>
        <w:pStyle w:val="ListBullet"/>
      </w:pPr>
      <w:r>
        <w:rPr>
          <w:b/>
        </w:rPr>
        <w:t xml:space="preserve">Темп ниже ожидаемого: </w:t>
      </w:r>
      <w:r>
        <w:t>сократить расширенный heatmap-разбор, но сохранить самостоятельный кейс и финальный debrief.</w:t>
      </w:r>
    </w:p>
    <w:p>
      <w:pPr>
        <w:pStyle w:val="ListBullet"/>
      </w:pPr>
      <w:r>
        <w:rPr>
          <w:b/>
        </w:rPr>
        <w:t xml:space="preserve">Группа сильнее ожидаемого: </w:t>
      </w:r>
      <w:r>
        <w:t>добавить дополнительные сегменты по channel и customer_type, потребовать объяснить цену каждого визуального слоя.</w:t>
      </w:r>
    </w:p>
    <w:p>
      <w:pPr>
        <w:pStyle w:val="ListBullet"/>
      </w:pPr>
      <w:r>
        <w:rPr>
          <w:b/>
        </w:rPr>
        <w:t xml:space="preserve">Не открывается ноутбук: </w:t>
      </w:r>
      <w:r>
        <w:t>проверить папку запуска, относительные пути, requirements.txt и env_check.py; при необходимости показать эталонные графики из teacher/out.</w:t>
      </w:r>
    </w:p>
    <w:p>
      <w:pPr>
        <w:pStyle w:val="Heading1"/>
      </w:pPr>
      <w:r>
        <w:t>7. Финальная формула для закрытия занятия</w:t>
      </w:r>
    </w:p>
    <w:p>
      <w:pPr>
        <w:jc w:val="center"/>
      </w:pPr>
      <w:r>
        <w:rPr>
          <w:b/>
          <w:i/>
          <w:color w:val="2364AA"/>
          <w:sz w:val="28"/>
        </w:rPr>
        <w:t>Хороший график — это проверяемый ответ на аналитический вопрос, а не декоративная картинка.</w:t>
      </w:r>
    </w:p>
    <w:p>
      <w:r>
        <w:t>После этой фразы связать занятие с итоговой аналитической работой: каждый график в отчете должен иметь вопрос, корректную метрику, читаемую визуальную форму, интерпретацию и ограничение.</w:t>
      </w:r>
    </w:p>
    <w:p>
      <w:pPr>
        <w:pStyle w:val="Heading1"/>
      </w:pPr>
      <w:r>
        <w:t>8. Источники и опорные материалы</w:t>
      </w:r>
    </w:p>
    <w:p>
      <w:pPr>
        <w:pStyle w:val="ListBullet"/>
      </w:pPr>
      <w:r>
        <w:t>Локальный комплект занятия: groups/VNIIT_MSK5/2026-09-05_viz/README.md.</w:t>
      </w:r>
    </w:p>
    <w:p>
      <w:pPr>
        <w:pStyle w:val="ListBullet"/>
      </w:pPr>
      <w:r>
        <w:t>Локальный комплект занятия: teacher/scenario.md.</w:t>
      </w:r>
    </w:p>
    <w:p>
      <w:pPr>
        <w:pStyle w:val="ListBullet"/>
      </w:pPr>
      <w:r>
        <w:t>Локальный комплект занятия: student/chart_guide.md и student/quality_check.md.</w:t>
      </w:r>
    </w:p>
    <w:p>
      <w:pPr>
        <w:pStyle w:val="ListBullet"/>
      </w:pPr>
      <w:r>
        <w:t>Matplotlib documentation 3.11.1: comprehensive library for static, animated and interactive visualizations; pyplot.figure and pyplot.subplots are listed as top-level interfaces.</w:t>
      </w:r>
    </w:p>
    <w:p>
      <w:pPr>
        <w:pStyle w:val="ListBullet"/>
      </w:pPr>
      <w:r>
        <w:t>pandas package description on PyPI: pandas provides fast, flexible data structures for practical data analysis, with groupby, I/O and time-series functionality.</w:t>
      </w:r>
    </w:p>
    <w:p>
      <w:pPr>
        <w:pStyle w:val="ListBullet"/>
      </w:pPr>
      <w:r>
        <w:t>Seaborn documentation 0.13.2: seaborn is based on Matplotlib and provides a high-level interface for statistical graphics.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C76"/>
        <w:sz w:val="16"/>
      </w:rPr>
      <w:t>05.09.2026 · Визуализация данных · ВНИИТ Москва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B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4A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9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