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新疆维吾尔自治区伊宁县人民法院</w:t>
      </w:r>
    </w:p>
    <w:p>
      <w:pPr>
        <w:spacing w:line="360" w:lineRule="auto"/>
        <w:jc w:val="center"/>
      </w:pPr>
      <w:r>
        <w:rPr>
          <w:b w:val="false"/>
          <w:sz w:val="52"/>
        </w:rPr>
        <w:t>民 事 裁 定 书</w:t>
      </w:r>
    </w:p>
    <w:p>
      <w:pPr>
        <w:spacing w:line="360" w:lineRule="auto"/>
        <w:jc w:val="right"/>
      </w:pPr>
      <w:r>
        <w:rPr>
          <w:b w:val="false"/>
          <w:sz w:val="36"/>
        </w:rPr>
        <w:t>（2024）新4021民初4115号</w:t>
      </w:r>
    </w:p>
    <w:p>
      <w:pPr>
        <w:spacing w:line="360" w:lineRule="auto"/>
        <w:jc w:val="both"/>
      </w:pPr>
      <w:r>
        <w:rPr>
          <w:b w:val="false"/>
          <w:sz w:val="28"/>
        </w:rPr>
        <w:t>　　原告：王某，女，****年**月**日出生，住北京市**区。</w:t>
      </w:r>
    </w:p>
    <w:p>
      <w:pPr>
        <w:spacing w:line="360" w:lineRule="auto"/>
        <w:jc w:val="both"/>
      </w:pPr>
      <w:r>
        <w:rPr>
          <w:b w:val="false"/>
          <w:sz w:val="28"/>
        </w:rPr>
        <w:t>　　委托诉讼代理人：张常青，新疆仕诚律师事务所律师。</w:t>
      </w:r>
    </w:p>
    <w:p>
      <w:pPr>
        <w:spacing w:line="360" w:lineRule="auto"/>
        <w:jc w:val="both"/>
      </w:pPr>
      <w:r>
        <w:rPr>
          <w:b w:val="false"/>
          <w:sz w:val="28"/>
        </w:rPr>
        <w:t>　　被告：马某，男，****年**月**日出生，住新疆维吾尔自治区伊犁哈萨克自治州伊宁县。</w:t>
      </w:r>
    </w:p>
    <w:p>
      <w:pPr>
        <w:spacing w:line="360" w:lineRule="auto"/>
        <w:jc w:val="both"/>
      </w:pPr>
      <w:r>
        <w:rPr>
          <w:b w:val="false"/>
          <w:sz w:val="28"/>
        </w:rPr>
        <w:t>　　原告王某与被告马某不当得利纠纷一案，本院于2024年11月7日立案后，依法进行审理。</w:t>
      </w:r>
    </w:p>
    <w:p>
      <w:pPr>
        <w:spacing w:line="360" w:lineRule="auto"/>
        <w:jc w:val="both"/>
      </w:pPr>
      <w:r>
        <w:rPr>
          <w:b w:val="false"/>
          <w:sz w:val="28"/>
        </w:rPr>
        <w:t>　　王某向本院提出诉讼请求：1.判令被告向原告返还不当得利款项50，000元；2.本案诉讼费由被告承担。事实和理由：2023年，有个微信名叫古某的人找王某租房，两人经常聊天，渐渐相熟。10月份，王某想给自己配置点理财项目，遂让古某推荐给自己，古某将网络链接发给王某，王某注册登录后，跟客服沟通了一下，客服将被告马某的银行账户发给了王某，王某考虑了一段时间后，于10月23日过银行卡转账方式将50，000元转入马某的账户中。转款后王某发现数据未更新，客服核实后发现被告马某已与平台解除合作，王某转账时未及时与客服沟通，客服称钱款到达马某账户中而非平台。时间长了，很多记录都已经灭失，王某与马某并不相识，双方之间也无经济往来。原告王某认为被告马某获取利益无法律根据，其行为构成不当得利，为维护原告的合法权益，现诉至法院，请求判如所请。</w:t>
      </w:r>
    </w:p>
    <w:p>
      <w:pPr>
        <w:spacing w:line="360" w:lineRule="auto"/>
        <w:jc w:val="both"/>
      </w:pPr>
      <w:r>
        <w:rPr>
          <w:b w:val="false"/>
          <w:sz w:val="28"/>
        </w:rPr>
        <w:t>　　本院经审查认为，2023年10月20日前后，被告马某意图通过他人帮助其办理信用卡，并向他人邮寄提供个人银行卡。而王某在与微信名叫古某的人聊天过程中，渐渐相熟，古某推荐王某理网上投资理财项目，并向王某发送链接，王某在中信证券的网址注册登录后，客服向王某发送了马某的银行账号。2023年10月23日，王某向马某的银行账户转账50，000元，之后，王某意识到自己被骗，于是到山东省青岛市某分局报案，该局以王某被虚假投资理财诈骗案由立案侦查，并冻结马某的银行账户。王某被他人诈骗的50，000元钱属于先转入马某的账户中再转出，马某并未获得王某的该钱款。《最高人民法院关于适用〈中华人民共和国刑事诉讼法〉的解释》第一百七十六条规定：“被告人非法占有、处置被害人财产的，应当依法予以追缴或者责令退赔。被害人提起附带民事诉讼的，人民法院不予受理。追缴、退赔的情况，可以作为量刑情节考虑。”对诈骗王某钱财的犯罪分子的处理结果尚不明确，如何追缴、退赔金额尚不清楚。王某以不当得利为由提起民事诉讼，请求马某返还不当利50，000元，不属于民事诉讼的受理范围，依法应予以驳回。</w:t>
      </w:r>
    </w:p>
    <w:p>
      <w:pPr>
        <w:spacing w:line="360" w:lineRule="auto"/>
        <w:jc w:val="both"/>
      </w:pPr>
      <w:r>
        <w:rPr>
          <w:b w:val="false"/>
          <w:sz w:val="28"/>
        </w:rPr>
        <w:t>　　依照《中华人民共和国民事诉讼法》第一百二十二条第（四）项、第一百五十七条第一款第（三）项，《最高人民法院关于适用〈中华人民共和国民事诉讼法〉的解释》第二百零八条第三款规定，裁定如下：</w:t>
      </w:r>
    </w:p>
    <w:p>
      <w:pPr>
        <w:spacing w:line="360" w:lineRule="auto"/>
        <w:jc w:val="both"/>
      </w:pPr>
      <w:r>
        <w:rPr>
          <w:b w:val="false"/>
          <w:sz w:val="28"/>
        </w:rPr>
        <w:t>　　驳回原告王某的起诉。</w:t>
      </w:r>
    </w:p>
    <w:p>
      <w:pPr>
        <w:spacing w:line="360" w:lineRule="auto"/>
        <w:jc w:val="both"/>
      </w:pPr>
      <w:r>
        <w:rPr>
          <w:b w:val="false"/>
          <w:sz w:val="28"/>
        </w:rPr>
        <w:t>　　如不服本裁定，可以在裁定书送达之日起十日内，向本院递交上诉状，并按照对方当事人或者代表人的人数提出副本，上诉于新疆维吾尔自治区高级人民法院伊犁哈萨克自治州分院；也可以在裁定书送达之日起十日内，向新疆维吾尔自治区高级人民法院伊犁哈萨克自治州分院在线提交上诉状。</w:t>
      </w:r>
    </w:p>
    <w:p>
      <w:pPr>
        <w:spacing w:line="360" w:lineRule="auto"/>
        <w:jc w:val="both"/>
      </w:pPr>
      <w:r>
        <w:rPr>
          <w:b w:val="false"/>
          <w:sz w:val="28"/>
        </w:rPr>
        <w:t>　　审判员 王新安</w:t>
      </w:r>
    </w:p>
    <w:p>
      <w:pPr>
        <w:spacing w:line="360" w:lineRule="auto"/>
        <w:jc w:val="both"/>
      </w:pPr>
      <w:r>
        <w:rPr>
          <w:b w:val="false"/>
          <w:sz w:val="28"/>
        </w:rPr>
        <w:t>　　二〇二五年一月九日</w:t>
      </w:r>
    </w:p>
    <w:p>
      <w:pPr>
        <w:spacing w:line="360" w:lineRule="auto"/>
        <w:jc w:val="both"/>
      </w:pPr>
      <w:r>
        <w:rPr>
          <w:b w:val="false"/>
          <w:sz w:val="28"/>
        </w:rPr>
        <w:t>　　书记员 史亚琴</w:t>
      </w:r>
    </w:p>
    <w:p>
      <w:pPr>
        <w:spacing w:line="360" w:lineRule="auto"/>
        <w:jc w:val="both"/>
      </w:pPr>
      <w:r>
        <w:rPr>
          <w:b w:val="false"/>
          <w:sz w:val="28"/>
        </w:rPr>
        <w:t>　　法条：</w:t>
      </w:r>
    </w:p>
    <w:p>
      <w:pPr>
        <w:spacing w:line="360" w:lineRule="auto"/>
        <w:jc w:val="both"/>
      </w:pPr>
      <w:r>
        <w:rPr>
          <w:b w:val="false"/>
          <w:sz w:val="28"/>
        </w:rPr>
        <w:t>　　《中华人民共和国民事诉讼法》第一百二十二条起诉必须符合下列条件：</w:t>
      </w:r>
    </w:p>
    <w:p>
      <w:pPr>
        <w:spacing w:line="360" w:lineRule="auto"/>
        <w:jc w:val="both"/>
      </w:pPr>
      <w:r>
        <w:rPr>
          <w:b w:val="false"/>
          <w:sz w:val="28"/>
        </w:rPr>
        <w:t>　　（一）原告是与本案有直接利害关系的公民、法人和其他组织；</w:t>
      </w:r>
    </w:p>
    <w:p>
      <w:pPr>
        <w:spacing w:line="360" w:lineRule="auto"/>
        <w:jc w:val="both"/>
      </w:pPr>
      <w:r>
        <w:rPr>
          <w:b w:val="false"/>
          <w:sz w:val="28"/>
        </w:rPr>
        <w:t>　　（二）有明确的被告；</w:t>
      </w:r>
    </w:p>
    <w:p>
      <w:pPr>
        <w:spacing w:line="360" w:lineRule="auto"/>
        <w:jc w:val="both"/>
      </w:pPr>
      <w:r>
        <w:rPr>
          <w:b w:val="false"/>
          <w:sz w:val="28"/>
        </w:rPr>
        <w:t>　　（三）有具体的诉讼请求和事实、理由；</w:t>
      </w:r>
    </w:p>
    <w:p>
      <w:pPr>
        <w:spacing w:line="360" w:lineRule="auto"/>
        <w:jc w:val="both"/>
      </w:pPr>
      <w:r>
        <w:rPr>
          <w:b w:val="false"/>
          <w:sz w:val="28"/>
        </w:rPr>
        <w:t>　　（四）属于人民法院受理民事诉讼的范围和受诉人民法院管辖。</w:t>
      </w:r>
    </w:p>
    <w:p>
      <w:pPr>
        <w:spacing w:line="360" w:lineRule="auto"/>
        <w:jc w:val="both"/>
      </w:pPr>
      <w:r>
        <w:rPr>
          <w:b w:val="false"/>
          <w:sz w:val="28"/>
        </w:rPr>
        <w:t>　　第一百五十七条裁定适用于下列范围：</w:t>
      </w:r>
    </w:p>
    <w:p>
      <w:pPr>
        <w:spacing w:line="360" w:lineRule="auto"/>
        <w:jc w:val="both"/>
      </w:pPr>
      <w:r>
        <w:rPr>
          <w:b w:val="false"/>
          <w:sz w:val="28"/>
        </w:rPr>
        <w:t>　　（一）不予受理；</w:t>
      </w:r>
    </w:p>
    <w:p>
      <w:pPr>
        <w:spacing w:line="360" w:lineRule="auto"/>
        <w:jc w:val="both"/>
      </w:pPr>
      <w:r>
        <w:rPr>
          <w:b w:val="false"/>
          <w:sz w:val="28"/>
        </w:rPr>
        <w:t>　　（二）对管辖权有异议的；</w:t>
      </w:r>
    </w:p>
    <w:p>
      <w:pPr>
        <w:spacing w:line="360" w:lineRule="auto"/>
        <w:jc w:val="both"/>
      </w:pPr>
      <w:r>
        <w:rPr>
          <w:b w:val="false"/>
          <w:sz w:val="28"/>
        </w:rPr>
        <w:t>　　（三）驳回起诉；</w:t>
      </w:r>
    </w:p>
    <w:p>
      <w:pPr>
        <w:spacing w:line="360" w:lineRule="auto"/>
        <w:jc w:val="both"/>
      </w:pPr>
      <w:r>
        <w:rPr>
          <w:b w:val="false"/>
          <w:sz w:val="28"/>
        </w:rPr>
        <w:t>　　（四）保全和先予执行；</w:t>
      </w:r>
    </w:p>
    <w:p>
      <w:pPr>
        <w:spacing w:line="360" w:lineRule="auto"/>
        <w:jc w:val="both"/>
      </w:pPr>
      <w:r>
        <w:rPr>
          <w:b w:val="false"/>
          <w:sz w:val="28"/>
        </w:rPr>
        <w:t>　　（五）准许或者不准许撤诉；</w:t>
      </w:r>
    </w:p>
    <w:p>
      <w:pPr>
        <w:spacing w:line="360" w:lineRule="auto"/>
        <w:jc w:val="both"/>
      </w:pPr>
      <w:r>
        <w:rPr>
          <w:b w:val="false"/>
          <w:sz w:val="28"/>
        </w:rPr>
        <w:t>　　（六）中止或者终结诉讼；</w:t>
      </w:r>
    </w:p>
    <w:p>
      <w:pPr>
        <w:spacing w:line="360" w:lineRule="auto"/>
        <w:jc w:val="both"/>
      </w:pPr>
      <w:r>
        <w:rPr>
          <w:b w:val="false"/>
          <w:sz w:val="28"/>
        </w:rPr>
        <w:t>　　（七）补正判决书中的笔误；</w:t>
      </w:r>
    </w:p>
    <w:p>
      <w:pPr>
        <w:spacing w:line="360" w:lineRule="auto"/>
        <w:jc w:val="both"/>
      </w:pPr>
      <w:r>
        <w:rPr>
          <w:b w:val="false"/>
          <w:sz w:val="28"/>
        </w:rPr>
        <w:t>　　（八）中止或者终结执行；</w:t>
      </w:r>
    </w:p>
    <w:p>
      <w:pPr>
        <w:spacing w:line="360" w:lineRule="auto"/>
        <w:jc w:val="both"/>
      </w:pPr>
      <w:r>
        <w:rPr>
          <w:b w:val="false"/>
          <w:sz w:val="28"/>
        </w:rPr>
        <w:t>　　（九）撤销或者不予执行仲裁裁决；</w:t>
      </w:r>
    </w:p>
    <w:p>
      <w:pPr>
        <w:spacing w:line="360" w:lineRule="auto"/>
        <w:jc w:val="both"/>
      </w:pPr>
      <w:r>
        <w:rPr>
          <w:b w:val="false"/>
          <w:sz w:val="28"/>
        </w:rPr>
        <w:t>　　（十）不予执行公证机关赋予强制执行效力的债权文书；</w:t>
      </w:r>
    </w:p>
    <w:p>
      <w:pPr>
        <w:spacing w:line="360" w:lineRule="auto"/>
        <w:jc w:val="both"/>
      </w:pPr>
      <w:r>
        <w:rPr>
          <w:b w:val="false"/>
          <w:sz w:val="28"/>
        </w:rPr>
        <w:t>　　（十一）其他需要裁定解决的事项。</w:t>
      </w:r>
    </w:p>
    <w:p>
      <w:pPr>
        <w:spacing w:line="360" w:lineRule="auto"/>
        <w:jc w:val="both"/>
      </w:pPr>
      <w:r>
        <w:rPr>
          <w:b w:val="false"/>
          <w:sz w:val="28"/>
        </w:rPr>
        <w:t>　　对前款第一项至第三项裁定，可以上诉。</w:t>
      </w:r>
    </w:p>
    <w:p>
      <w:pPr>
        <w:spacing w:line="360" w:lineRule="auto"/>
        <w:jc w:val="both"/>
      </w:pPr>
      <w:r>
        <w:rPr>
          <w:b w:val="false"/>
          <w:sz w:val="28"/>
        </w:rPr>
        <w:t>　　裁定书应当写明裁定结果和作出该裁定的理由。裁定书由审判人员、书记员署名，加盖人民法院印章。口头裁定的，记入笔录。</w:t>
      </w:r>
    </w:p>
    <w:p>
      <w:pPr>
        <w:spacing w:line="360" w:lineRule="auto"/>
        <w:jc w:val="both"/>
      </w:pPr>
      <w:r>
        <w:rPr>
          <w:b w:val="false"/>
          <w:sz w:val="28"/>
        </w:rPr>
        <w:t>　　《最高人民法院关于适用〈中华人民共和国民事诉讼法〉的解释》第二百零八条人民法院接到当事人提交的民事起诉状时，对符合民事诉讼法第一百二十二条的规定，且不属于第一百二十七条规定情形的，应当登记立案；对当场不能判定是否符合起诉条件的，应当接收起诉材料，并出具注明收到日期的书面凭证。</w:t>
      </w:r>
    </w:p>
    <w:p>
      <w:pPr>
        <w:spacing w:line="360" w:lineRule="auto"/>
        <w:jc w:val="both"/>
      </w:pPr>
      <w:r>
        <w:rPr>
          <w:b w:val="false"/>
          <w:sz w:val="28"/>
        </w:rPr>
        <w:t>　　需要补充必要相关材料的，人民法院应当及时告知当事人。在补齐相关材料后，应当在七日内决定是否立案。</w:t>
      </w:r>
    </w:p>
    <w:p>
      <w:pPr>
        <w:spacing w:line="360" w:lineRule="auto"/>
        <w:jc w:val="both"/>
      </w:pPr>
      <w:r>
        <w:rPr>
          <w:b w:val="false"/>
          <w:sz w:val="28"/>
        </w:rPr>
        <w:t>　　立案后发现不符合起诉条件或者属于民事诉讼法第一百二十七条规定情形的，裁定驳回起诉。</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ca4d3fc76cc2b44892ebea&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