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系统架构设计企业级大模型克隆平台"/>
    <w:p>
      <w:pPr>
        <w:pStyle w:val="Heading1"/>
      </w:pPr>
      <w:r>
        <w:t xml:space="preserve">系统架构设计：企业级大模型克隆平台</w:t>
      </w:r>
    </w:p>
    <w:bookmarkStart w:id="20" w:name="核心设计原则"/>
    <w:p>
      <w:pPr>
        <w:pStyle w:val="Heading2"/>
      </w:pPr>
      <w:r>
        <w:t xml:space="preserve">1. 核心设计原则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松耦合 (Loosely Coupled)</w:t>
      </w:r>
      <w:r>
        <w:t xml:space="preserve">：各组件应通过定义良好的API进行通信，减少相互依赖，便于独立开发、部署和扩展。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高内聚 (High Cohesion)</w:t>
      </w:r>
      <w:r>
        <w:t xml:space="preserve">：每个微服务都应聚焦于一个明确的业务功能，例如模型推理、用户认证、日志记录等。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可观测性 (Observability)</w:t>
      </w:r>
      <w:r>
        <w:t xml:space="preserve">：系统必须提供详细的日志、指标和追踪信息，以便于监控、调试和性能优化。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安全性 (Security)</w:t>
      </w:r>
      <w:r>
        <w:t xml:space="preserve">：安全是设计的首要考虑因素，覆盖从用户认证到数据传输、模型访问的每一个环节。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可扩展性 (Scalability)</w:t>
      </w:r>
      <w:r>
        <w:t xml:space="preserve">：架构设计必须支持水平扩展，以应对不断增长的业务需求和并发量。</w:t>
      </w:r>
    </w:p>
    <w:bookmarkEnd w:id="20"/>
    <w:bookmarkStart w:id="21" w:name="系统架构图-高层次"/>
    <w:p>
      <w:pPr>
        <w:pStyle w:val="Heading2"/>
      </w:pPr>
      <w:r>
        <w:t xml:space="preserve">2. 系统架构图 (高层次)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subgraph "用户/客户端"</w:t>
      </w:r>
      <w:r>
        <w:br/>
      </w:r>
      <w:r>
        <w:rPr>
          <w:rStyle w:val="VerbatimChar"/>
        </w:rPr>
        <w:t xml:space="preserve">        A[Web/Mobile App]</w:t>
      </w:r>
      <w:r>
        <w:br/>
      </w:r>
      <w:r>
        <w:rPr>
          <w:rStyle w:val="VerbatimChar"/>
        </w:rPr>
        <w:t xml:space="preserve">        B[第三方应用]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"入口与接入层"</w:t>
      </w:r>
      <w:r>
        <w:br/>
      </w:r>
      <w:r>
        <w:rPr>
          <w:rStyle w:val="VerbatimChar"/>
        </w:rPr>
        <w:t xml:space="preserve">        C[API 网关]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"核心服务层 (微服务)"</w:t>
      </w:r>
      <w:r>
        <w:br/>
      </w:r>
      <w:r>
        <w:rPr>
          <w:rStyle w:val="VerbatimChar"/>
        </w:rPr>
        <w:t xml:space="preserve">        D[认证服务]</w:t>
      </w:r>
      <w:r>
        <w:br/>
      </w:r>
      <w:r>
        <w:rPr>
          <w:rStyle w:val="VerbatimChar"/>
        </w:rPr>
        <w:t xml:space="preserve">        E[用户管理服务]</w:t>
      </w:r>
      <w:r>
        <w:br/>
      </w:r>
      <w:r>
        <w:rPr>
          <w:rStyle w:val="VerbatimChar"/>
        </w:rPr>
        <w:t xml:space="preserve">        F[模型路由与负载均衡服务]</w:t>
      </w:r>
      <w:r>
        <w:br/>
      </w:r>
      <w:r>
        <w:rPr>
          <w:rStyle w:val="VerbatimChar"/>
        </w:rPr>
        <w:t xml:space="preserve">        G[任务队列服务]</w:t>
      </w:r>
      <w:r>
        <w:br/>
      </w:r>
      <w:r>
        <w:rPr>
          <w:rStyle w:val="VerbatimChar"/>
        </w:rPr>
        <w:t xml:space="preserve">        H[结果缓存服务]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"模型推理层"</w:t>
      </w:r>
      <w:r>
        <w:br/>
      </w:r>
      <w:r>
        <w:rPr>
          <w:rStyle w:val="VerbatimChar"/>
        </w:rPr>
        <w:t xml:space="preserve">        I[统一模型抽象接口]</w:t>
      </w:r>
      <w:r>
        <w:br/>
      </w:r>
      <w:r>
        <w:rPr>
          <w:rStyle w:val="VerbatimChar"/>
        </w:rPr>
        <w:t xml:space="preserve">        J[模型服务 (Deepseek)]</w:t>
      </w:r>
      <w:r>
        <w:br/>
      </w:r>
      <w:r>
        <w:rPr>
          <w:rStyle w:val="VerbatimChar"/>
        </w:rPr>
        <w:t xml:space="preserve">        K[模型服务 (GPT)]</w:t>
      </w:r>
      <w:r>
        <w:br/>
      </w:r>
      <w:r>
        <w:rPr>
          <w:rStyle w:val="VerbatimChar"/>
        </w:rPr>
        <w:t xml:space="preserve">        L[模型服务 (其他...)]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"基础设施与支撑服务"</w:t>
      </w:r>
      <w:r>
        <w:br/>
      </w:r>
      <w:r>
        <w:rPr>
          <w:rStyle w:val="VerbatimChar"/>
        </w:rPr>
        <w:t xml:space="preserve">        M[数据库 (PostgreSQL)]</w:t>
      </w:r>
      <w:r>
        <w:br/>
      </w:r>
      <w:r>
        <w:rPr>
          <w:rStyle w:val="VerbatimChar"/>
        </w:rPr>
        <w:t xml:space="preserve">        N[缓存 (Redis)]</w:t>
      </w:r>
      <w:r>
        <w:br/>
      </w:r>
      <w:r>
        <w:rPr>
          <w:rStyle w:val="VerbatimChar"/>
        </w:rPr>
        <w:t xml:space="preserve">        O[消息队列 (RabbitMQ/Kafka)]</w:t>
      </w:r>
      <w:r>
        <w:br/>
      </w:r>
      <w:r>
        <w:rPr>
          <w:rStyle w:val="VerbatimChar"/>
        </w:rPr>
        <w:t xml:space="preserve">        P[日志服务 (ELK/Loki)]</w:t>
      </w:r>
      <w:r>
        <w:br/>
      </w:r>
      <w:r>
        <w:rPr>
          <w:rStyle w:val="VerbatimChar"/>
        </w:rPr>
        <w:t xml:space="preserve">        Q[监控告警 (Prometheus/Grafana)]</w:t>
      </w:r>
      <w:r>
        <w:br/>
      </w:r>
      <w:r>
        <w:rPr>
          <w:rStyle w:val="VerbatimChar"/>
        </w:rPr>
        <w:t xml:space="preserve">        R[配置中心 (Consul/Nacos)]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"管理后台"</w:t>
      </w:r>
      <w:r>
        <w:br/>
      </w:r>
      <w:r>
        <w:rPr>
          <w:rStyle w:val="VerbatimChar"/>
        </w:rPr>
        <w:t xml:space="preserve">        S[Admin UI]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A --&gt; C</w:t>
      </w:r>
      <w:r>
        <w:br/>
      </w:r>
      <w:r>
        <w:rPr>
          <w:rStyle w:val="VerbatimChar"/>
        </w:rPr>
        <w:t xml:space="preserve">    B --&gt; C</w:t>
      </w:r>
      <w:r>
        <w:br/>
      </w:r>
      <w:r>
        <w:rPr>
          <w:rStyle w:val="VerbatimChar"/>
        </w:rPr>
        <w:t xml:space="preserve">    C --&gt; D{认证}</w:t>
      </w:r>
      <w:r>
        <w:br/>
      </w:r>
      <w:r>
        <w:rPr>
          <w:rStyle w:val="VerbatimChar"/>
        </w:rPr>
        <w:t xml:space="preserve">    C --&gt; F</w:t>
      </w:r>
      <w:r>
        <w:br/>
      </w:r>
      <w:r>
        <w:rPr>
          <w:rStyle w:val="VerbatimChar"/>
        </w:rPr>
        <w:t xml:space="preserve">    F --&gt; I</w:t>
      </w:r>
      <w:r>
        <w:br/>
      </w:r>
      <w:r>
        <w:rPr>
          <w:rStyle w:val="VerbatimChar"/>
        </w:rPr>
        <w:t xml:space="preserve">    I --&gt; J</w:t>
      </w:r>
      <w:r>
        <w:br/>
      </w:r>
      <w:r>
        <w:rPr>
          <w:rStyle w:val="VerbatimChar"/>
        </w:rPr>
        <w:t xml:space="preserve">    I --&gt; K</w:t>
      </w:r>
      <w:r>
        <w:br/>
      </w:r>
      <w:r>
        <w:rPr>
          <w:rStyle w:val="VerbatimChar"/>
        </w:rPr>
        <w:t xml:space="preserve">    I --&gt; L</w:t>
      </w:r>
      <w:r>
        <w:br/>
      </w:r>
      <w:r>
        <w:rPr>
          <w:rStyle w:val="VerbatimChar"/>
        </w:rPr>
        <w:t xml:space="preserve">    F --&gt; G</w:t>
      </w:r>
      <w:r>
        <w:br/>
      </w:r>
      <w:r>
        <w:rPr>
          <w:rStyle w:val="VerbatimChar"/>
        </w:rPr>
        <w:t xml:space="preserve">    F --&gt; H</w:t>
      </w:r>
      <w:r>
        <w:br/>
      </w:r>
      <w:r>
        <w:rPr>
          <w:rStyle w:val="VerbatimChar"/>
        </w:rPr>
        <w:t xml:space="preserve">    C --&gt; E</w:t>
      </w:r>
      <w:r>
        <w:br/>
      </w:r>
      <w:r>
        <w:rPr>
          <w:rStyle w:val="VerbatimChar"/>
        </w:rPr>
        <w:t xml:space="preserve">    S --&gt; E</w:t>
      </w:r>
      <w:r>
        <w:br/>
      </w:r>
      <w:r>
        <w:rPr>
          <w:rStyle w:val="VerbatimChar"/>
        </w:rPr>
        <w:t xml:space="preserve">    S --&gt;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 --&gt; M</w:t>
      </w:r>
      <w:r>
        <w:br/>
      </w:r>
      <w:r>
        <w:rPr>
          <w:rStyle w:val="VerbatimChar"/>
        </w:rPr>
        <w:t xml:space="preserve">    E --&gt; M</w:t>
      </w:r>
      <w:r>
        <w:br/>
      </w:r>
      <w:r>
        <w:rPr>
          <w:rStyle w:val="VerbatimChar"/>
        </w:rPr>
        <w:t xml:space="preserve">    F --&gt; R</w:t>
      </w:r>
      <w:r>
        <w:br/>
      </w:r>
      <w:r>
        <w:rPr>
          <w:rStyle w:val="VerbatimChar"/>
        </w:rPr>
        <w:t xml:space="preserve">    H --&gt; N</w:t>
      </w:r>
      <w:r>
        <w:br/>
      </w:r>
      <w:r>
        <w:rPr>
          <w:rStyle w:val="VerbatimChar"/>
        </w:rPr>
        <w:t xml:space="preserve">    G --&gt; O</w:t>
      </w:r>
      <w:r>
        <w:br/>
      </w:r>
      <w:r>
        <w:br/>
      </w:r>
      <w:r>
        <w:rPr>
          <w:rStyle w:val="VerbatimChar"/>
        </w:rPr>
        <w:t xml:space="preserve">    J --&gt; Q</w:t>
      </w:r>
      <w:r>
        <w:br/>
      </w:r>
      <w:r>
        <w:rPr>
          <w:rStyle w:val="VerbatimChar"/>
        </w:rPr>
        <w:t xml:space="preserve">    K --&gt; Q</w:t>
      </w:r>
      <w:r>
        <w:br/>
      </w:r>
      <w:r>
        <w:rPr>
          <w:rStyle w:val="VerbatimChar"/>
        </w:rPr>
        <w:t xml:space="preserve">    L --&gt; Q</w:t>
      </w:r>
      <w:r>
        <w:br/>
      </w:r>
      <w:r>
        <w:rPr>
          <w:rStyle w:val="VerbatimChar"/>
        </w:rPr>
        <w:t xml:space="preserve">    F --&gt; P</w:t>
      </w:r>
      <w:r>
        <w:br/>
      </w:r>
      <w:r>
        <w:rPr>
          <w:rStyle w:val="VerbatimChar"/>
        </w:rPr>
        <w:t xml:space="preserve">    C --&gt; P</w:t>
      </w:r>
      <w:r>
        <w:br/>
      </w:r>
      <w:r>
        <w:br/>
      </w:r>
      <w:r>
        <w:rPr>
          <w:rStyle w:val="VerbatimChar"/>
        </w:rPr>
        <w:t xml:space="preserve">    style I fill:#f9f,stroke:#333,stroke-width:2px</w:t>
      </w:r>
    </w:p>
    <w:bookmarkEnd w:id="21"/>
    <w:bookmarkStart w:id="22" w:name="组件职责说明"/>
    <w:p>
      <w:pPr>
        <w:pStyle w:val="Heading2"/>
      </w:pPr>
      <w:r>
        <w:t xml:space="preserve">3. 组件职责说明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API网关 (API Gateway)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职责</w:t>
      </w:r>
      <w:r>
        <w:t xml:space="preserve">: 系统的唯一入口，处理所有外部请求。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功能</w:t>
      </w:r>
      <w:r>
        <w:t xml:space="preserve">:</w:t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请求路由</w:t>
      </w:r>
      <w:r>
        <w:t xml:space="preserve">: 根据请求路径和版本，将请求转发到相应的后端微服务。</w:t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安全认证</w:t>
      </w:r>
      <w:r>
        <w:t xml:space="preserve">: 与认证服务集成，校验JWT Token或API Key。</w:t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流量控制</w:t>
      </w:r>
      <w:r>
        <w:t xml:space="preserve">: 实现速率限制（Rate Limiting）和并发控制。</w:t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协议转换</w:t>
      </w:r>
      <w:r>
        <w:t xml:space="preserve">: 支持HTTP/S和WebSocket，并将请求转换为内部gRPC或HTTP协议。</w:t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请求/响应转换</w:t>
      </w:r>
      <w:r>
        <w:t xml:space="preserve">: 对数据格式进行转换和校验。</w:t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初步日志记录</w:t>
      </w:r>
      <w:r>
        <w:t xml:space="preserve">: 记录所有请求的元数据。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模型路由与负载均衡服务 (Model Router &amp; Load Balancer)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职责</w:t>
      </w:r>
      <w:r>
        <w:t xml:space="preserve">: 接收来自API网关的推理请求，并智能地选择一个健康的、负载较低的模型实例来处理。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功能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动态路由</w:t>
      </w:r>
      <w:r>
        <w:t xml:space="preserve">: 根据请求参数（如指定的模型、版本）选择后端模型服务。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负载均衡</w:t>
      </w:r>
      <w:r>
        <w:t xml:space="preserve">: 支持轮询、最少连接、加权等多种负载均衡策略。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健康检查</w:t>
      </w:r>
      <w:r>
        <w:t xml:space="preserve">: 定期检查后端模型服务的健康状况，自动剔除不健康的实例。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故障转移与回退</w:t>
      </w:r>
      <w:r>
        <w:t xml:space="preserve">: 当主模型服务失败时，可自动切换到备用模型（如从GPT-4切换到GPT-3.5）。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成本优化</w:t>
      </w:r>
      <w:r>
        <w:t xml:space="preserve">: 可根据策略，优先将请求路由到成本较低的模型。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统一模型抽象接口 (Unified Model Interface)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职责</w:t>
      </w:r>
      <w:r>
        <w:t xml:space="preserve">: 定义一个标准的接口，屏蔽不同大模型API之间的差异。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功能</w:t>
      </w:r>
      <w:r>
        <w:t xml:space="preserve">: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标准化输入/输出</w:t>
      </w:r>
      <w:r>
        <w:t xml:space="preserve">: 将不同格式的请求（如OpenAI格式、Deepseek格式）统一转换为标准内部格式。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适配器模式</w:t>
      </w:r>
      <w:r>
        <w:t xml:space="preserve">: 为每个具体模型实现一个适配器（Adapter），负责调用实际的模型API并处理其特定的返回格式。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功能映射</w:t>
      </w:r>
      <w:r>
        <w:t xml:space="preserve">: 将通用的功能（如文本生成、对话、嵌入）映射到具体模型的API调用上。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模型服务 (Model Service)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职责</w:t>
      </w:r>
      <w:r>
        <w:t xml:space="preserve">: 包装和提供具体大模型的推理能力。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功能</w:t>
      </w:r>
      <w:r>
        <w:t xml:space="preserve">: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API调用</w:t>
      </w:r>
      <w:r>
        <w:t xml:space="preserve">: 封装对原始模型提供商（如OpenAI, Deepseek）API的调用逻辑。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凭证管理</w:t>
      </w:r>
      <w:r>
        <w:t xml:space="preserve">: 安全地管理和使用各类模型的API Key。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错误处理</w:t>
      </w:r>
      <w:r>
        <w:t xml:space="preserve">: 处理模型API可能返回的特定错误。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认证服务 (Auth Service)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职责</w:t>
      </w:r>
      <w:r>
        <w:t xml:space="preserve">: 负责用户身份验证和授权。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功能</w:t>
      </w:r>
      <w:r>
        <w:t xml:space="preserve">:</w:t>
      </w:r>
    </w:p>
    <w:p>
      <w:pPr>
        <w:numPr>
          <w:ilvl w:val="2"/>
          <w:numId w:val="1012"/>
        </w:numPr>
        <w:pStyle w:val="Compact"/>
      </w:pPr>
      <w:r>
        <w:rPr>
          <w:bCs/>
          <w:b/>
        </w:rPr>
        <w:t xml:space="preserve">JWT生成与验证</w:t>
      </w:r>
      <w:r>
        <w:t xml:space="preserve">: 用户登录成功后，生成JWT；对后续请求中的JWT进行验证。</w:t>
      </w:r>
    </w:p>
    <w:p>
      <w:pPr>
        <w:numPr>
          <w:ilvl w:val="2"/>
          <w:numId w:val="1012"/>
        </w:numPr>
        <w:pStyle w:val="Compact"/>
      </w:pPr>
      <w:r>
        <w:rPr>
          <w:bCs/>
          <w:b/>
        </w:rPr>
        <w:t xml:space="preserve">API密钥管理</w:t>
      </w:r>
      <w:r>
        <w:t xml:space="preserve">: 创建、分发、禁用和轮换API密钥。</w:t>
      </w:r>
    </w:p>
    <w:p>
      <w:pPr>
        <w:numPr>
          <w:ilvl w:val="2"/>
          <w:numId w:val="1012"/>
        </w:numPr>
        <w:pStyle w:val="Compact"/>
      </w:pPr>
      <w:r>
        <w:rPr>
          <w:bCs/>
          <w:b/>
        </w:rPr>
        <w:t xml:space="preserve">权限控制</w:t>
      </w:r>
      <w:r>
        <w:t xml:space="preserve">: 定义角色和权限，控制用户对不同API和模型的访问权限。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任务队列服务 (Task Queue Service)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职责</w:t>
      </w:r>
      <w:r>
        <w:t xml:space="preserve">: 处理耗时的、异步的请求。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功能</w:t>
      </w:r>
      <w:r>
        <w:t xml:space="preserve">: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异步处理</w:t>
      </w:r>
      <w:r>
        <w:t xml:space="preserve">: 对于需要长时间处理的请求（如批量处理文件），将其放入队列，由Worker异步执行。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削峰填谷</w:t>
      </w:r>
      <w:r>
        <w:t xml:space="preserve">: 应对突发流量，保护后端服务不被压垮。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结果缓存服务 (Result Cache Service)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职责</w:t>
      </w:r>
      <w:r>
        <w:t xml:space="preserve">: 缓存相同请求的结果，降低延迟，减少对模型API的重复调用。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功能</w:t>
      </w:r>
      <w:r>
        <w:t xml:space="preserve">:</w:t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缓存策略</w:t>
      </w:r>
      <w:r>
        <w:t xml:space="preserve">: 基于请求内容（如prompt）生成缓存键（Cache Key）。</w:t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缓存失效</w:t>
      </w:r>
      <w:r>
        <w:t xml:space="preserve">: 设置合理的缓存过期时间（TTL）。</w:t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支持流式缓存</w:t>
      </w:r>
      <w:r>
        <w:t xml:space="preserve">: 对流式响应进行分块缓存。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管理后台 (Admin UI)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职责</w:t>
      </w:r>
      <w:r>
        <w:t xml:space="preserve">: 提供一个图形化界面，方便管理员进行系统管理和监控。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功能</w:t>
      </w:r>
      <w:r>
        <w:t xml:space="preserve">: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用户管理</w:t>
      </w:r>
      <w:r>
        <w:t xml:space="preserve">: 查看、创建、编辑用户信息。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模型配置</w:t>
      </w:r>
      <w:r>
        <w:t xml:space="preserve">: 管理和配置接入的模型、API Key、路由规则等。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监控仪表板</w:t>
      </w:r>
      <w:r>
        <w:t xml:space="preserve">: 可视化展示系统关键指标（QPS、延迟、错误率等）。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API使用统计</w:t>
      </w:r>
      <w:r>
        <w:t xml:space="preserve">: 统计和分析API调用情况。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2025-07-07T06:05:38Z</dcterms:created>
  <dcterms:modified xsi:type="dcterms:W3CDTF">2025-07-07T06:05:38Z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