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三元九维辨证推演系统：基于 19683 状态空间的中医辨证推演引擎设计与验证</w:t>
      </w:r>
    </w:p>
    <w:p>
      <w:pPr>
        <w:pStyle w:val="Subtitle"/>
        <w:jc w:val="center"/>
      </w:pPr>
      <w:r>
        <w:t>RUNZEAI</w:t>
      </w:r>
    </w:p>
    <w:p>
      <w:pPr>
        <w:pStyle w:val="Heading1"/>
      </w:pPr>
      <w:r>
        <w:t>San-Yuan Jiu-Wei Syndrome Differentiation System: Design and Verification of an Offline Traditional Chinese Medicine Inference Engine over a 19,683-State Space</w:t>
      </w:r>
    </w:p>
    <w:p>
      <w:pPr>
        <w:pStyle w:val="BodyText"/>
      </w:pPr>
      <w:r>
        <w:t>RUNZEAI</w:t>
      </w:r>
    </w:p>
    <w:p>
      <w:pPr>
        <w:pStyle w:val="BodyText"/>
      </w:pPr>
      <w:r>
        <w:t>Independent Researcher</w:t>
      </w:r>
    </w:p>
    <w:p>
      <w:pPr>
        <w:pStyle w:val="BodyText"/>
      </w:pPr>
      <w:r>
        <w:t>通讯作者邮箱（Corresponding Author）：q1z2q3@gmail.com</w:t>
      </w:r>
    </w:p>
    <w:p>
      <w:pPr>
        <w:spacing w:before="80" w:after="80"/>
        <w:ind w:firstLine="0"/>
        <w:pBdr>
          <w:bottom w:val="single" w:sz="6" w:space="0" w:color="808080"/>
        </w:pBdr>
      </w:pPr>
    </w:p>
    <w:p>
      <w:pPr>
        <w:pStyle w:val="BodyText"/>
      </w:pPr>
      <w:r>
        <w:rPr>
          <w:b/>
        </w:rPr>
        <w:t>摘要</w:t>
      </w:r>
      <w:r>
        <w:t>（Abstract）：中医辨证论治的计算机化长期面临知识表示粒度、推理可解释性与部署可及性三方面的挑战。本文提出并实现“三元九维辨证推演系统”（San-Yuan Jiu-Wei Syndrome Differentiation System, SYJW-DS），把“三元 × 九维 × 三态 → 3⁹=19683 状态空间”的认知框架落地为可运行的中医辨证推演引擎。系统由原生 Android WebView 壳与单页 H5 应用构成，前端零第三方依赖、完全离线运行。推理链路包括：(1) 以症状投票与宏观标签锚定构造九维三态状态向量 S（三值化阈值 ±1.5）；(2) 以偏差能量、张力指数、显化势能、中介通畅度、本体稳固系数五项指标量化诊断；(3) 以六大吸引子判别当前稳定域；(4) 以“单维 ±1、必经中介 1、层级递进”的迁移规则生成恢复中和的牵引路径；(5) 以方剂向量距离、吸引子契合、标签互证与禁忌惩罚的加权评分给出干预方案，并对十八反、十九畏、相恶、妊娠禁用与毒性分级进行配伍审查。系统内置 75 项症状、23 个宏观标签、14 首方剂与 66 味药材。工程验证方面，经 27 项逐条审查确立 P1–P8 八项修复，修复后引擎回归 26/26 通过、界面冒烟 16/16 通过，并构建了 54 KB 签名 APK。系统强调确定性、可复现与可审计：噪声项置 0，全部推理逻辑可由脚本回归验证。本文如实报告框架落地范围与工程化取舍，并明确系统尚未经过临床验证，仅供研究与教学参考。</w:t>
      </w:r>
    </w:p>
    <w:p>
      <w:pPr>
        <w:pStyle w:val="BodyText"/>
      </w:pPr>
      <w:r>
        <w:rPr>
          <w:b/>
        </w:rPr>
        <w:t>关键词</w:t>
      </w:r>
      <w:r>
        <w:t>：中医辨证论治；状态空间；吸引子；可解释推理；离线移动应用；WebView；H5</w:t>
      </w:r>
    </w:p>
    <w:p>
      <w:pPr>
        <w:pStyle w:val="BodyText"/>
      </w:pPr>
      <w:r>
        <w:rPr>
          <w:b/>
        </w:rPr>
        <w:t>Abstract</w:t>
      </w:r>
      <w:r>
        <w:t>: Computerization of syndrome differentiation (辨证论治) in Traditional Chinese Medicine (TCM) faces lasting challenges in knowledge representation granularity, inference explainability, and deployment accessibility. This paper presents the San-Yuan Jiu-Wei Syndrome Differentiation System (SYJW-DS), which instantiates the cognitive framework of "three elements × nine dimensions × three states → 3⁹ = 19,683 state space" into a runnable TCM syndrome-differentiation inference engine. The system consists of a native Android WebView shell and a single-page H5 application with zero third-party JavaScript dependencies, running fully offline. The inference pipeline comprises: (1) constructing a nine-dimensional three-state state vector S from symptom voting and macro-label anchoring (thresholded at ±1.5); (2) quantifying the diagnosis through five indices—deviation energy, tension index, manifest potential, mediation fluidity, and ontological stability coefficient; (3) identifying the current stable basin among six attractors; (4) generating pull paths toward the neutral state following migration rules of "single-dimension ±1 steps, mandatory passage through the mediating state 1, and layer-by-layer progression"; and (5) ranking interventions by weighted scores of formula-vector distance, attractor fit, label corroboration, and contraindication penalties, with compatibility checks for the eighteen antagonisms, nineteen incompatibilities, mutual antagonism, pregnancy prohibitions, and toxicity grades. The system incorporates 75 symptoms, 23 macro labels, 14 formulas, and 66 herbs. In engineering verification, a 27-item audit identified eight fixes (P1–P8); after the fixes, engine regression passed 26/26 and UI smoke tests passed 16/16, and a signed APK of 54 KB was built. The system emphasizes determinism, reproducibility, and auditability: the noise term is set to zero and all inference logic is verifiable through scripted regression. This paper honestly reports the scope of framework instantiation and engineering trade-offs, and explicitly states that the system has not yet undergone clinical validation and is intended for research and educational reference only.</w:t>
      </w:r>
    </w:p>
    <w:p>
      <w:pPr>
        <w:pStyle w:val="BodyText"/>
      </w:pPr>
      <w:r>
        <w:rPr>
          <w:b/>
        </w:rPr>
        <w:t>Keywords</w:t>
      </w:r>
      <w:r>
        <w:t>: TCM syndrome differentiation; state space; attractor; explainable inference; offline mobile application; WebView; H5</w:t>
      </w:r>
    </w:p>
    <w:p>
      <w:pPr>
        <w:spacing w:before="80" w:after="80"/>
        <w:ind w:firstLine="0"/>
        <w:pBdr>
          <w:bottom w:val="single" w:sz="6" w:space="0" w:color="808080"/>
        </w:pBdr>
      </w:pPr>
    </w:p>
    <w:p>
      <w:pPr>
        <w:pStyle w:val="Heading2"/>
      </w:pPr>
      <w:r>
        <w:t>1 引言</w:t>
      </w:r>
    </w:p>
    <w:p>
      <w:pPr>
        <w:pStyle w:val="BodyText"/>
      </w:pPr>
      <w:r>
        <w:t>中医药学是具有悠久历史与独特理论体系的传统医学，辨证论治是其临床施治的核心方法论[1,2]。随着人工智能与移动健康技术的发展，如何将辨证论治的隐性知识转换为可计算、可解释、可复现的显式模型，成为中医信息化与智能化研究的中心问题之一。现有工作主要沿两条路径展开：其一是基于专家系统与规则库的早期知识工程路径，其二是基于数据驱动与深度学习的现代路径。前者透明但知识粒度粗糙、维护困难；后者性能强但可解释性不足，且多以“黑盒”方式输出结论，与辨证论治强调“理、法、方、药”链条自洽的学科传统存在张力[3]。</w:t>
      </w:r>
    </w:p>
    <w:p>
      <w:pPr>
        <w:pStyle w:val="BodyText"/>
      </w:pPr>
      <w:r>
        <w:t>本文提出并实现“三元九维辨证推演系统”（SYJW-DS）：以“三元 × 九维 × 三态 → 19683 状态空间”认知框架为统一知识表示，以确定性规则引擎为推理核心，以离线 Android 应用为交付形态，在知识表示粒度、可解释性与部署可及性三个维度上做出明确选择。</w:t>
      </w:r>
    </w:p>
    <w:p>
      <w:pPr>
        <w:pStyle w:val="BodyText"/>
      </w:pPr>
      <w:r>
        <w:t>本文的主要贡献包括：</w:t>
      </w:r>
    </w:p>
    <w:p>
      <w:pPr>
        <w:pStyle w:val="ListNumber"/>
        <w:numPr>
          <w:ilvl w:val="0"/>
          <w:numId w:val="10"/>
        </w:numPr>
      </w:pPr>
      <w:r>
        <w:rPr>
          <w:b/>
        </w:rPr>
        <w:t>状态空间化的辨证表示</w:t>
      </w:r>
      <w:r>
        <w:t>：将症状、八纲、六经、体质等异构证据统一映射为九维三态状态向量 S ∈ {0,1,2}⁹，理论状态空间 3⁹=19683，以目标态 T=(1,…,1) 为健康基态，为辨证提供可计算坐标；</w:t>
      </w:r>
    </w:p>
    <w:p>
      <w:pPr>
        <w:pStyle w:val="ListNumber"/>
        <w:numPr>
          <w:ilvl w:val="0"/>
          <w:numId w:val="10"/>
        </w:numPr>
      </w:pPr>
      <w:r>
        <w:rPr>
          <w:b/>
        </w:rPr>
        <w:t>可解释的确定性推理引擎</w:t>
      </w:r>
      <w:r>
        <w:t>：实现“聚合-诊断-吸引子判别-迁移路径-方剂评分-配伍审查”六步推理链，全部步骤以可审计的纯函数实现，噪声项置 0，保证结果可复现；</w:t>
      </w:r>
    </w:p>
    <w:p>
      <w:pPr>
        <w:pStyle w:val="ListNumber"/>
        <w:numPr>
          <w:ilvl w:val="0"/>
          <w:numId w:val="10"/>
        </w:numPr>
      </w:pPr>
      <w:r>
        <w:rPr>
          <w:b/>
        </w:rPr>
        <w:t>零依赖离线交付</w:t>
      </w:r>
      <w:r>
        <w:t>：以原生 Android WebView 壳 + 单页 H5 实现，js 侧无第三方库、无网络与存储权限，构建产物为 54 KB 签名 APK，可在无网环境独立运行；</w:t>
      </w:r>
    </w:p>
    <w:p>
      <w:pPr>
        <w:pStyle w:val="ListNumber"/>
        <w:numPr>
          <w:ilvl w:val="0"/>
          <w:numId w:val="10"/>
        </w:numPr>
      </w:pPr>
      <w:r>
        <w:rPr>
          <w:b/>
        </w:rPr>
        <w:t>工程级验证流程</w:t>
      </w:r>
      <w:r>
        <w:t>：27 项逐条审查发现并修复 8 项缺陷（P1–P8，其中三项为真实安全性缺陷），修复后引擎回归 26/26、界面冒烟 16/16 通过，验证脚本随源码归档可复现。</w:t>
      </w:r>
    </w:p>
    <w:p>
      <w:pPr>
        <w:pStyle w:val="BodyText"/>
      </w:pPr>
      <w:r>
        <w:t>本文其余部分组织如下：第 2 节回顾相关工作；第 3 节给出系统总体架构；第 4 节详述核心算法；第 5 节说明实现要点；第 6 节报告验证方法与结果并如实说明局限；第 7 节讨论工程化取舍与未来工作；第 8 节总结全文。</w:t>
      </w:r>
    </w:p>
    <w:p>
      <w:pPr>
        <w:pStyle w:val="Heading2"/>
      </w:pPr>
      <w:r>
        <w:t>2 相关工作</w:t>
      </w:r>
    </w:p>
    <w:p>
      <w:pPr>
        <w:pStyle w:val="BodyText"/>
      </w:pPr>
      <w:r>
        <w:rPr>
          <w:b/>
        </w:rPr>
        <w:t>辨证论治的经典理论</w:t>
      </w:r>
      <w:r>
        <w:t>。辨证论治由《伤寒杂病论》确立六经辨证框架[1]，其前《黄帝内经》已系统论述阴阳、脏腑、经络等基本概念[2]。辨证的过程可理解为：以四诊信息为输入，经过证候识别、病机归纳，输出治则治法与方药。这一过程在信息结构上与“症状/证据 → 状态估计 → 干预决策”的模式识别路径同构，为状态空间建模提供了可能性。</w:t>
      </w:r>
    </w:p>
    <w:p>
      <w:pPr>
        <w:pStyle w:val="BodyText"/>
      </w:pPr>
      <w:r>
        <w:rPr>
          <w:b/>
        </w:rPr>
        <w:t>中医信息化与专家系统</w:t>
      </w:r>
      <w:r>
        <w:t>。自二十世纪七十年代“关幼波肝炎辨证施治程序”等早期专家系统起，中医知识工程经历了规则库、模糊推理、贝叶斯网络等多个阶段。专家系统方法透明、可审计，但知识获取与维护成本高，且规则粒度往往停留在“证型—方剂”的宏观层面，缺少对症状级证据与证候机制之间约束关系的精细建模。</w:t>
      </w:r>
    </w:p>
    <w:p>
      <w:pPr>
        <w:pStyle w:val="BodyText"/>
      </w:pPr>
      <w:r>
        <w:rPr>
          <w:b/>
        </w:rPr>
        <w:t>数据驱动方法</w:t>
      </w:r>
      <w:r>
        <w:t>。深度学习与大规模语言模型近年来被广泛应用于辅助诊疗，但多数模型缺少可追溯的证据链，且难以处理中医辨证中“同病异证、异病同证”的强上下文依赖。国际组织亦强调传统医学与现代证据体系的融合需求[4]。本系统选择在规则引擎框架内引入“状态空间 + 吸引子”的动力学建模，在保持完全可解释性的前提下提升知识表示的精细度。</w:t>
      </w:r>
    </w:p>
    <w:p>
      <w:pPr>
        <w:pStyle w:val="BodyText"/>
      </w:pPr>
      <w:r>
        <w:rPr>
          <w:b/>
        </w:rPr>
        <w:t>离线移动健康应用</w:t>
      </w:r>
      <w:r>
        <w:t>。健康类应用的隐私与可用性要求推动“本地计算”模式回归。Android 平台 WebView 组件允许以原生外壳承载 H5 逻辑，在保证 UI 开发效率的同时维持离线与权限最小化[5]。本系统采用该架构，应用无任何权限声明，符合隐私最小化原则。</w:t>
      </w:r>
    </w:p>
    <w:p>
      <w:pPr>
        <w:pStyle w:val="Heading2"/>
      </w:pPr>
      <w:r>
        <w:t>3 系统总体架构</w:t>
      </w:r>
    </w:p>
    <w:p>
      <w:pPr>
        <w:pStyle w:val="Heading3"/>
      </w:pPr>
      <w:r>
        <w:t>3.1 架构总览</w:t>
      </w:r>
    </w:p>
    <w:p>
      <w:pPr>
        <w:pStyle w:val="BodyText"/>
      </w:pPr>
      <w:r>
        <w:t>系统采用“原生 Android WebView 壳 + 单页 H5 应用”的两层离线实现，如图 1 所示。</w:t>
      </w:r>
    </w:p>
    <w:p>
      <w:pPr>
        <w:pStyle w:val="Code"/>
      </w:pPr>
      <w:r>
        <w:t>┌────────────────────────────────────────────────┐</w:t>
        <w:br/>
        <w:t>│ Android 壳（Java）                              │</w:t>
        <w:br/>
        <w:t>│ MainActivity — WebView 加载 assets/index.html   │</w:t>
        <w:br/>
        <w:t>│ （无网络权限、无存储权限、纯离线）                 │</w:t>
        <w:br/>
        <w:t>├────────────────────────────────────────────────┤</w:t>
        <w:br/>
        <w:t>│ 单页 H5（原生 JS，零第三方依赖）                  │</w:t>
        <w:br/>
        <w:t>│ index.html      布局/导航/免责声明                │</w:t>
        <w:br/>
        <w:t>│ css/app.css     墨绿九维雷达主题                  │</w:t>
        <w:br/>
        <w:t>│ js/data.js      数据层 — 症状/方剂/药材/禁忌      │</w:t>
        <w:br/>
        <w:t>│ js/engine.js    引擎层 — 聚合/诊断/推荐/路径      │</w:t>
        <w:br/>
        <w:t>│ js/app.js       界面层 — 三步向导/渲染/记录       │</w:t>
        <w:br/>
        <w:t>├────────────────────────────────────────────────┤</w:t>
        <w:br/>
        <w:t>│ localStorage（推演记录，最多 50 条，无云端）       │</w:t>
        <w:br/>
        <w:t>└────────────────────────────────────────────────┘</w:t>
      </w:r>
    </w:p>
    <w:p>
      <w:pPr>
        <w:pStyle w:val="BodyText"/>
      </w:pPr>
      <w:r>
        <w:t>图 1　系统总体架构</w:t>
      </w:r>
    </w:p>
    <w:p>
      <w:pPr>
        <w:pStyle w:val="BodyText"/>
      </w:pPr>
      <w:r>
        <w:t>分层原则：数据层只声明结构化数据；引擎层只做纯函数计算（可在 Node 中独立运行验证）；界面层只负责交互与渲染。引擎与数据层不依赖任何 DOM/BOM，这是系统可测试性的基础。</w:t>
      </w:r>
    </w:p>
    <w:p>
      <w:pPr>
        <w:pStyle w:val="Heading3"/>
      </w:pPr>
      <w:r>
        <w:t>3.2 目录与构建链</w:t>
      </w:r>
    </w:p>
    <w:p>
      <w:pPr>
        <w:pStyle w:val="BodyText"/>
      </w:pPr>
      <w:r>
        <w:t>源码结构如下：</w:t>
      </w:r>
      <w:r>
        <w:rPr>
          <w:rFonts w:ascii="Courier New" w:hAnsi="Courier New"/>
        </w:rPr>
        <w:t>app/</w:t>
      </w:r>
      <w:r>
        <w:t xml:space="preserve"> 包含 AndroidManifest.xml、assets（index.html、css/app.css、js/data.js、js/engine.js、js/app.js）、res 图标与 MainActivity.java；</w:t>
      </w:r>
      <w:r>
        <w:rPr>
          <w:rFonts w:ascii="Courier New" w:hAnsi="Courier New"/>
        </w:rPr>
        <w:t>build.sh</w:t>
      </w:r>
      <w:r>
        <w:t xml:space="preserve"> 为 7 步构建链；</w:t>
      </w:r>
      <w:r>
        <w:rPr>
          <w:rFonts w:ascii="Courier New" w:hAnsi="Courier New"/>
        </w:rPr>
        <w:t>docs/</w:t>
      </w:r>
      <w:r>
        <w:t xml:space="preserve"> 存放五份工程与技术文档；</w:t>
      </w:r>
      <w:r>
        <w:rPr>
          <w:rFonts w:ascii="Courier New" w:hAnsi="Courier New"/>
        </w:rPr>
        <w:t>review/</w:t>
      </w:r>
      <w:r>
        <w:t xml:space="preserve"> 存放审查报告与测试脚本。</w:t>
      </w:r>
    </w:p>
    <w:p>
      <w:pPr>
        <w:pStyle w:val="BodyText"/>
      </w:pPr>
      <w:r>
        <w:t>构建链依次为：aapt2 compile → aapt2 link → javac --release 11 → d8 --min-api 24 → aapt2 add/apkbuilder → zipalign -f 4 → apksigner sign/verify。最终产物为签名 APK（54,368 B，包名 com.sanyuanjiuwei.bianzheng、versionName 1.1、minSdk 24 / targetSdk 34）。</w:t>
      </w:r>
    </w:p>
    <w:p>
      <w:pPr>
        <w:pStyle w:val="Heading3"/>
      </w:pPr>
      <w:r>
        <w:t>3.3 运行时数据流</w:t>
      </w:r>
    </w:p>
    <w:p>
      <w:pPr>
        <w:pStyle w:val="BodyText"/>
      </w:pPr>
      <w:r>
        <w:t xml:space="preserve">用户点选症状与宏观标签后，界面层调用 </w:t>
      </w:r>
      <w:r>
        <w:rPr>
          <w:rFonts w:ascii="Courier New" w:hAnsi="Courier New"/>
        </w:rPr>
        <w:t>Engine.run(symptoms, tagObjs, ctx)</w:t>
      </w:r>
      <w:r>
        <w:t>，按序执行：聚合状态（aggregateState）→ 量化诊断（diagnose）→ 吸引子判别（matchAttractor）→ 方剂评分与禁忌（scoreFormulas）→ 迁移路径与 Top-3 增强（buildPath/compat）→ 渲染报告卡片（雷达图、指标、吸引子、方剂卡、迁移总览、中和态专卡）。</w:t>
      </w:r>
    </w:p>
    <w:p>
      <w:pPr>
        <w:pStyle w:val="Heading2"/>
      </w:pPr>
      <w:r>
        <w:t>4 核心算法</w:t>
      </w:r>
    </w:p>
    <w:p>
      <w:pPr>
        <w:pStyle w:val="Heading3"/>
      </w:pPr>
      <w:r>
        <w:t>4.1 状态空间与三元映射</w:t>
      </w:r>
    </w:p>
    <w:p>
      <w:pPr>
        <w:pStyle w:val="BodyText"/>
      </w:pPr>
      <w:r>
        <w:t xml:space="preserve">系统把“三元”对应为三个基础量化对象：(1) </w:t>
      </w:r>
      <w:r>
        <w:rPr>
          <w:b/>
        </w:rPr>
        <w:t>T——目标态</w:t>
      </w:r>
      <w:r>
        <w:t xml:space="preserve">，即九维全取中值 1 的中和态向量，代表“阴平阳秘、正气存内”的基准，所有推演以 T 为终点；(2) </w:t>
      </w:r>
      <w:r>
        <w:rPr>
          <w:b/>
        </w:rPr>
        <w:t>S——状态向量</w:t>
      </w:r>
      <w:r>
        <w:t xml:space="preserve">，即当前辨证在 19683 状态空间中的坐标；(3) </w:t>
      </w:r>
      <w:r>
        <w:rPr>
          <w:b/>
        </w:rPr>
        <w:t>C——耦合结构</w:t>
      </w:r>
      <w:r>
        <w:t>，即四组对立耦合对与三层维度分级。</w:t>
      </w:r>
    </w:p>
    <w:p>
      <w:pPr>
        <w:pStyle w:val="BodyText"/>
      </w:pPr>
      <w:r>
        <w:t>九维（d1–d9）依次为：本体、时间、空间、能量、信息、关系、秩序、价值、行动；每维取三态：0=潜藏/不足、1=中和/适当、2=显化/亢盛。因此理论状态空间为 3⁹=19683。四组对立耦合对（0 基索引）：时位耦合 (d2·d3)、能信耦合 (d4·d5)、群序耦合 (d6·d7)、知行耦合 (d8·d9)。维度按层级分为内核层 (d1,d2,d3)、动力层 (d4,d5,d6,d7)、表达层 (d8,d9)，体现“演化由内向外传导、表达层变化快但易回撤”的层级语义。</w:t>
      </w:r>
    </w:p>
    <w:p>
      <w:pPr>
        <w:pStyle w:val="Heading3"/>
      </w:pPr>
      <w:r>
        <w:t>4.2 步骤一：证据聚合为状态向量</w:t>
      </w:r>
    </w:p>
    <w:p>
      <w:pPr>
        <w:pStyle w:val="BodyText"/>
      </w:pPr>
      <w:r>
        <w:rPr>
          <w:rFonts w:ascii="Courier New" w:hAnsi="Courier New"/>
        </w:rPr>
        <w:t>aggregateState(selectedSymptoms, selectedTags, ctx)</w:t>
      </w:r>
      <w:r>
        <w:t xml:space="preserve"> 分四步：</w:t>
      </w:r>
    </w:p>
    <w:p>
      <w:pPr>
        <w:pStyle w:val="ListNumber"/>
        <w:numPr>
          <w:ilvl w:val="0"/>
          <w:numId w:val="11"/>
        </w:numPr>
      </w:pPr>
      <w:r>
        <w:rPr>
          <w:b/>
        </w:rPr>
        <w:t>症状投票</w:t>
      </w:r>
      <w:r>
        <w:t xml:space="preserve">：每个症状的 </w:t>
      </w:r>
      <w:r>
        <w:rPr>
          <w:rFonts w:ascii="Courier New" w:hAnsi="Courier New"/>
        </w:rPr>
        <w:t>v</w:t>
      </w:r>
      <w:r>
        <w:t xml:space="preserve"> 字段是“维度→票值”映射（如四肢厥冷 </w:t>
      </w:r>
      <w:r>
        <w:rPr>
          <w:rFonts w:ascii="Courier New" w:hAnsi="Courier New"/>
        </w:rPr>
        <w:t>v:{3:-2, 8:-1, 0:-1}</w:t>
      </w:r>
      <w:r>
        <w:t>），逐项累加并记录可解释轨迹（traces）；</w:t>
      </w:r>
    </w:p>
    <w:p>
      <w:pPr>
        <w:pStyle w:val="ListNumber"/>
        <w:numPr>
          <w:ilvl w:val="0"/>
          <w:numId w:val="11"/>
        </w:numPr>
      </w:pPr>
      <w:r>
        <w:rPr>
          <w:b/>
        </w:rPr>
        <w:t>宏观标签锚定</w:t>
      </w:r>
      <w:r>
        <w:t>：八纲标签权重 w=1，六经/体质标签权重 w=2；标签典型向量中非 1 的分量按 (val−1)×w 投票；</w:t>
      </w:r>
    </w:p>
    <w:p>
      <w:pPr>
        <w:pStyle w:val="ListNumber"/>
        <w:numPr>
          <w:ilvl w:val="0"/>
          <w:numId w:val="11"/>
        </w:numPr>
      </w:pPr>
      <w:r>
        <w:rPr>
          <w:b/>
        </w:rPr>
        <w:t>三值化</w:t>
      </w:r>
      <w:r>
        <w:t>：各维票值 ≥1.5 → 2、≤−1.5 → 0、否则 → 1；票面强度 strength 单独保留用于展示；</w:t>
      </w:r>
    </w:p>
    <w:p>
      <w:pPr>
        <w:pStyle w:val="ListNumber"/>
        <w:numPr>
          <w:ilvl w:val="0"/>
          <w:numId w:val="11"/>
        </w:numPr>
      </w:pPr>
      <w:r>
        <w:rPr>
          <w:b/>
        </w:rPr>
        <w:t>症状级 tag 透传</w:t>
      </w:r>
      <w:r>
        <w:t xml:space="preserve">：界面层从所选症状的 </w:t>
      </w:r>
      <w:r>
        <w:rPr>
          <w:rFonts w:ascii="Courier New" w:hAnsi="Courier New"/>
        </w:rPr>
        <w:t>tag</w:t>
      </w:r>
      <w:r>
        <w:t xml:space="preserve"> 字段聚合（表虚/表实/瘀/寒/热/虚/痰湿/湿热/气郁/少阳等）写入 </w:t>
      </w:r>
      <w:r>
        <w:rPr>
          <w:rFonts w:ascii="Courier New" w:hAnsi="Courier New"/>
        </w:rPr>
        <w:t>ctx.symTags</w:t>
      </w:r>
      <w:r>
        <w:t>，供证候禁忌与指征互证读取，避免“选了症状但引擎无证据”的空洞推理。</w:t>
      </w:r>
    </w:p>
    <w:p>
      <w:pPr>
        <w:pStyle w:val="Heading3"/>
      </w:pPr>
      <w:r>
        <w:t>4.3 步骤二：量化诊断指标</w:t>
      </w:r>
    </w:p>
    <w:p>
      <w:pPr>
        <w:pStyle w:val="BodyText"/>
      </w:pPr>
      <w:r>
        <w:rPr>
          <w:rFonts w:ascii="Courier New" w:hAnsi="Courier New"/>
        </w:rPr>
        <w:t>diagnose(S)</w:t>
      </w:r>
      <w:r>
        <w:t xml:space="preserve"> 输出五项指标（表 1）：</w:t>
      </w:r>
    </w:p>
    <w:tbl>
      <w:tblPr>
        <w:tblStyle w:val="TableGrid"/>
        <w:tblW w:type="auto" w:w="0"/>
        <w:jc w:val="center"/>
        <w:tblLook w:firstColumn="1" w:firstRow="1" w:lastColumn="0" w:lastRow="0" w:noHBand="0" w:noVBand="1" w:val="04A0"/>
        <w:tblBorders>
          <w:top w:val="single" w:sz="12" w:space="0" w:color="000000"/>
          <w:bottom w:val="single" w:sz="12" w:space="0" w:color="000000"/>
          <w:insideH w:val="nil" w:sz="0" w:space="0" w:color="000000"/>
          <w:insideV w:val="nil" w:sz="0" w:space="0" w:color="000000"/>
          <w:start w:val="nil" w:sz="0" w:space="0" w:color="000000"/>
          <w:end w:val="nil" w:sz="0" w:space="0" w:color="000000"/>
        </w:tblBorders>
      </w:tblPr>
      <w:tblGrid>
        <w:gridCol w:w="3137"/>
        <w:gridCol w:w="3137"/>
        <w:gridCol w:w="3137"/>
      </w:tblGrid>
      <w:tr>
        <w:tc>
          <w:tcPr>
            <w:tcW w:type="dxa" w:w="3137"/>
            <w:vAlign w:val="center"/>
            <w:tcBorders>
              <w:bottom w:val="single" w:sz="6" w:space="0" w:color="000000"/>
            </w:tcBorders>
          </w:tcPr>
          <w:p>
            <w:pPr>
              <w:ind w:firstLine="0" w:left="0" w:right="0"/>
              <w:jc w:val="center"/>
            </w:pPr>
            <w:r/>
            <w:r>
              <w:t>指标</w:t>
            </w:r>
          </w:p>
        </w:tc>
        <w:tc>
          <w:tcPr>
            <w:tcW w:type="dxa" w:w="3137"/>
            <w:vAlign w:val="center"/>
            <w:tcBorders>
              <w:bottom w:val="single" w:sz="6" w:space="0" w:color="000000"/>
            </w:tcBorders>
          </w:tcPr>
          <w:p>
            <w:pPr>
              <w:ind w:firstLine="0" w:left="0" w:right="0"/>
              <w:jc w:val="center"/>
            </w:pPr>
            <w:r/>
            <w:r>
              <w:t>公式</w:t>
            </w:r>
          </w:p>
        </w:tc>
        <w:tc>
          <w:tcPr>
            <w:tcW w:type="dxa" w:w="3137"/>
            <w:vAlign w:val="center"/>
            <w:tcBorders>
              <w:bottom w:val="single" w:sz="6" w:space="0" w:color="000000"/>
            </w:tcBorders>
          </w:tcPr>
          <w:p>
            <w:pPr>
              <w:ind w:firstLine="0" w:left="0" w:right="0"/>
              <w:jc w:val="center"/>
            </w:pPr>
            <w:r/>
            <w:r>
              <w:t>语义</w:t>
            </w:r>
          </w:p>
        </w:tc>
      </w:tr>
      <w:tr>
        <w:tc>
          <w:tcPr>
            <w:tcW w:type="dxa" w:w="3137"/>
            <w:vAlign w:val="center"/>
          </w:tcPr>
          <w:p>
            <w:pPr>
              <w:ind w:firstLine="0" w:left="0" w:right="0"/>
              <w:jc w:val="center"/>
            </w:pPr>
            <w:r/>
            <w:r>
              <w:t>偏差能量 E</w:t>
            </w:r>
          </w:p>
        </w:tc>
        <w:tc>
          <w:tcPr>
            <w:tcW w:type="dxa" w:w="3137"/>
            <w:vAlign w:val="center"/>
          </w:tcPr>
          <w:p>
            <w:pPr>
              <w:ind w:firstLine="0" w:left="0" w:right="0"/>
              <w:jc w:val="center"/>
            </w:pPr>
            <w:r/>
            <w:r>
              <w:t>E = Σ abs(Δᵢ) = Σ abs(Sᵢ−Tᵢ)</w:t>
            </w:r>
          </w:p>
        </w:tc>
        <w:tc>
          <w:tcPr>
            <w:tcW w:type="dxa" w:w="3137"/>
            <w:vAlign w:val="center"/>
          </w:tcPr>
          <w:p>
            <w:pPr>
              <w:ind w:firstLine="0" w:left="0" w:right="0"/>
              <w:jc w:val="center"/>
            </w:pPr>
            <w:r/>
            <w:r>
              <w:t>距中和态的总偏离量；E=0 即完全中和</w:t>
            </w:r>
          </w:p>
        </w:tc>
      </w:tr>
      <w:tr>
        <w:tc>
          <w:tcPr>
            <w:tcW w:type="dxa" w:w="3137"/>
            <w:vAlign w:val="center"/>
          </w:tcPr>
          <w:p>
            <w:pPr>
              <w:ind w:firstLine="0" w:left="0" w:right="0"/>
              <w:jc w:val="center"/>
            </w:pPr>
            <w:r/>
            <w:r>
              <w:t>张力指数</w:t>
            </w:r>
          </w:p>
        </w:tc>
        <w:tc>
          <w:tcPr>
            <w:tcW w:type="dxa" w:w="3137"/>
            <w:vAlign w:val="center"/>
          </w:tcPr>
          <w:p>
            <w:pPr>
              <w:ind w:firstLine="0" w:left="0" w:right="0"/>
              <w:jc w:val="center"/>
            </w:pPr>
            <w:r/>
            <w:r>
              <w:t>tension = Σ abs(Sₐ−S_b)（四耦合对差值之和）</w:t>
            </w:r>
          </w:p>
        </w:tc>
        <w:tc>
          <w:tcPr>
            <w:tcW w:type="dxa" w:w="3137"/>
            <w:vAlign w:val="center"/>
          </w:tcPr>
          <w:p>
            <w:pPr>
              <w:ind w:firstLine="0" w:left="0" w:right="0"/>
              <w:jc w:val="center"/>
            </w:pPr>
            <w:r/>
            <w:r>
              <w:t>对立耦合差值 → 系统内耗程度</w:t>
            </w:r>
          </w:p>
        </w:tc>
      </w:tr>
      <w:tr>
        <w:tc>
          <w:tcPr>
            <w:tcW w:type="dxa" w:w="3137"/>
            <w:vAlign w:val="center"/>
          </w:tcPr>
          <w:p>
            <w:pPr>
              <w:ind w:firstLine="0" w:left="0" w:right="0"/>
              <w:jc w:val="center"/>
            </w:pPr>
            <w:r/>
            <w:r>
              <w:t>显化势能</w:t>
            </w:r>
          </w:p>
        </w:tc>
        <w:tc>
          <w:tcPr>
            <w:tcW w:type="dxa" w:w="3137"/>
            <w:vAlign w:val="center"/>
          </w:tcPr>
          <w:p>
            <w:pPr>
              <w:ind w:firstLine="0" w:left="0" w:right="0"/>
              <w:jc w:val="center"/>
            </w:pPr>
            <w:r/>
            <w:r>
              <w:t>potential = (d1+d4+d8+d9)/4 × w7</w:t>
            </w:r>
          </w:p>
        </w:tc>
        <w:tc>
          <w:tcPr>
            <w:tcW w:type="dxa" w:w="3137"/>
            <w:vAlign w:val="center"/>
          </w:tcPr>
          <w:p>
            <w:pPr>
              <w:ind w:firstLine="0" w:left="0" w:right="0"/>
              <w:jc w:val="center"/>
            </w:pPr>
            <w:r/>
            <w:r>
              <w:t>输出能力 × 秩序加权（w7=0.6/1.0/1.2）</w:t>
            </w:r>
          </w:p>
        </w:tc>
      </w:tr>
      <w:tr>
        <w:tc>
          <w:tcPr>
            <w:tcW w:type="dxa" w:w="3137"/>
            <w:vAlign w:val="center"/>
          </w:tcPr>
          <w:p>
            <w:pPr>
              <w:ind w:firstLine="0" w:left="0" w:right="0"/>
              <w:jc w:val="center"/>
            </w:pPr>
            <w:r/>
            <w:r>
              <w:t>中介通畅度</w:t>
            </w:r>
          </w:p>
        </w:tc>
        <w:tc>
          <w:tcPr>
            <w:tcW w:type="dxa" w:w="3137"/>
            <w:vAlign w:val="center"/>
          </w:tcPr>
          <w:p>
            <w:pPr>
              <w:ind w:firstLine="0" w:left="0" w:right="0"/>
              <w:jc w:val="center"/>
            </w:pPr>
            <w:r/>
            <w:r>
              <w:t>fluidity = ones/9</w:t>
            </w:r>
          </w:p>
        </w:tc>
        <w:tc>
          <w:tcPr>
            <w:tcW w:type="dxa" w:w="3137"/>
            <w:vAlign w:val="center"/>
          </w:tcPr>
          <w:p>
            <w:pPr>
              <w:ind w:firstLine="0" w:left="0" w:right="0"/>
              <w:jc w:val="center"/>
            </w:pPr>
            <w:r/>
            <w:r>
              <w:t>处于 1 的维数占比 → 可调节弹性</w:t>
            </w:r>
          </w:p>
        </w:tc>
      </w:tr>
      <w:tr>
        <w:tc>
          <w:tcPr>
            <w:tcW w:type="dxa" w:w="3137"/>
            <w:vAlign w:val="center"/>
          </w:tcPr>
          <w:p>
            <w:pPr>
              <w:ind w:firstLine="0" w:left="0" w:right="0"/>
              <w:jc w:val="center"/>
            </w:pPr>
            <w:r/>
            <w:r>
              <w:t>本体稳固系数</w:t>
            </w:r>
          </w:p>
        </w:tc>
        <w:tc>
          <w:tcPr>
            <w:tcW w:type="dxa" w:w="3137"/>
            <w:vAlign w:val="center"/>
          </w:tcPr>
          <w:p>
            <w:pPr>
              <w:ind w:firstLine="0" w:left="0" w:right="0"/>
              <w:jc w:val="center"/>
            </w:pPr>
            <w:r/>
            <w:r>
              <w:t>stability = (d1+d7+d8)/3</w:t>
            </w:r>
          </w:p>
        </w:tc>
        <w:tc>
          <w:tcPr>
            <w:tcW w:type="dxa" w:w="3137"/>
            <w:vAlign w:val="center"/>
          </w:tcPr>
          <w:p>
            <w:pPr>
              <w:ind w:firstLine="0" w:left="0" w:right="0"/>
              <w:jc w:val="center"/>
            </w:pPr>
            <w:r/>
            <w:r>
              <w:t>本体+秩序+价值协同抗扰动能力</w:t>
            </w:r>
          </w:p>
        </w:tc>
      </w:tr>
    </w:tbl>
    <w:p>
      <w:pPr>
        <w:pStyle w:val="BodyText"/>
      </w:pPr>
      <w:r>
        <w:t>指标联动规则：张力高 + 通畅低 → 必须优先恢复中介通道；势能高 + 稳固低 → 虚火、禁强显化；稳固低 + 张力高 → 最危险组合；通畅高 + 张力低 → 健康可调节。系统还定义四类硬阻滞：d6=2∧d7=0、d5=2∧d4=0、d9=2∧d8=0、d1=0∧d9=2，以及“耦合对差值 ≥2”的耦合警示。</w:t>
      </w:r>
    </w:p>
    <w:p>
      <w:pPr>
        <w:pStyle w:val="Heading3"/>
      </w:pPr>
      <w:r>
        <w:t>4.4 步骤三：吸引子判别</w:t>
      </w:r>
    </w:p>
    <w:p>
      <w:pPr>
        <w:pStyle w:val="BodyText"/>
      </w:pPr>
      <w:r>
        <w:rPr>
          <w:rFonts w:ascii="Courier New" w:hAnsi="Courier New"/>
        </w:rPr>
        <w:t>matchAttractor(S, dx, ctx)</w:t>
      </w:r>
      <w:r>
        <w:t xml:space="preserve"> 对六个吸引子（中和/枢转/潜藏/升举/显化/关系）计算适配度 fit：结构特征打分（如潜藏：阴虚阳浮 +3、阳虚寒盛 +2、d1=d4=d8=0 同潜 +3；显化需过“显化门限”d4=2 ∨ (d3=0∧d2=2) ∨ (d5=2∧d4≥1)）+ 宏观标签先验加成（六经/体质/八纲 → 吸引子，读取 </w:t>
      </w:r>
      <w:r>
        <w:rPr>
          <w:rFonts w:ascii="Courier New" w:hAnsi="Courier New"/>
        </w:rPr>
        <w:t>ctx.tags ∪ ctx.liujing ∪ ctx.tizhi</w:t>
      </w:r>
      <w:r>
        <w:t>）。按框架规定的切换顺序（中和→枢转→潜藏→升举→显化→关系）取最高分；分数 ≤0 时兜底回“中和”。</w:t>
      </w:r>
    </w:p>
    <w:p>
      <w:pPr>
        <w:pStyle w:val="Heading3"/>
      </w:pPr>
      <w:r>
        <w:t>4.5 步骤四～八：方剂评分、迁移路径与配伍审查</w:t>
      </w:r>
    </w:p>
    <w:p>
      <w:pPr>
        <w:pStyle w:val="BodyText"/>
      </w:pPr>
      <w:r>
        <w:rPr>
          <w:b/>
        </w:rPr>
        <w:t>评分</w:t>
      </w:r>
      <w:r>
        <w:t>：对每首方剂计算</w:t>
      </w:r>
    </w:p>
    <w:p>
      <w:pPr>
        <w:pStyle w:val="Code"/>
      </w:pPr>
      <w:r>
        <w:t>score = −Σ wᵢ·|Sᵢ − vᵢ|        （wᵢ：d1/d3/d7=1.5，其余=1.0）</w:t>
        <w:br/>
        <w:t xml:space="preserve">      + 吸引子契合（主吸引子 +4）</w:t>
        <w:br/>
        <w:t xml:space="preserve">      + 标签互证（八纲/六经/体质与方剂适用辨证一致，≤+4）</w:t>
        <w:br/>
        <w:t xml:space="preserve">      − 禁忌惩罚 P</w:t>
      </w:r>
    </w:p>
    <w:p>
      <w:pPr>
        <w:pStyle w:val="BodyText"/>
      </w:pPr>
      <w:r>
        <w:rPr>
          <w:b/>
        </w:rPr>
        <w:t>硬拦截（不入候选，单独列出）</w:t>
      </w:r>
      <w:r>
        <w:t xml:space="preserve">：妊娠禁用；d1=0 禁强显化；稳固系数 ≤0.5 禁强攻强汗；证候禁忌（如表虚自汗忌用麻黄汤等，P2 起读取 </w:t>
      </w:r>
      <w:r>
        <w:rPr>
          <w:rFonts w:ascii="Courier New" w:hAnsi="Courier New"/>
        </w:rPr>
        <w:t>ctx.symTags</w:t>
      </w:r>
      <w:r>
        <w:t xml:space="preserve"> 中的“表虚”）。</w:t>
      </w:r>
      <w:r>
        <w:rPr>
          <w:b/>
        </w:rPr>
        <w:t>软惩罚（保留候选但降权）</w:t>
      </w:r>
      <w:r>
        <w:t>：证候指征不足（如补阳还五汤在无瘀血证据时降权，P5 起读取“瘀”tag）；慎用条件。</w:t>
      </w:r>
    </w:p>
    <w:p>
      <w:pPr>
        <w:pStyle w:val="BodyText"/>
      </w:pPr>
      <w:r>
        <w:rPr>
          <w:b/>
        </w:rPr>
        <w:t>迁移路径</w:t>
      </w:r>
      <w:r>
        <w:t>：</w:t>
      </w:r>
      <w:r>
        <w:rPr>
          <w:rFonts w:ascii="Courier New" w:hAnsi="Courier New"/>
        </w:rPr>
        <w:t>buildPath(S)</w:t>
      </w:r>
      <w:r>
        <w:t xml:space="preserve"> 每步单维 ±1，先升/收敛到中介通道 1，禁止 0↔2 直跳；层级递进顺序 PATH_ORDER=[d1, d7, d3, d6, d5, d4, d8, d2, d9]（先修承载维 d1/d7/d3 → 关系 d6/信息 d5 → 能量 d4 → 收敛价值 d8/时间 d2/行动 d9）；</w:t>
      </w:r>
      <w:r>
        <w:rPr>
          <w:rFonts w:ascii="Courier New" w:hAnsi="Courier New"/>
        </w:rPr>
        <w:t>nextState</w:t>
      </w:r>
      <w:r>
        <w:t xml:space="preserve"> 取前 3 步施加后的 S₁ 供用户预览。</w:t>
      </w:r>
    </w:p>
    <w:p>
      <w:pPr>
        <w:pStyle w:val="BodyText"/>
      </w:pPr>
      <w:r>
        <w:rPr>
          <w:b/>
        </w:rPr>
        <w:t>Top-3 增强</w:t>
      </w:r>
      <w:r>
        <w:t>：</w:t>
      </w:r>
      <w:r>
        <w:rPr>
          <w:rFonts w:ascii="Courier New" w:hAnsi="Courier New"/>
        </w:rPr>
        <w:t>run()</w:t>
      </w:r>
      <w:r>
        <w:t xml:space="preserve"> 对通过方剂的 Top-3 附加原方配伍审查（compat：十八反/十九畏/相恶/妊娠/毒性）、</w:t>
      </w:r>
      <w:r>
        <w:rPr>
          <w:b/>
        </w:rPr>
        <w:t>建议加味后的全方复查</w:t>
      </w:r>
      <w:r>
        <w:t>（compatFull：把各维度加减思路中的药并入原方重新审查，避免“原方安全、加味中毒”漏报）、逐步迁移路径、预期下一状态 S₁ 与按剩余偏差生成的加减思路。</w:t>
      </w:r>
    </w:p>
    <w:p>
      <w:pPr>
        <w:pStyle w:val="BodyText"/>
      </w:pPr>
      <w:r>
        <w:rPr>
          <w:b/>
        </w:rPr>
        <w:t>配伍禁忌审查</w:t>
      </w:r>
      <w:r>
        <w:t>：</w:t>
      </w:r>
      <w:r>
        <w:rPr>
          <w:rFonts w:ascii="Courier New" w:hAnsi="Courier New"/>
        </w:rPr>
        <w:t>checkCompat(herbList, ctx)</w:t>
      </w:r>
      <w:r>
        <w:t xml:space="preserve"> 覆盖十八反表（含附子→半夏/瓜蒌/贝母/白蔹/白及，附子按乌头类炮制品识别）、十九畏表、相恶表、妊娠禁用/慎用表与毒性分级（大毒十去其六、有毒十去其七、小毒十去其八），输出分级条目供界面着色。</w:t>
      </w:r>
    </w:p>
    <w:p>
      <w:pPr>
        <w:pStyle w:val="Heading3"/>
      </w:pPr>
      <w:r>
        <w:t>4.6 确定性原则</w:t>
      </w:r>
    </w:p>
    <w:p>
      <w:pPr>
        <w:pStyle w:val="BodyText"/>
      </w:pPr>
      <w:r>
        <w:t>框架的状态更新公式为“新状态 = 当前状态 + 牵引力 − 阻力 + 噪声”。系统在牵引力（路径与方剂评分）、阻力（禁忌惩罚与硬阻滞）两端给出一一对应实现，而将噪声置 0——这是换取可复现、可回归、可审计设计目标的必要取舍。</w:t>
      </w:r>
    </w:p>
    <w:p>
      <w:pPr>
        <w:pStyle w:val="Heading2"/>
      </w:pPr>
      <w:r>
        <w:t>5 实现</w:t>
      </w:r>
    </w:p>
    <w:p>
      <w:pPr>
        <w:pStyle w:val="Heading3"/>
      </w:pPr>
      <w:r>
        <w:t>5.1 数据规模</w:t>
      </w:r>
    </w:p>
    <w:p>
      <w:pPr>
        <w:pStyle w:val="BodyText"/>
      </w:pPr>
      <w:r>
        <w:t>系统内置数据（data.js 实测）：症状/体征 75 项（寒热 9 + 头身 16 + 二便 12 + 情志 7 + 皮肤 6 + 舌象 8 + 脉象 11 + 情境 6）；宏观标签 23 个（八纲 8 / 六经 6 / 体质 9）；方剂 14 首（桂枝汤、六味地黄丸、麻黄汤、小柴胡汤、补中益气汤、四逆汤、理中丸、逍遥散、血府逐瘀汤、补阳还五汤、龙胆泻肝汤、茵陈蒿汤、白虎汤、大承气汤）；药材 66 味（四气五味归经毒性 + 九维操作）；映射表 11 组。全部数据以结构化 JS 常量声明，供审计与重新标注。</w:t>
      </w:r>
    </w:p>
    <w:p>
      <w:pPr>
        <w:pStyle w:val="Heading3"/>
      </w:pPr>
      <w:r>
        <w:t>5.2 界面与交互</w:t>
      </w:r>
    </w:p>
    <w:p>
      <w:pPr>
        <w:pStyle w:val="BodyText"/>
      </w:pPr>
      <w:r>
        <w:t>界面为三步向导：选择症状 → 选择宏观标签（八纲/六经/体质）→ 生成推演报告。报告包含九维雷达图、五项指标、吸引子卡片、方剂卡（含原方审查与全方复查双日志）、逐步迁移总览（判别条件、六吸引子适配度）与中和态专卡（E=0 时提示无需药物干预，不渲染处方推荐）。推演记录以 localStorage 保存（最多 50 条，无云端）。</w:t>
      </w:r>
    </w:p>
    <w:p>
      <w:pPr>
        <w:pStyle w:val="Heading3"/>
      </w:pPr>
      <w:r>
        <w:t>5.3 构建与可测试性</w:t>
      </w:r>
    </w:p>
    <w:p>
      <w:pPr>
        <w:pStyle w:val="ListBullet"/>
      </w:pPr>
      <w:r>
        <w:rPr>
          <w:b/>
        </w:rPr>
        <w:t>引擎可独立运行</w:t>
      </w:r>
      <w:r>
        <w:t>：</w:t>
      </w:r>
      <w:r>
        <w:rPr>
          <w:rFonts w:ascii="Courier New" w:hAnsi="Courier New"/>
        </w:rPr>
        <w:t>data.js + engine.js</w:t>
      </w:r>
      <w:r>
        <w:t xml:space="preserve"> 拼接后在 Node 中直接执行，全部推理逻辑可脚本化验证；</w:t>
      </w:r>
    </w:p>
    <w:p>
      <w:pPr>
        <w:pStyle w:val="ListBullet"/>
      </w:pPr>
      <w:r>
        <w:rPr>
          <w:b/>
        </w:rPr>
        <w:t>界面可 jsdom 冒烟</w:t>
      </w:r>
      <w:r>
        <w:t>：将三份 js 内联进 index.html 后在 jsdom 中模拟完整推演流程（对 canvas/alert/confirm 注入 stub）；</w:t>
      </w:r>
    </w:p>
    <w:p>
      <w:pPr>
        <w:pStyle w:val="ListBullet"/>
      </w:pPr>
      <w:r>
        <w:rPr>
          <w:b/>
        </w:rPr>
        <w:t>零依赖</w:t>
      </w:r>
      <w:r>
        <w:t>：js 侧无第三方库、无网络请求，适合离线审计与重新打包；</w:t>
      </w:r>
    </w:p>
    <w:p>
      <w:pPr>
        <w:pStyle w:val="ListBullet"/>
      </w:pPr>
      <w:r>
        <w:rPr>
          <w:b/>
        </w:rPr>
        <w:t>版本控制</w:t>
      </w:r>
      <w:r>
        <w:t>：v1.1 仅修改 data.js/engine.js/app.js 三文件与版本号相关字段，变更面小、可追溯。</w:t>
      </w:r>
    </w:p>
    <w:p>
      <w:pPr>
        <w:pStyle w:val="Heading2"/>
      </w:pPr>
      <w:r>
        <w:t>6 验证与评估</w:t>
      </w:r>
    </w:p>
    <w:p>
      <w:pPr>
        <w:pStyle w:val="Heading3"/>
      </w:pPr>
      <w:r>
        <w:t>6.1 验证方法</w:t>
      </w:r>
    </w:p>
    <w:p>
      <w:pPr>
        <w:pStyle w:val="BodyText"/>
      </w:pPr>
      <w:r>
        <w:t>验证采用四层方法：(1) 全量源码通读（数据、引擎、界面、清单、构建脚本）；(2) 引擎动态验证：数据层与引擎拼接为单文件后在 Node 中运行；(3) UI 冒烟验证：jsdom 内联三份 js 模拟完整推演流程；(4) 基线对齐：用同一脚本对 v1.0 与 v1.1 逐项对照，确认除修复点外无行为漂移。</w:t>
      </w:r>
    </w:p>
    <w:p>
      <w:pPr>
        <w:pStyle w:val="Heading3"/>
      </w:pPr>
      <w:r>
        <w:t>6.2 v1.0 审查结论</w:t>
      </w:r>
    </w:p>
    <w:p>
      <w:pPr>
        <w:pStyle w:val="BodyText"/>
      </w:pPr>
      <w:r>
        <w:t>27 项逐条核对：一致 19 项、部分实现 6 项、未达成 2 项。其中三项被确认为真实安全性缺陷：表虚自汗硬拦截失效（P2）、加味后全方复查缺失（P3）、附子→乌头类十八反失效（P4）。</w:t>
      </w:r>
    </w:p>
    <w:p>
      <w:pPr>
        <w:pStyle w:val="Heading3"/>
      </w:pPr>
      <w:r>
        <w:t>6.3 v1.1 修复清单与验证结果</w:t>
      </w:r>
    </w:p>
    <w:tbl>
      <w:tblPr>
        <w:tblStyle w:val="TableGrid"/>
        <w:tblW w:type="auto" w:w="0"/>
        <w:jc w:val="center"/>
        <w:tblLook w:firstColumn="1" w:firstRow="1" w:lastColumn="0" w:lastRow="0" w:noHBand="0" w:noVBand="1" w:val="04A0"/>
        <w:tblBorders>
          <w:top w:val="single" w:sz="12" w:space="0" w:color="000000"/>
          <w:bottom w:val="single" w:sz="12" w:space="0" w:color="000000"/>
          <w:insideH w:val="nil" w:sz="0" w:space="0" w:color="000000"/>
          <w:insideV w:val="nil" w:sz="0" w:space="0" w:color="000000"/>
          <w:start w:val="nil" w:sz="0" w:space="0" w:color="000000"/>
          <w:end w:val="nil" w:sz="0" w:space="0" w:color="000000"/>
        </w:tblBorders>
      </w:tblPr>
      <w:tblGrid>
        <w:gridCol w:w="2353"/>
        <w:gridCol w:w="2353"/>
        <w:gridCol w:w="2353"/>
        <w:gridCol w:w="2353"/>
      </w:tblGrid>
      <w:tr>
        <w:tc>
          <w:tcPr>
            <w:tcW w:type="dxa" w:w="2353"/>
            <w:vAlign w:val="center"/>
            <w:tcBorders>
              <w:bottom w:val="single" w:sz="6" w:space="0" w:color="000000"/>
            </w:tcBorders>
          </w:tcPr>
          <w:p>
            <w:pPr>
              <w:ind w:firstLine="0" w:left="0" w:right="0"/>
              <w:jc w:val="center"/>
            </w:pPr>
            <w:r/>
            <w:r>
              <w:t>编号</w:t>
            </w:r>
          </w:p>
        </w:tc>
        <w:tc>
          <w:tcPr>
            <w:tcW w:type="dxa" w:w="2353"/>
            <w:vAlign w:val="center"/>
            <w:tcBorders>
              <w:bottom w:val="single" w:sz="6" w:space="0" w:color="000000"/>
            </w:tcBorders>
          </w:tcPr>
          <w:p>
            <w:pPr>
              <w:ind w:firstLine="0" w:left="0" w:right="0"/>
              <w:jc w:val="center"/>
            </w:pPr>
            <w:r/>
            <w:r>
              <w:t>等级</w:t>
            </w:r>
          </w:p>
        </w:tc>
        <w:tc>
          <w:tcPr>
            <w:tcW w:type="dxa" w:w="2353"/>
            <w:vAlign w:val="center"/>
            <w:tcBorders>
              <w:bottom w:val="single" w:sz="6" w:space="0" w:color="000000"/>
            </w:tcBorders>
          </w:tcPr>
          <w:p>
            <w:pPr>
              <w:ind w:firstLine="0" w:left="0" w:right="0"/>
              <w:jc w:val="center"/>
            </w:pPr>
            <w:r/>
            <w:r>
              <w:t>修复方式</w:t>
            </w:r>
          </w:p>
        </w:tc>
        <w:tc>
          <w:tcPr>
            <w:tcW w:type="dxa" w:w="2353"/>
            <w:vAlign w:val="center"/>
            <w:tcBorders>
              <w:bottom w:val="single" w:sz="6" w:space="0" w:color="000000"/>
            </w:tcBorders>
          </w:tcPr>
          <w:p>
            <w:pPr>
              <w:ind w:firstLine="0" w:left="0" w:right="0"/>
              <w:jc w:val="center"/>
            </w:pPr>
            <w:r/>
            <w:r>
              <w:t>验证结果</w:t>
            </w:r>
          </w:p>
        </w:tc>
      </w:tr>
      <w:tr>
        <w:tc>
          <w:tcPr>
            <w:tcW w:type="dxa" w:w="2353"/>
            <w:vAlign w:val="center"/>
          </w:tcPr>
          <w:p>
            <w:pPr>
              <w:ind w:firstLine="0" w:left="0" w:right="0"/>
              <w:jc w:val="center"/>
            </w:pPr>
            <w:r/>
            <w:r>
              <w:t>P1</w:t>
            </w:r>
          </w:p>
        </w:tc>
        <w:tc>
          <w:tcPr>
            <w:tcW w:type="dxa" w:w="2353"/>
            <w:vAlign w:val="center"/>
          </w:tcPr>
          <w:p>
            <w:pPr>
              <w:ind w:firstLine="0" w:left="0" w:right="0"/>
              <w:jc w:val="center"/>
            </w:pPr>
            <w:r/>
            <w:r>
              <w:t>中</w:t>
            </w:r>
          </w:p>
        </w:tc>
        <w:tc>
          <w:tcPr>
            <w:tcW w:type="dxa" w:w="2353"/>
            <w:vAlign w:val="center"/>
          </w:tcPr>
          <w:p>
            <w:pPr>
              <w:ind w:firstLine="0" w:left="0" w:right="0"/>
              <w:jc w:val="center"/>
            </w:pPr>
            <w:r/>
            <w:r>
              <w:t>症状数口径 60→75（文档修订）</w:t>
            </w:r>
          </w:p>
        </w:tc>
        <w:tc>
          <w:tcPr>
            <w:tcW w:type="dxa" w:w="2353"/>
            <w:vAlign w:val="center"/>
          </w:tcPr>
          <w:p>
            <w:pPr>
              <w:ind w:firstLine="0" w:left="0" w:right="0"/>
              <w:jc w:val="center"/>
            </w:pPr>
            <w:r/>
            <w:r>
              <w:t>文档已核</w:t>
            </w:r>
          </w:p>
        </w:tc>
      </w:tr>
      <w:tr>
        <w:tc>
          <w:tcPr>
            <w:tcW w:type="dxa" w:w="2353"/>
            <w:vAlign w:val="center"/>
          </w:tcPr>
          <w:p>
            <w:pPr>
              <w:ind w:firstLine="0" w:left="0" w:right="0"/>
              <w:jc w:val="center"/>
            </w:pPr>
            <w:r/>
            <w:r>
              <w:t>P2</w:t>
            </w:r>
          </w:p>
        </w:tc>
        <w:tc>
          <w:tcPr>
            <w:tcW w:type="dxa" w:w="2353"/>
            <w:vAlign w:val="center"/>
          </w:tcPr>
          <w:p>
            <w:pPr>
              <w:ind w:firstLine="0" w:left="0" w:right="0"/>
              <w:jc w:val="center"/>
            </w:pPr>
            <w:r/>
            <w:r>
              <w:t>高</w:t>
            </w:r>
          </w:p>
        </w:tc>
        <w:tc>
          <w:tcPr>
            <w:tcW w:type="dxa" w:w="2353"/>
            <w:vAlign w:val="center"/>
          </w:tcPr>
          <w:p>
            <w:pPr>
              <w:ind w:firstLine="0" w:left="0" w:right="0"/>
              <w:jc w:val="center"/>
            </w:pPr>
            <w:r/>
            <w:r>
              <w:t>ctx.symTags 透传；表虚自汗证候禁忌硬拦截</w:t>
            </w:r>
          </w:p>
        </w:tc>
        <w:tc>
          <w:tcPr>
            <w:tcW w:type="dxa" w:w="2353"/>
            <w:vAlign w:val="center"/>
          </w:tcPr>
          <w:p>
            <w:pPr>
              <w:ind w:firstLine="0" w:left="0" w:right="0"/>
              <w:jc w:val="center"/>
            </w:pPr>
            <w:r/>
            <w:r>
              <w:t>回归拦截；UI 拦截列表渲染</w:t>
            </w:r>
          </w:p>
        </w:tc>
      </w:tr>
      <w:tr>
        <w:tc>
          <w:tcPr>
            <w:tcW w:type="dxa" w:w="2353"/>
            <w:vAlign w:val="center"/>
          </w:tcPr>
          <w:p>
            <w:pPr>
              <w:ind w:firstLine="0" w:left="0" w:right="0"/>
              <w:jc w:val="center"/>
            </w:pPr>
            <w:r/>
            <w:r>
              <w:t>P3</w:t>
            </w:r>
          </w:p>
        </w:tc>
        <w:tc>
          <w:tcPr>
            <w:tcW w:type="dxa" w:w="2353"/>
            <w:vAlign w:val="center"/>
          </w:tcPr>
          <w:p>
            <w:pPr>
              <w:ind w:firstLine="0" w:left="0" w:right="0"/>
              <w:jc w:val="center"/>
            </w:pPr>
            <w:r/>
            <w:r>
              <w:t>高</w:t>
            </w:r>
          </w:p>
        </w:tc>
        <w:tc>
          <w:tcPr>
            <w:tcW w:type="dxa" w:w="2353"/>
            <w:vAlign w:val="center"/>
          </w:tcPr>
          <w:p>
            <w:pPr>
              <w:ind w:firstLine="0" w:left="0" w:right="0"/>
              <w:jc w:val="center"/>
            </w:pPr>
            <w:r/>
            <w:r>
              <w:t>Top-3 原方+加味全方复查 compatFull；UI 双段日志</w:t>
            </w:r>
          </w:p>
        </w:tc>
        <w:tc>
          <w:tcPr>
            <w:tcW w:type="dxa" w:w="2353"/>
            <w:vAlign w:val="center"/>
          </w:tcPr>
          <w:p>
            <w:pPr>
              <w:ind w:firstLine="0" w:left="0" w:right="0"/>
              <w:jc w:val="center"/>
            </w:pPr>
            <w:r/>
            <w:r>
              <w:t>回归含“附子 反 半夏”；UI 全方复查渲染</w:t>
            </w:r>
          </w:p>
        </w:tc>
      </w:tr>
      <w:tr>
        <w:tc>
          <w:tcPr>
            <w:tcW w:type="dxa" w:w="2353"/>
            <w:vAlign w:val="center"/>
          </w:tcPr>
          <w:p>
            <w:pPr>
              <w:ind w:firstLine="0" w:left="0" w:right="0"/>
              <w:jc w:val="center"/>
            </w:pPr>
            <w:r/>
            <w:r>
              <w:t>P4</w:t>
            </w:r>
          </w:p>
        </w:tc>
        <w:tc>
          <w:tcPr>
            <w:tcW w:type="dxa" w:w="2353"/>
            <w:vAlign w:val="center"/>
          </w:tcPr>
          <w:p>
            <w:pPr>
              <w:ind w:firstLine="0" w:left="0" w:right="0"/>
              <w:jc w:val="center"/>
            </w:pPr>
            <w:r/>
            <w:r>
              <w:t>高</w:t>
            </w:r>
          </w:p>
        </w:tc>
        <w:tc>
          <w:tcPr>
            <w:tcW w:type="dxa" w:w="2353"/>
            <w:vAlign w:val="center"/>
          </w:tcPr>
          <w:p>
            <w:pPr>
              <w:ind w:firstLine="0" w:left="0" w:right="0"/>
              <w:jc w:val="center"/>
            </w:pPr>
            <w:r/>
            <w:r>
              <w:t>十八反补附子→半夏/瓜蒌/贝母/白蔹/白及</w:t>
            </w:r>
          </w:p>
        </w:tc>
        <w:tc>
          <w:tcPr>
            <w:tcW w:type="dxa" w:w="2353"/>
            <w:vAlign w:val="center"/>
          </w:tcPr>
          <w:p>
            <w:pPr>
              <w:ind w:firstLine="0" w:left="0" w:right="0"/>
              <w:jc w:val="center"/>
            </w:pPr>
            <w:r/>
            <w:r>
              <w:t>checkCompat 识别“反”；UI 危险提示渲染</w:t>
            </w:r>
          </w:p>
        </w:tc>
      </w:tr>
      <w:tr>
        <w:tc>
          <w:tcPr>
            <w:tcW w:type="dxa" w:w="2353"/>
            <w:vAlign w:val="center"/>
          </w:tcPr>
          <w:p>
            <w:pPr>
              <w:ind w:firstLine="0" w:left="0" w:right="0"/>
              <w:jc w:val="center"/>
            </w:pPr>
            <w:r/>
            <w:r>
              <w:t>P5</w:t>
            </w:r>
          </w:p>
        </w:tc>
        <w:tc>
          <w:tcPr>
            <w:tcW w:type="dxa" w:w="2353"/>
            <w:vAlign w:val="center"/>
          </w:tcPr>
          <w:p>
            <w:pPr>
              <w:ind w:firstLine="0" w:left="0" w:right="0"/>
              <w:jc w:val="center"/>
            </w:pPr>
            <w:r/>
            <w:r>
              <w:t>中</w:t>
            </w:r>
          </w:p>
        </w:tc>
        <w:tc>
          <w:tcPr>
            <w:tcW w:type="dxa" w:w="2353"/>
            <w:vAlign w:val="center"/>
          </w:tcPr>
          <w:p>
            <w:pPr>
              <w:ind w:firstLine="0" w:left="0" w:right="0"/>
              <w:jc w:val="center"/>
            </w:pPr>
            <w:r/>
            <w:r>
              <w:t>瘀血四症证据透传</w:t>
            </w:r>
          </w:p>
        </w:tc>
        <w:tc>
          <w:tcPr>
            <w:tcW w:type="dxa" w:w="2353"/>
            <w:vAlign w:val="center"/>
          </w:tcPr>
          <w:p>
            <w:pPr>
              <w:ind w:firstLine="0" w:left="0" w:right="0"/>
              <w:jc w:val="center"/>
            </w:pPr>
            <w:r/>
            <w:r>
              <w:t>补阳还五汤无指征不足警告、未被硬拦截</w:t>
            </w:r>
          </w:p>
        </w:tc>
      </w:tr>
      <w:tr>
        <w:tc>
          <w:tcPr>
            <w:tcW w:type="dxa" w:w="2353"/>
            <w:vAlign w:val="center"/>
          </w:tcPr>
          <w:p>
            <w:pPr>
              <w:ind w:firstLine="0" w:left="0" w:right="0"/>
              <w:jc w:val="center"/>
            </w:pPr>
            <w:r/>
            <w:r>
              <w:t>P6</w:t>
            </w:r>
          </w:p>
        </w:tc>
        <w:tc>
          <w:tcPr>
            <w:tcW w:type="dxa" w:w="2353"/>
            <w:vAlign w:val="center"/>
          </w:tcPr>
          <w:p>
            <w:pPr>
              <w:ind w:firstLine="0" w:left="0" w:right="0"/>
              <w:jc w:val="center"/>
            </w:pPr>
            <w:r/>
            <w:r>
              <w:t>低</w:t>
            </w:r>
          </w:p>
        </w:tc>
        <w:tc>
          <w:tcPr>
            <w:tcW w:type="dxa" w:w="2353"/>
            <w:vAlign w:val="center"/>
          </w:tcPr>
          <w:p>
            <w:pPr>
              <w:ind w:firstLine="0" w:left="0" w:right="0"/>
              <w:jc w:val="center"/>
            </w:pPr>
            <w:r/>
            <w:r>
              <w:t>中和态(E=0)改专卡，不渲染处方 Top</w:t>
            </w:r>
          </w:p>
        </w:tc>
        <w:tc>
          <w:tcPr>
            <w:tcW w:type="dxa" w:w="2353"/>
            <w:vAlign w:val="center"/>
          </w:tcPr>
          <w:p>
            <w:pPr>
              <w:ind w:firstLine="0" w:left="0" w:right="0"/>
              <w:jc w:val="center"/>
            </w:pPr>
            <w:r/>
            <w:r>
              <w:t>E=0 &amp; 吸引子=中和；UI 专卡无 f-card</w:t>
            </w:r>
          </w:p>
        </w:tc>
      </w:tr>
      <w:tr>
        <w:tc>
          <w:tcPr>
            <w:tcW w:type="dxa" w:w="2353"/>
            <w:vAlign w:val="center"/>
          </w:tcPr>
          <w:p>
            <w:pPr>
              <w:ind w:firstLine="0" w:left="0" w:right="0"/>
              <w:jc w:val="center"/>
            </w:pPr>
            <w:r/>
            <w:r>
              <w:t>P7</w:t>
            </w:r>
          </w:p>
        </w:tc>
        <w:tc>
          <w:tcPr>
            <w:tcW w:type="dxa" w:w="2353"/>
            <w:vAlign w:val="center"/>
          </w:tcPr>
          <w:p>
            <w:pPr>
              <w:ind w:firstLine="0" w:left="0" w:right="0"/>
              <w:jc w:val="center"/>
            </w:pPr>
            <w:r/>
            <w:r>
              <w:t>低</w:t>
            </w:r>
          </w:p>
        </w:tc>
        <w:tc>
          <w:tcPr>
            <w:tcW w:type="dxa" w:w="2353"/>
            <w:vAlign w:val="center"/>
          </w:tcPr>
          <w:p>
            <w:pPr>
              <w:ind w:firstLine="0" w:left="0" w:right="0"/>
              <w:jc w:val="center"/>
            </w:pPr>
            <w:r/>
            <w:r>
              <w:t>buildPath 按起止态语义化文案</w:t>
            </w:r>
          </w:p>
        </w:tc>
        <w:tc>
          <w:tcPr>
            <w:tcW w:type="dxa" w:w="2353"/>
            <w:vAlign w:val="center"/>
          </w:tcPr>
          <w:p>
            <w:pPr>
              <w:ind w:firstLine="0" w:left="0" w:right="0"/>
              <w:jc w:val="center"/>
            </w:pPr>
            <w:r/>
            <w:r>
              <w:t>无旧固定文案</w:t>
            </w:r>
          </w:p>
        </w:tc>
      </w:tr>
      <w:tr>
        <w:tc>
          <w:tcPr>
            <w:tcW w:type="dxa" w:w="2353"/>
            <w:vAlign w:val="center"/>
          </w:tcPr>
          <w:p>
            <w:pPr>
              <w:ind w:firstLine="0" w:left="0" w:right="0"/>
              <w:jc w:val="center"/>
            </w:pPr>
            <w:r/>
            <w:r>
              <w:t>P8</w:t>
            </w:r>
          </w:p>
        </w:tc>
        <w:tc>
          <w:tcPr>
            <w:tcW w:type="dxa" w:w="2353"/>
            <w:vAlign w:val="center"/>
          </w:tcPr>
          <w:p>
            <w:pPr>
              <w:ind w:firstLine="0" w:left="0" w:right="0"/>
              <w:jc w:val="center"/>
            </w:pPr>
            <w:r/>
            <w:r>
              <w:t>低</w:t>
            </w:r>
          </w:p>
        </w:tc>
        <w:tc>
          <w:tcPr>
            <w:tcW w:type="dxa" w:w="2353"/>
            <w:vAlign w:val="center"/>
          </w:tcPr>
          <w:p>
            <w:pPr>
              <w:ind w:firstLine="0" w:left="0" w:right="0"/>
              <w:jc w:val="center"/>
            </w:pPr>
            <w:r/>
            <w:r>
              <w:t>迁移总览补 scene/cond/switchPre/risk 与六吸引子适配度</w:t>
            </w:r>
          </w:p>
        </w:tc>
        <w:tc>
          <w:tcPr>
            <w:tcW w:type="dxa" w:w="2353"/>
            <w:vAlign w:val="center"/>
          </w:tcPr>
          <w:p>
            <w:pPr>
              <w:ind w:firstLine="0" w:left="0" w:right="0"/>
              <w:jc w:val="center"/>
            </w:pPr>
            <w:r/>
            <w:r>
              <w:t>UI 判别条件/六吸引子渲染</w:t>
            </w:r>
          </w:p>
        </w:tc>
      </w:tr>
    </w:tbl>
    <w:p>
      <w:pPr>
        <w:pStyle w:val="BodyText"/>
      </w:pPr>
      <w:r>
        <w:t xml:space="preserve">验证过程还发现并修复一处独立致命缺陷：v1.1 初版 app.js 因 P6 重构引入未闭合的 </w:t>
      </w:r>
      <w:r>
        <w:rPr>
          <w:rFonts w:ascii="Courier New" w:hAnsi="Courier New"/>
        </w:rPr>
        <w:t>else</w:t>
      </w:r>
      <w:r>
        <w:t xml:space="preserve"> 分支，</w:t>
      </w:r>
      <w:r>
        <w:rPr>
          <w:rFonts w:ascii="Courier New" w:hAnsi="Courier New"/>
        </w:rPr>
        <w:t>node --check</w:t>
      </w:r>
      <w:r>
        <w:t xml:space="preserve"> 报 </w:t>
      </w:r>
      <w:r>
        <w:rPr>
          <w:rFonts w:ascii="Courier New" w:hAnsi="Courier New"/>
        </w:rPr>
        <w:t>Unexpected end of input</w:t>
      </w:r>
      <w:r>
        <w:t>（会导致浏览器白屏），定位修复后语法校验通过。</w:t>
      </w:r>
    </w:p>
    <w:p>
      <w:pPr>
        <w:pStyle w:val="Heading3"/>
      </w:pPr>
      <w:r>
        <w:t>6.4 回归与冒烟结果</w:t>
      </w:r>
    </w:p>
    <w:p>
      <w:pPr>
        <w:pStyle w:val="BodyText"/>
      </w:pPr>
      <w:r>
        <w:rPr>
          <w:b/>
        </w:rPr>
        <w:t>引擎回归 26/26 通过</w:t>
      </w:r>
      <w:r>
        <w:t>。与 v1.0 baseline 对齐的 6 组典型证型（阳明热盛、少阴寒化、肝郁气滞、阴虚火旺、妊娠状态、中和态）+ P2–P5/P7 定向验证 + 2 项根因检查。以少阴寒化冒烟场景为例：症状选“恶寒明显添衣不解/四肢厥冷/大便溏泄/小便清长/舌淡苔白/脉沉”，标签选“寒证/阴证/少阴病”，体质选“阳虚质”，输出 S=(0,1,0,0,1,0,0,0,0)、吸引子=潜藏(15)、Top=四逆汤(8)/理中丸(8)，与 v1.0 基线完全一致。</w:t>
      </w:r>
    </w:p>
    <w:p>
      <w:pPr>
        <w:pStyle w:val="BodyText"/>
      </w:pPr>
      <w:r>
        <w:rPr>
          <w:b/>
        </w:rPr>
        <w:t>UI 冒烟 16/16 通过</w:t>
      </w:r>
      <w:r>
        <w:t>。覆盖：初始化渲染；少阴寒化全流程（潜藏卡、四逆汤卡、双审查区块、迁移总览）；中和态专卡（不渲染处方 Top）；表虚自汗拦截；瘀血四症补阳还五汤无警告；少阳+阳虚全方复查含“附子 反 半夏”；localStorage 记录保存与回读；全程无运行时错误。</w:t>
      </w:r>
    </w:p>
    <w:p>
      <w:pPr>
        <w:pStyle w:val="BodyText"/>
      </w:pPr>
      <w:r>
        <w:rPr>
          <w:b/>
        </w:rPr>
        <w:t>构建验证</w:t>
      </w:r>
      <w:r>
        <w:t>：完整链路上产出签名 APK（54,368 B），</w:t>
      </w:r>
      <w:r>
        <w:rPr>
          <w:rFonts w:ascii="Courier New" w:hAnsi="Courier New"/>
        </w:rPr>
        <w:t>apksigner verify</w:t>
      </w:r>
      <w:r>
        <w:t>、</w:t>
      </w:r>
      <w:r>
        <w:rPr>
          <w:rFonts w:ascii="Courier New" w:hAnsi="Courier New"/>
        </w:rPr>
        <w:t>aapt2 dump badging</w:t>
      </w:r>
      <w:r>
        <w:t xml:space="preserve"> 通过；证书 SHA-256 8067d085…；assets 与 dex 完整。</w:t>
      </w:r>
    </w:p>
    <w:p>
      <w:pPr>
        <w:pStyle w:val="Heading3"/>
      </w:pPr>
      <w:r>
        <w:t>6.5 局限</w:t>
      </w:r>
    </w:p>
    <w:p>
      <w:pPr>
        <w:pStyle w:val="BodyText"/>
      </w:pPr>
      <w:r>
        <w:t xml:space="preserve">系统明确存在以下边界：(1) </w:t>
      </w:r>
      <w:r>
        <w:rPr>
          <w:b/>
        </w:rPr>
        <w:t>稀疏可达</w:t>
      </w:r>
      <w:r>
        <w:t xml:space="preserve">——不枚举 19683 全空间，仅通过 75 症状 × 23 标签的组合投票到达可解释子集；(2) </w:t>
      </w:r>
      <w:r>
        <w:rPr>
          <w:b/>
        </w:rPr>
        <w:t>数据为人工标注</w:t>
      </w:r>
      <w:r>
        <w:t xml:space="preserve">——症状→九维映射、方剂向量、吸引子打分函数按框架范式补充标注，尚未对照临床数据做逐项审计；(3) </w:t>
      </w:r>
      <w:r>
        <w:rPr>
          <w:b/>
        </w:rPr>
        <w:t>未经临床验证</w:t>
      </w:r>
      <w:r>
        <w:t xml:space="preserve">——本系统不替代医师诊断与处方，任何用药建议须经执业中医师审阅；系统在界面中亦内置免责声明；(4) </w:t>
      </w:r>
      <w:r>
        <w:rPr>
          <w:b/>
        </w:rPr>
        <w:t>确定性取舍</w:t>
      </w:r>
      <w:r>
        <w:t>——框架中的噪声与连续时间演化动力学未实现。</w:t>
      </w:r>
    </w:p>
    <w:p>
      <w:pPr>
        <w:pStyle w:val="Heading2"/>
      </w:pPr>
      <w:r>
        <w:t>7 讨论</w:t>
      </w:r>
    </w:p>
    <w:p>
      <w:pPr>
        <w:pStyle w:val="BodyText"/>
      </w:pPr>
      <w:r>
        <w:rPr>
          <w:b/>
        </w:rPr>
        <w:t>框架落地范围</w:t>
      </w:r>
      <w:r>
        <w:t>。系统落地了“状态空间 + 吸引子 + 迁移规则”这一可覆盖辨证推演的最小完备子集；框架的四组对立耦合、三层维度、五指标联动、四类硬阻滞均以代码与文档一一对应（见《与三元九维19683框架关系说明》）。未实现部分包括连续时间演化、噪声扰动下的多目标切换优化等通用认知动力学，已如实声明。</w:t>
      </w:r>
    </w:p>
    <w:p>
      <w:pPr>
        <w:pStyle w:val="BodyText"/>
      </w:pPr>
      <w:r>
        <w:rPr>
          <w:b/>
        </w:rPr>
        <w:t>工程化取舍</w:t>
      </w:r>
      <w:r>
        <w:t>。离散化（三值 + 票值强度留存）是工程必需的最小离散化；确定性（噪声置 0）换取可复现与可审计；全空间以目标态 T、偏差 Δ 与方剂向量隐式承载，避免 19683 穷举带来的存储与维护负担。</w:t>
      </w:r>
    </w:p>
    <w:p>
      <w:pPr>
        <w:pStyle w:val="BodyText"/>
      </w:pPr>
      <w:r>
        <w:rPr>
          <w:b/>
        </w:rPr>
        <w:t>安全与合规</w:t>
      </w:r>
      <w:r>
        <w:t>。配伍审查覆盖十八反/十九畏/相恶/妊娠/毒性分级，且修复后 P2/P3/P4 三项安全性缺陷已消除；应用零权限、无网络，满足隐私最小化。但需要重申：自动配伍审查不能替代执业药师与医师的最终核对，系统不应在无监督场景下用于真实处方。</w:t>
      </w:r>
    </w:p>
    <w:p>
      <w:pPr>
        <w:pStyle w:val="BodyText"/>
      </w:pPr>
      <w:r>
        <w:rPr>
          <w:b/>
        </w:rPr>
        <w:t>未来工作</w:t>
      </w:r>
      <w:r>
        <w:t>：(1) 数据审计——对照编码规则 Excel 映射表逐项审计 75 症状/66 药/14 方的标注；(2) 知识扩展——将证候-方剂关联扩充至更完整的中医方剂库；(3) 临床对照评价——在执业医师指导下开展回顾性/前瞻性对照研究，用真实诊例验证诊断一致率与方案可靠性；(4) 多端适配——将同一引擎封装为 iOS 壳与桌面端；(5) 框架回馈——将落地过程中补充的结构化数据与判别规则沉淀回认知框架知识库。</w:t>
      </w:r>
    </w:p>
    <w:p>
      <w:pPr>
        <w:pStyle w:val="Heading2"/>
      </w:pPr>
      <w:r>
        <w:t>8 结论</w:t>
      </w:r>
    </w:p>
    <w:p>
      <w:pPr>
        <w:pStyle w:val="BodyText"/>
      </w:pPr>
      <w:r>
        <w:t>本文设计并验证了“三元九维辨证推演系统”：以 3⁹=19683 状态空间为统一坐标，以确定性规则引擎完成从症状证据到状态估计、量化诊断、吸引子判别、迁移路径与方剂推荐的完整推理链，并以零依赖离线 APK 交付。系统实现了完全可解释、可复现、可审计的辨证推演，风险修复与回归验证（26/26 与 16/16）表明其在工程层面达到了可发布质量。系统尚未经过临床验证，当前定位为认知框架实例化的研究原型与教学工具；源代码、文档与验证脚本随论文同步开源，供同行审计与扩展。</w:t>
      </w:r>
    </w:p>
    <w:p>
      <w:pPr>
        <w:pStyle w:val="Heading2"/>
      </w:pPr>
      <w:r>
        <w:t>参考文献</w:t>
      </w:r>
    </w:p>
    <w:p>
      <w:pPr>
        <w:pStyle w:val="BodyText"/>
      </w:pPr>
      <w:r>
        <w:t>[1] 张仲景. 伤寒论[M]. 东汉（约公元 3 世纪）.</w:t>
      </w:r>
    </w:p>
    <w:p>
      <w:pPr>
        <w:pStyle w:val="BodyText"/>
      </w:pPr>
      <w:r>
        <w:t>[2] 佚名（托名黄帝）. 黄帝内经·素问[M]. 战国至西汉成书.</w:t>
      </w:r>
    </w:p>
    <w:p>
      <w:pPr>
        <w:pStyle w:val="BodyText"/>
      </w:pPr>
      <w:r>
        <w:t>[3] Buditjahjanto I G P A. Decision Support System for Syndrome Differentiation in Traditional Chinese Medicine Based on Expert System[J]. International Journal of Soft Computing.（基于专家系统的中医辨证决策支持系统，可经 NSTL 检索获取）</w:t>
      </w:r>
    </w:p>
    <w:p>
      <w:pPr>
        <w:pStyle w:val="BodyText"/>
      </w:pPr>
      <w:r>
        <w:t>[4] World Health Organization. WHO Traditional Medicine Strategy 2014–2023[R]. Geneva: WHO, 2013.</w:t>
      </w:r>
    </w:p>
    <w:p>
      <w:pPr>
        <w:pStyle w:val="BodyText"/>
      </w:pPr>
      <w:r>
        <w:t>[5] 中华人民共和国国务院新闻办公室. 中国的中医药（白皮书）[R]. 北京, 2016.</w:t>
      </w:r>
    </w:p>
    <w:p>
      <w:pPr>
        <w:pStyle w:val="BodyText"/>
      </w:pPr>
      <w:r>
        <w:t>[6] Strogatz S H. Nonlinear Dynamics and Chaos: With Applications to Physics, Biology, Chemistry, and Engineering[M]. 2nd ed. Boulder: Westview Press, 2015.</w:t>
      </w:r>
    </w:p>
    <w:p>
      <w:pPr>
        <w:pStyle w:val="BodyText"/>
      </w:pPr>
      <w:r>
        <w:t>[7] Google. Android Developers: WebView Documentation[EB/OL]. https://developer.android.com/reference/android/webkit/WebView.</w:t>
      </w:r>
    </w:p>
    <w:p>
      <w:pPr>
        <w:pStyle w:val="BodyText"/>
      </w:pPr>
      <w:r>
        <w:t>[8] ECMA International. ECMAScript 2023 Language Specification (ECMA-262)[S]. 2023.</w:t>
      </w:r>
    </w:p>
    <w:p>
      <w:pPr>
        <w:spacing w:before="80" w:after="80"/>
        <w:ind w:firstLine="0"/>
        <w:pBdr>
          <w:bottom w:val="single" w:sz="6" w:space="0" w:color="808080"/>
        </w:pBdr>
      </w:pPr>
    </w:p>
    <w:p>
      <w:pPr>
        <w:pStyle w:val="BodyText"/>
      </w:pPr>
      <w:r>
        <w:rPr>
          <w:i/>
        </w:rPr>
        <w:t>附：本文全部数据、算法口径与验证结果均来自源码（data.js / engine.js / app.js）、工程文档（docs/）与测试资产（review/），可在随文开源仓库中复现。</w:t>
      </w:r>
    </w:p>
    <w:sectPr w:rsidR="00FC693F" w:rsidRPr="0006063C" w:rsidSect="00034616">
      <w:pgSz w:w="11906" w:h="16838"/>
      <w:pgMar w:top="1247" w:right="1247" w:bottom="1247" w:left="1247"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3"/>
      <w:ind w:firstLine="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ind w:firstLine="0"/>
      <w:jc w:val="center"/>
      <w:outlineLvl w:val="0"/>
    </w:pPr>
    <w:rPr>
      <w:rFonts w:asciiTheme="majorHAnsi" w:eastAsiaTheme="majorEastAsia" w:hAnsiTheme="majorHAnsi" w:cstheme="majorBidi" w:ascii="Arial" w:hAnsi="Arial"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ascii="Arial" w:hAnsi="Arial"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ind w:firstLine="0"/>
      <w:outlineLvl w:val="2"/>
    </w:pPr>
    <w:rPr>
      <w:rFonts w:asciiTheme="majorHAnsi" w:eastAsiaTheme="majorEastAsia" w:hAnsiTheme="majorHAnsi" w:cstheme="majorBidi" w:ascii="Arial" w:hAnsi="Arial"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ind w:firstLine="0"/>
      <w:outlineLvl w:val="3"/>
    </w:pPr>
    <w:rPr>
      <w:rFonts w:asciiTheme="majorHAnsi" w:eastAsiaTheme="majorEastAsia" w:hAnsiTheme="majorHAnsi" w:cstheme="majorBidi" w:ascii="Arial" w:hAnsi="Arial" w:eastAsia="黑体"/>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ind w:firstLine="0"/>
      <w:outlineLvl w:val="4"/>
    </w:pPr>
    <w:rPr>
      <w:rFonts w:asciiTheme="majorHAnsi" w:eastAsiaTheme="majorEastAsia" w:hAnsiTheme="majorHAnsi" w:cstheme="majorBidi" w:ascii="Arial" w:hAnsi="Arial" w:eastAsia="黑体"/>
      <w:b/>
      <w:color w:val="000000"/>
      <w:sz w:val="21"/>
    </w:rPr>
  </w:style>
  <w:style w:type="paragraph" w:styleId="Heading6">
    <w:name w:val="heading 6"/>
    <w:basedOn w:val="Normal"/>
    <w:next w:val="Normal"/>
    <w:link w:val="Heading6Char"/>
    <w:uiPriority w:val="9"/>
    <w:semiHidden/>
    <w:unhideWhenUsed/>
    <w:qFormat/>
    <w:rsid w:val="00FC693F"/>
    <w:pPr>
      <w:keepNext/>
      <w:keepLines/>
      <w:spacing w:before="200" w:after="0"/>
      <w:ind w:firstLine="0"/>
      <w:outlineLvl w:val="5"/>
    </w:pPr>
    <w:rPr>
      <w:rFonts w:asciiTheme="majorHAnsi" w:eastAsiaTheme="majorEastAsia" w:hAnsiTheme="majorHAnsi" w:cstheme="majorBidi" w:ascii="Arial" w:hAnsi="Arial" w:eastAsia="黑体"/>
      <w:b/>
      <w:i/>
      <w:iCs/>
      <w:color w:val="000000"/>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jc w:val="center"/>
    </w:pPr>
    <w:rPr>
      <w:rFonts w:asciiTheme="majorHAnsi" w:eastAsiaTheme="majorEastAsia" w:hAnsiTheme="majorHAnsi" w:cstheme="majorBidi" w:ascii="Arial" w:hAnsi="Arial" w:eastAsia="黑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黑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3" w:line="276" w:lineRule="auto"/>
      <w:ind w:firstLine="0"/>
    </w:pPr>
    <w:rPr>
      <w:rFonts w:ascii="Times New Roman" w:hAnsi="Times New Roman" w:eastAsia="宋体"/>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color w:val="000000"/>
      <w:sz w:val="21"/>
    </w:rPr>
  </w:style>
  <w:style w:type="paragraph" w:styleId="ListBullet2">
    <w:name w:val="List Bullet 2"/>
    <w:basedOn w:val="Normal"/>
    <w:uiPriority w:val="99"/>
    <w:unhideWhenUsed/>
    <w:rsid w:val="00326F90"/>
    <w:pPr>
      <w:numPr>
        <w:numId w:val="2"/>
      </w:numPr>
      <w:contextualSpacing/>
    </w:pPr>
    <w:rPr>
      <w:rFonts w:ascii="Times New Roman" w:hAnsi="Times New Roman" w:eastAsia="宋体"/>
      <w:color w:val="000000"/>
      <w:sz w:val="21"/>
    </w:rPr>
  </w:style>
  <w:style w:type="paragraph" w:styleId="ListBullet3">
    <w:name w:val="List Bullet 3"/>
    <w:basedOn w:val="Normal"/>
    <w:uiPriority w:val="99"/>
    <w:unhideWhenUsed/>
    <w:rsid w:val="00326F90"/>
    <w:pPr>
      <w:numPr>
        <w:numId w:val="3"/>
      </w:numPr>
      <w:contextualSpacing/>
    </w:pPr>
    <w:rPr>
      <w:rFonts w:ascii="Times New Roman" w:hAnsi="Times New Roman" w:eastAsia="宋体"/>
      <w:color w:val="000000"/>
      <w:sz w:val="21"/>
    </w:rPr>
  </w:style>
  <w:style w:type="paragraph" w:styleId="ListNumber">
    <w:name w:val="List Number"/>
    <w:basedOn w:val="Normal"/>
    <w:uiPriority w:val="99"/>
    <w:unhideWhenUsed/>
    <w:rsid w:val="00326F90"/>
    <w:pPr>
      <w:numPr>
        <w:numId w:val="5"/>
      </w:numPr>
      <w:contextualSpacing/>
    </w:pPr>
    <w:rPr>
      <w:rFonts w:ascii="Times New Roman" w:hAnsi="Times New Roman" w:eastAsia="宋体"/>
      <w:color w:val="000000"/>
      <w:sz w:val="21"/>
    </w:rPr>
  </w:style>
  <w:style w:type="paragraph" w:styleId="ListNumber2">
    <w:name w:val="List Number 2"/>
    <w:basedOn w:val="Normal"/>
    <w:uiPriority w:val="99"/>
    <w:unhideWhenUsed/>
    <w:rsid w:val="0029639D"/>
    <w:pPr>
      <w:numPr>
        <w:numId w:val="6"/>
      </w:numPr>
      <w:contextualSpacing/>
    </w:pPr>
    <w:rPr>
      <w:rFonts w:ascii="Times New Roman" w:hAnsi="Times New Roman" w:eastAsia="宋体"/>
      <w:color w:val="000000"/>
      <w:sz w:val="21"/>
    </w:rPr>
  </w:style>
  <w:style w:type="paragraph" w:styleId="ListNumber3">
    <w:name w:val="List Number 3"/>
    <w:basedOn w:val="Normal"/>
    <w:uiPriority w:val="99"/>
    <w:unhideWhenUsed/>
    <w:rsid w:val="0029639D"/>
    <w:pPr>
      <w:numPr>
        <w:numId w:val="7"/>
      </w:numPr>
      <w:contextualSpacing/>
    </w:pPr>
    <w:rPr>
      <w:rFonts w:ascii="Times New Roman" w:hAnsi="Times New Roman" w:eastAsia="宋体"/>
      <w:color w:val="000000"/>
      <w:sz w:val="21"/>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宋体"/>
      <w:b/>
      <w:bCs/>
      <w:i/>
      <w:iCs/>
      <w:color w:val="000000"/>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黑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三元九维辨证推演系统：基于 19683 状态空间的中医辨证推演引擎设计与验证</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