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40"/>
        <w:rPr>
          <w:color w:val="auto"/>
        </w:rPr>
        <w:widowControl w:val="1"/>
        <w:keepNext w:val="1"/>
        <w:pStyle w:val="31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Calibri" w:hAnsi="Calibri" w:eastAsia="微软雅黑"/>
          <w:b/>
          <w:color w:val="000000"/>
          <w:sz w:val="44"/>
        </w:rPr>
        <w:t xml:space="preserve">Fe110 新模型训练与微调周报</w:t>
      </w:r>
    </w:p>
    <w:p>
      <w:pPr>
        <w:spacing w:after="240"/>
        <w:rPr>
          <w:color w:val="auto"/>
        </w:rPr>
        <w:widowControl w:val="1"/>
        <w:keepNext w:val="0"/>
      </w:pPr>
      <w:r>
        <w:rPr>
          <w:rFonts w:ascii="Calibri" w:hAnsi="Calibri" w:eastAsia="微软雅黑"/>
          <w:color w:val="000000"/>
          <w:sz w:val="24"/>
        </w:rPr>
        <w:t xml:space="preserve">NequIP 从头训练与 AQCat25 微调</w:t>
      </w:r>
    </w:p>
    <w:p>
      <w:pPr>
        <w:spacing w:before="0" w:after="120" w:line="276" w:lineRule="auto"/>
        <w:rPr>
          <w:color w:val="auto"/>
        </w:rPr>
        <w:widowControl w:val="1"/>
        <w:keepNext w:val="0"/>
      </w:pPr>
      <w:r>
        <w:rPr>
          <w:rFonts w:ascii="Calibri" w:hAnsi="Calibri" w:eastAsia="微软雅黑"/>
          <w:color w:val="000000"/>
          <w:sz w:val="21"/>
        </w:rPr>
        <w:t xml:space="preserve">汇报周期：2026年10月26日至10月30日</w:t>
      </w:r>
    </w:p>
    <w:p>
      <w:pPr>
        <w:spacing w:before="0" w:after="120" w:line="276" w:lineRule="auto"/>
        <w:rPr>
          <w:color w:val="auto"/>
        </w:rPr>
        <w:widowControl w:val="1"/>
        <w:keepNext w:val="0"/>
      </w:pPr>
      <w:r>
        <w:rPr>
          <w:rFonts w:ascii="Calibri" w:hAnsi="Calibri" w:eastAsia="微软雅黑"/>
          <w:color w:val="000000"/>
          <w:sz w:val="21"/>
        </w:rPr>
        <w:t xml:space="preserve">结果更新至10月29日已保存的训练与计算检查点</w:t>
      </w:r>
    </w:p>
    <w:p>
      <w:pPr>
        <w:pStyle w:val="3"/>
        <w:spacing w:before="240" w:after="100"/>
        <w:rPr>
          <w:color w:val="auto"/>
        </w:rPr>
        <w:widowControl w:val="1"/>
        <w:keepNext w:val="1"/>
      </w:pPr>
      <w:r>
        <w:rPr>
          <w:rFonts w:ascii="Calibri" w:hAnsi="Calibri" w:eastAsia="微软雅黑"/>
          <w:b/>
          <w:color w:val="000000"/>
          <w:sz w:val="30"/>
        </w:rPr>
        <w:t xml:space="preserve">完成内容</w:t>
      </w:r>
    </w:p>
    <w:p>
      <w:pPr>
        <w:spacing w:before="0" w:after="120" w:line="276" w:lineRule="auto"/>
        <w:rPr>
          <w:color w:val="auto"/>
        </w:rPr>
        <w:widowControl w:val="1"/>
        <w:keepNext w:val="0"/>
      </w:pPr>
      <w:r>
        <w:rPr>
          <w:rFonts w:ascii="Calibri" w:hAnsi="Calibri" w:eastAsia="微软雅黑"/>
          <w:color w:val="000000"/>
          <w:sz w:val="21"/>
        </w:rPr>
        <w:t xml:space="preserve">本周完成了512帧力训练数据包、NequIP新模型从头训练及AQCat25（AQC25）限时微调对照。微调候选在同一开发集上的力误差较低，一例C₂H₃经微调预松弛后接DFT，达到0.02 eV/Å力标准。整体DFT加速比与跨体系泛化仍待验证。[1–3]</w:t>
      </w:r>
    </w:p>
    <w:p>
      <w:pPr>
        <w:pStyle w:val="3"/>
        <w:spacing w:before="240" w:after="100"/>
        <w:rPr>
          <w:color w:val="auto"/>
        </w:rPr>
        <w:widowControl w:val="1"/>
        <w:keepNext w:val="1"/>
      </w:pPr>
      <w:r>
        <w:rPr>
          <w:rFonts w:ascii="Calibri" w:hAnsi="Calibri" w:eastAsia="微软雅黑"/>
          <w:b/>
          <w:color w:val="000000"/>
          <w:sz w:val="30"/>
        </w:rPr>
        <w:t xml:space="preserve">训练数据扩充</w:t>
      </w:r>
    </w:p>
    <w:p>
      <w:pPr>
        <w:spacing w:before="0" w:after="120" w:line="276" w:lineRule="auto"/>
        <w:rPr>
          <w:color w:val="auto"/>
        </w:rPr>
        <w:widowControl w:val="1"/>
        <w:keepNext w:val="0"/>
      </w:pPr>
      <w:r>
        <w:rPr>
          <w:rFonts w:ascii="Calibri" w:hAnsi="Calibri" w:eastAsia="微软雅黑"/>
          <w:color w:val="000000"/>
          <w:sz w:val="21"/>
        </w:rPr>
        <w:t xml:space="preserve">训练数据由原366帧扩充至512帧，新增119个已审核原选点单点，以及27个定向补充帧（11个单点、两条优化轨迹各8帧）。开发集78帧、保留测试53帧，另16个历史观察留出继续隔离，分区不重新划分。[1]</w:t>
      </w:r>
    </w:p>
    <w:p>
      <w:pPr>
        <w:spacing w:before="0" w:after="120" w:line="276" w:lineRule="auto"/>
        <w:rPr>
          <w:color w:val="auto"/>
        </w:rPr>
        <w:widowControl w:val="1"/>
        <w:keepNext w:val="0"/>
      </w:pPr>
      <w:r>
        <w:rPr>
          <w:rFonts w:ascii="Calibri" w:hAnsi="Calibri" w:eastAsia="微软雅黑"/>
          <w:color w:val="000000"/>
          <w:sz w:val="21"/>
        </w:rPr>
        <w:t xml:space="preserve">训练只拟合力，能量损失系数为0。底部18个固定Fe不参与损失，其原始力保留；其余可动原子均匀加权，训练帧均匀有放回采样。逐项核对659个清单样本及590行训练与开发数据库，坐标、原始力和分区等检查通过。磁性等级仍分别为258帧局域正Fe审核、248帧旧来源审核、6帧仅总磁矩审核，未提升其审核等级。[1]</w:t>
      </w:r>
    </w:p>
    <w:p>
      <w:pPr>
        <w:pStyle w:val="3"/>
        <w:spacing w:before="240" w:after="100"/>
        <w:rPr>
          <w:color w:val="auto"/>
        </w:rPr>
        <w:widowControl w:val="1"/>
        <w:keepNext w:val="1"/>
      </w:pPr>
      <w:r>
        <w:rPr>
          <w:rFonts w:ascii="Calibri" w:hAnsi="Calibri" w:eastAsia="微软雅黑"/>
          <w:b/>
          <w:color w:val="000000"/>
          <w:sz w:val="30"/>
        </w:rPr>
        <w:t xml:space="preserve">数据覆盖检查</w:t>
      </w:r>
    </w:p>
    <w:p>
      <w:pPr>
        <w:spacing w:before="0" w:after="120" w:line="276" w:lineRule="auto"/>
        <w:rPr>
          <w:color w:val="auto"/>
        </w:rPr>
        <w:widowControl w:val="1"/>
        <w:keepNext w:val="0"/>
      </w:pPr>
      <w:r>
        <w:rPr>
          <w:rFonts w:ascii="Calibri" w:hAnsi="Calibri" w:eastAsia="微软雅黑"/>
          <w:color w:val="000000"/>
          <w:sz w:val="21"/>
        </w:rPr>
        <w:t xml:space="preserve">以固定1597帧训练候选池检查512帧数据，组成、局域环境与受力区间的联合类型缺口由189类降至178类，新增覆盖11类；SOAP固定阈值下仍有4个超阈值候选帧。[4]</w:t>
      </w:r>
    </w:p>
    <w:tbl>
      <w:tblPr>
        <w:tblStyle w:val="33"/>
        <w:tblW w:w="9792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2448"/>
        <w:gridCol w:w="2016"/>
        <w:gridCol w:w="3024"/>
        <w:gridCol w:w="2304"/>
      </w:tblGrid>
      <w:tr>
        <w:trPr>
          <w:cantSplit/>
          <w:tblHeader/>
        </w:trPr>
        <w:tc>
          <w:tcPr>
            <w:tcW w:type="dxa" w:w="2448"/>
            <w:vAlign w:val="center"/>
            <w:shd w:val="clear" w:fill="E8EEF5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  <w:b w:val="1"/>
              </w:rPr>
              <w:t xml:space="preserve">组成</w:t>
            </w:r>
          </w:p>
        </w:tc>
        <w:tc>
          <w:tcPr>
            <w:tcW w:type="dxa" w:w="2016"/>
            <w:vAlign w:val="center"/>
            <w:shd w:val="clear" w:fill="E8EEF5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  <w:b w:val="1"/>
              </w:rPr>
              <w:t xml:space="preserve">训练帧数</w:t>
            </w:r>
          </w:p>
        </w:tc>
        <w:tc>
          <w:tcPr>
            <w:tcW w:type="dxa" w:w="3024"/>
            <w:vAlign w:val="center"/>
            <w:shd w:val="clear" w:fill="E8EEF5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  <w:b w:val="1"/>
              </w:rPr>
              <w:t xml:space="preserve">≤0.05 eV/Å帧数</w:t>
            </w:r>
          </w:p>
        </w:tc>
        <w:tc>
          <w:tcPr>
            <w:tcW w:type="dxa" w:w="2304"/>
            <w:vAlign w:val="center"/>
            <w:shd w:val="clear" w:fill="E8EEF5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  <w:b w:val="1"/>
              </w:rPr>
              <w:t xml:space="preserve">剩余联合类型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left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C₂HO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122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9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left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C₂H₂O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190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17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left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C₂H₃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51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4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39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left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C₃H₂O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126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0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94</w:t>
            </w:r>
          </w:p>
        </w:tc>
      </w:tr>
    </w:tbl>
    <w:p>
      <w:pPr>
        <w:spacing w:before="0" w:after="0" w:line="80" w:lineRule="exact"/>
        <w:rPr>
          <w:color w:val="auto"/>
        </w:rPr>
        <w:widowControl w:val="1"/>
        <w:keepNext w:val="0"/>
      </w:pPr>
      <w:r>
        <w:rPr>
          <w:rFonts w:ascii="Calibri" w:hAnsi="Calibri" w:eastAsia="微软雅黑"/>
          <w:color w:val="000000"/>
          <w:sz w:val="21"/>
        </w:rPr>
        <w:t xml:space="preserve"/>
      </w:r>
    </w:p>
    <w:p>
      <w:pPr>
        <w:spacing w:before="0" w:after="120" w:line="276" w:lineRule="auto"/>
        <w:rPr>
          <w:color w:val="auto"/>
        </w:rPr>
        <w:widowControl w:val="1"/>
        <w:keepNext w:val="0"/>
      </w:pPr>
      <w:r>
        <w:rPr>
          <w:rFonts w:ascii="Calibri" w:hAnsi="Calibri" w:eastAsia="微软雅黑"/>
          <w:color w:val="000000"/>
          <w:sz w:val="21"/>
        </w:rPr>
        <w:t xml:space="preserve">表中489帧为四种目标组成，另有23帧回放数据。低力指标取可动原子最大力。C₂H₃的4个低力帧仍只来自10_B同一来源；C₃H₂O最小值约0.09057 eV/Å，仍缺≤0.05 eV/Å标签。178类是覆盖诊断结果，不等于需要新增178份DFT计算。[4]</w:t>
      </w:r>
    </w:p>
    <w:p>
      <w:pPr>
        <w:pStyle w:val="3"/>
        <w:spacing w:before="240" w:after="100"/>
        <w:rPr>
          <w:color w:val="auto"/>
        </w:rPr>
        <w:widowControl w:val="1"/>
        <w:keepNext w:val="1"/>
      </w:pPr>
      <w:r>
        <w:rPr>
          <w:rFonts w:ascii="Calibri" w:hAnsi="Calibri" w:eastAsia="微软雅黑"/>
          <w:b/>
          <w:color w:val="000000"/>
          <w:sz w:val="30"/>
        </w:rPr>
        <w:t xml:space="preserve">新模型训练与微调对比</w:t>
      </w:r>
    </w:p>
    <w:p>
      <w:pPr>
        <w:spacing w:before="0" w:after="120" w:line="276" w:lineRule="auto"/>
        <w:rPr>
          <w:color w:val="auto"/>
        </w:rPr>
        <w:widowControl w:val="1"/>
        <w:keepNext w:val="0"/>
      </w:pPr>
      <w:r>
        <w:rPr>
          <w:rFonts w:ascii="Calibri" w:hAnsi="Calibri" w:eastAsia="微软雅黑"/>
          <w:color w:val="000000"/>
          <w:sz w:val="21"/>
        </w:rPr>
        <w:t xml:space="preserve">两条路线使用同一512帧训练集和78帧开发集，在MZ73 GPU1顺序运行，单seed为42，每项预算30分钟。开发选模均采用原角色加权可动力向量MAE。[2]</w:t>
      </w:r>
    </w:p>
    <w:tbl>
      <w:tblPr>
        <w:tblStyle w:val="33"/>
        <w:tblW w:w="9792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2448"/>
        <w:gridCol w:w="3672"/>
        <w:gridCol w:w="3672"/>
      </w:tblGrid>
      <w:tr>
        <w:trPr>
          <w:cantSplit/>
          <w:tblHeader/>
        </w:trPr>
        <w:tc>
          <w:tcPr>
            <w:tcW w:type="dxa" w:w="2448"/>
            <w:vAlign w:val="center"/>
            <w:shd w:val="clear" w:fill="E8EEF5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  <w:b w:val="1"/>
              </w:rPr>
              <w:t xml:space="preserve">项目</w:t>
            </w:r>
          </w:p>
        </w:tc>
        <w:tc>
          <w:tcPr>
            <w:tcW w:type="dxa" w:w="3672"/>
            <w:vAlign w:val="center"/>
            <w:shd w:val="clear" w:fill="E8EEF5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  <w:b w:val="1"/>
              </w:rPr>
              <w:t xml:space="preserve">NequIP 从头训练</w:t>
            </w:r>
          </w:p>
        </w:tc>
        <w:tc>
          <w:tcPr>
            <w:tcW w:type="dxa" w:w="3672"/>
            <w:vAlign w:val="center"/>
            <w:shd w:val="clear" w:fill="E8EEF5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  <w:b w:val="1"/>
              </w:rPr>
              <w:t xml:space="preserve">AQCat25 微调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left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初始化</w:t>
            </w:r>
          </w:p>
        </w:tc>
        <w:tc>
          <w:tcPr>
            <w:tcW w:type="dxa" w:w="3672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随机初始化</w:t>
            </w:r>
          </w:p>
        </w:tc>
        <w:tc>
          <w:tcPr>
            <w:tcW w:type="dxa" w:w="3672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原始AQCat25权重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left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模型设置</w:t>
            </w:r>
          </w:p>
        </w:tc>
        <w:tc>
          <w:tcPr>
            <w:tcW w:type="dxa" w:w="3672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3层 l_max=1
32 features 约21.6万参数</w:t>
            </w:r>
          </w:p>
        </w:tc>
        <w:tc>
          <w:tcPr>
            <w:tcW w:type="dxa" w:w="3672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保留原模型架构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left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学习率与批量</w:t>
            </w:r>
          </w:p>
        </w:tc>
        <w:tc>
          <w:tcPr>
            <w:tcW w:type="dxa" w:w="3672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0.001；batch 4</w:t>
            </w:r>
          </w:p>
        </w:tc>
        <w:tc>
          <w:tcPr>
            <w:tcW w:type="dxa" w:w="3672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0.00001；batch 1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left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计划轮数上限</w:t>
            </w:r>
          </w:p>
        </w:tc>
        <w:tc>
          <w:tcPr>
            <w:tcW w:type="dxa" w:w="3672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100轮</w:t>
            </w:r>
          </w:p>
        </w:tc>
        <w:tc>
          <w:tcPr>
            <w:tcW w:type="dxa" w:w="3672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20轮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left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实际退出</w:t>
            </w:r>
          </w:p>
        </w:tc>
        <w:tc>
          <w:tcPr>
            <w:tcW w:type="dxa" w:w="3672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生产者正常退出</w:t>
            </w:r>
          </w:p>
        </w:tc>
        <w:tc>
          <w:tcPr>
            <w:tcW w:type="dxa" w:w="3672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30分钟预算触发中止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left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可确认保存位置</w:t>
            </w:r>
          </w:p>
        </w:tc>
        <w:tc>
          <w:tcPr>
            <w:tcW w:type="dxa" w:w="3672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epoch 33
global_step 4352</w:t>
            </w:r>
          </w:p>
        </w:tc>
        <w:tc>
          <w:tcPr>
            <w:tcW w:type="dxa" w:w="3672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最后完整断点epoch 9
step 4608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left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开发力MAE eV/Å</w:t>
            </w:r>
          </w:p>
        </w:tc>
        <w:tc>
          <w:tcPr>
            <w:tcW w:type="dxa" w:w="3672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0.31908</w:t>
            </w:r>
          </w:p>
        </w:tc>
        <w:tc>
          <w:tcPr>
            <w:tcW w:type="dxa" w:w="3672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0.05565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left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回执跨度 秒</w:t>
            </w:r>
          </w:p>
        </w:tc>
        <w:tc>
          <w:tcPr>
            <w:tcW w:type="dxa" w:w="3672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902.19</w:t>
            </w:r>
          </w:p>
        </w:tc>
        <w:tc>
          <w:tcPr>
            <w:tcW w:type="dxa" w:w="3672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1802.07</w:t>
            </w:r>
          </w:p>
        </w:tc>
      </w:tr>
    </w:tbl>
    <w:p>
      <w:pPr>
        <w:spacing w:before="0" w:after="0" w:line="80" w:lineRule="exact"/>
        <w:rPr>
          <w:color w:val="auto"/>
        </w:rPr>
        <w:widowControl w:val="1"/>
        <w:keepNext w:val="0"/>
      </w:pPr>
      <w:r>
        <w:rPr>
          <w:rFonts w:ascii="Calibri" w:hAnsi="Calibri" w:eastAsia="微软雅黑"/>
          <w:color w:val="000000"/>
          <w:sz w:val="21"/>
        </w:rPr>
        <w:t xml:space="preserve"/>
      </w:r>
    </w:p>
    <w:p>
      <w:pPr>
        <w:spacing w:before="0" w:after="120" w:line="276" w:lineRule="auto"/>
        <w:rPr>
          <w:color w:val="auto"/>
        </w:rPr>
        <w:widowControl w:val="1"/>
        <w:keepNext w:val="0"/>
      </w:pPr>
      <w:r>
        <w:rPr>
          <w:rFonts w:ascii="Calibri" w:hAnsi="Calibri" w:eastAsia="微软雅黑"/>
          <w:color w:val="000000"/>
          <w:sz w:val="21"/>
        </w:rPr>
        <w:t xml:space="preserve">NequIP最佳与最后快照均保存于epoch 33，但最终训练轮数及具体停止原因尚未确认。微调未完成计划20轮；最佳候选未记录epoch，不能将最后完整断点的epoch 9当作最佳候选轮数。两项总墙钟约45分11秒，均有实际CUDA设备记录，回收23份文件的哈希检查通过。[2]</w:t>
      </w:r>
    </w:p>
    <w:p>
      <w:pPr>
        <w:spacing w:before="0" w:after="120" w:line="276" w:lineRule="auto"/>
        <w:rPr>
          <w:color w:val="auto"/>
        </w:rPr>
        <w:widowControl w:val="1"/>
        <w:keepNext w:val="0"/>
      </w:pPr>
      <w:r>
        <w:rPr>
          <w:rFonts w:ascii="Calibri" w:hAnsi="Calibri" w:eastAsia="微软雅黑"/>
          <w:color w:val="000000"/>
          <w:sz w:val="21"/>
        </w:rPr>
        <w:t xml:space="preserve">微调候选的开发指标优于本次从头训练候选。该指标来自参与选模的开发集；两路线的架构、参数规模、学习率、批量和实际训练量不同，因此本轮结果不能单独证明预训练的因果贡献，也不证明从头训练的充分收敛。[2]</w:t>
      </w:r>
    </w:p>
    <w:p>
      <w:pPr>
        <w:pStyle w:val="3"/>
        <w:spacing w:before="240" w:after="100"/>
        <w:rPr>
          <w:color w:val="auto"/>
        </w:rPr>
        <w:widowControl w:val="1"/>
        <w:keepNext w:val="1"/>
      </w:pPr>
      <w:r>
        <w:rPr>
          <w:rFonts w:ascii="Calibri" w:hAnsi="Calibri" w:eastAsia="微软雅黑"/>
          <w:b/>
          <w:color w:val="000000"/>
          <w:sz w:val="30"/>
        </w:rPr>
        <w:t xml:space="preserve">预松弛验证</w:t>
      </w:r>
    </w:p>
    <w:tbl>
      <w:tblPr>
        <w:tblStyle w:val="33"/>
        <w:tblW w:w="9792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2880"/>
        <w:gridCol w:w="1728"/>
        <w:gridCol w:w="1440"/>
        <w:gridCol w:w="3744"/>
      </w:tblGrid>
      <w:tr>
        <w:trPr>
          <w:cantSplit/>
          <w:tblHeader/>
        </w:trPr>
        <w:tc>
          <w:tcPr>
            <w:tcW w:type="dxa" w:w="2880"/>
            <w:vAlign w:val="center"/>
            <w:shd w:val="clear" w:fill="E8EEF5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  <w:b w:val="1"/>
              </w:rPr>
              <w:t xml:space="preserve">路线</w:t>
            </w:r>
          </w:p>
        </w:tc>
        <w:tc>
          <w:tcPr>
            <w:tcW w:type="dxa" w:w="1728"/>
            <w:vAlign w:val="center"/>
            <w:shd w:val="clear" w:fill="E8EEF5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  <w:b w:val="1"/>
              </w:rPr>
              <w:t xml:space="preserve">体系</w:t>
            </w:r>
          </w:p>
        </w:tc>
        <w:tc>
          <w:tcPr>
            <w:tcW w:type="dxa" w:w="1440"/>
            <w:vAlign w:val="center"/>
            <w:shd w:val="clear" w:fill="E8EEF5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  <w:b w:val="1"/>
              </w:rPr>
              <w:t xml:space="preserve">ML步数</w:t>
            </w:r>
          </w:p>
        </w:tc>
        <w:tc>
          <w:tcPr>
            <w:tcW w:type="dxa" w:w="3744"/>
            <w:vAlign w:val="center"/>
            <w:shd w:val="clear" w:fill="E8EEF5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  <w:b w:val="1"/>
              </w:rPr>
              <w:t xml:space="preserve">最终ML最大力 eV/Å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left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NequIP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C₂H₃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34</w:t>
            </w:r>
          </w:p>
        </w:tc>
        <w:tc>
          <w:tcPr>
            <w:tcW w:type="dxa" w:w="3744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0.09423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left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AQCat25 微调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C₂H₃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60</w:t>
            </w:r>
          </w:p>
        </w:tc>
        <w:tc>
          <w:tcPr>
            <w:tcW w:type="dxa" w:w="3744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0.06936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left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NequIP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C₃H₂O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41</w:t>
            </w:r>
          </w:p>
        </w:tc>
        <w:tc>
          <w:tcPr>
            <w:tcW w:type="dxa" w:w="3744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0.09442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left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AQCat25 微调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C₃H₂O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65</w:t>
            </w:r>
          </w:p>
        </w:tc>
        <w:tc>
          <w:tcPr>
            <w:tcW w:type="dxa" w:w="3744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0.07734</w:t>
            </w:r>
          </w:p>
        </w:tc>
      </w:tr>
    </w:tbl>
    <w:p>
      <w:pPr>
        <w:spacing w:before="0" w:after="0" w:line="80" w:lineRule="exact"/>
        <w:rPr>
          <w:color w:val="auto"/>
        </w:rPr>
        <w:widowControl w:val="1"/>
        <w:keepNext w:val="0"/>
      </w:pPr>
      <w:r>
        <w:rPr>
          <w:rFonts w:ascii="Calibri" w:hAnsi="Calibri" w:eastAsia="微软雅黑"/>
          <w:color w:val="000000"/>
          <w:sz w:val="21"/>
        </w:rPr>
        <w:t xml:space="preserve"/>
      </w:r>
    </w:p>
    <w:p>
      <w:pPr>
        <w:spacing w:before="0" w:after="120" w:line="276" w:lineRule="auto"/>
        <w:rPr>
          <w:color w:val="auto"/>
        </w:rPr>
        <w:widowControl w:val="1"/>
        <w:keepNext w:val="0"/>
      </w:pPr>
      <w:r>
        <w:rPr>
          <w:rFonts w:ascii="Calibri" w:hAnsi="Calibri" w:eastAsia="微软雅黑"/>
          <w:color w:val="000000"/>
          <w:sz w:val="21"/>
        </w:rPr>
        <w:t xml:space="preserve">4项均达到ML的0.10 eV/Å标准。C₂H₃保持原分子连接；两条C₃H₂O路线均形成CO与C₂H₂片段，不能记作完整C₃吸附态优化成功，也不能由ML力阈值推定DFT已收敛。[5]</w:t>
      </w:r>
    </w:p>
    <w:p>
      <w:pPr>
        <w:spacing w:before="0" w:after="120" w:line="276" w:lineRule="auto"/>
        <w:rPr>
          <w:color w:val="auto"/>
        </w:rPr>
        <w:widowControl w:val="1"/>
        <w:keepNext w:val="0"/>
      </w:pPr>
      <w:r>
        <w:rPr>
          <w:rFonts w:ascii="Calibri" w:hAnsi="Calibri" w:eastAsia="微软雅黑"/>
          <w:color w:val="000000"/>
          <w:sz w:val="21"/>
        </w:rPr>
        <w:t xml:space="preserve">进一步用冻结微调候选完成11–15批次15个起点的ML预松弛，全部保留目标分子连接、达到ML力标准并通过端点审核。后续DFT已提交且均采用NSW 300；截至10月29日15:23北京时间的记录为2项RUN、13项PEND，最终收敛与几何尚待复核。[6]</w:t>
      </w:r>
    </w:p>
    <w:p>
      <w:pPr>
        <w:pStyle w:val="3"/>
        <w:spacing w:before="240" w:after="100"/>
        <w:rPr>
          <w:color w:val="auto"/>
        </w:rPr>
        <w:widowControl w:val="1"/>
        <w:keepNext w:val="1"/>
      </w:pPr>
      <w:r>
        <w:rPr>
          <w:rFonts w:ascii="Calibri" w:hAnsi="Calibri" w:eastAsia="微软雅黑"/>
          <w:b/>
          <w:color w:val="000000"/>
          <w:sz w:val="30"/>
        </w:rPr>
        <w:t xml:space="preserve">DFT验证结果</w:t>
      </w:r>
    </w:p>
    <w:p>
      <w:pPr>
        <w:spacing w:before="0" w:after="120" w:line="276" w:lineRule="auto"/>
        <w:rPr>
          <w:color w:val="auto"/>
        </w:rPr>
        <w:widowControl w:val="1"/>
        <w:keepNext w:val="0"/>
      </w:pPr>
      <w:r>
        <w:rPr>
          <w:rFonts w:ascii="Calibri" w:hAnsi="Calibri" w:eastAsia="微软雅黑"/>
          <w:color w:val="000000"/>
          <w:sz w:val="21"/>
        </w:rPr>
        <w:t xml:space="preserve">C₂H₃的10_A同起点比较采用纯DFT、NequIP预松弛后DFT、微调预松弛后DFT三条路线，保持相同DFT方法与0.02 eV/Å力标准。截至10月29日22:40的终态记录如下；SCF数只列完整离子步内的电子迭代。[3]</w:t>
      </w:r>
    </w:p>
    <w:tbl>
      <w:tblPr>
        <w:tblStyle w:val="33"/>
        <w:tblW w:w="9792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2448"/>
        <w:gridCol w:w="2160"/>
        <w:gridCol w:w="1584"/>
        <w:gridCol w:w="1584"/>
        <w:gridCol w:w="2016"/>
      </w:tblGrid>
      <w:tr>
        <w:trPr>
          <w:cantSplit/>
          <w:tblHeader/>
        </w:trPr>
        <w:tc>
          <w:tcPr>
            <w:tcW w:type="dxa" w:w="2448"/>
            <w:vAlign w:val="center"/>
            <w:shd w:val="clear" w:fill="E8EEF5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  <w:b w:val="1"/>
              </w:rPr>
              <w:t xml:space="preserve">路线</w:t>
            </w:r>
          </w:p>
        </w:tc>
        <w:tc>
          <w:tcPr>
            <w:tcW w:type="dxa" w:w="2160"/>
            <w:vAlign w:val="center"/>
            <w:shd w:val="clear" w:fill="E8EEF5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  <w:b w:val="1"/>
              </w:rPr>
              <w:t xml:space="preserve">状态</w:t>
            </w:r>
          </w:p>
        </w:tc>
        <w:tc>
          <w:tcPr>
            <w:tcW w:type="dxa" w:w="1584"/>
            <w:vAlign w:val="center"/>
            <w:shd w:val="clear" w:fill="E8EEF5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  <w:b w:val="1"/>
              </w:rPr>
              <w:t xml:space="preserve">完整离子步</w:t>
            </w:r>
          </w:p>
        </w:tc>
        <w:tc>
          <w:tcPr>
            <w:tcW w:type="dxa" w:w="1584"/>
            <w:vAlign w:val="center"/>
            <w:shd w:val="clear" w:fill="E8EEF5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  <w:b w:val="1"/>
              </w:rPr>
              <w:t xml:space="preserve">完整步SCF</w:t>
            </w:r>
          </w:p>
        </w:tc>
        <w:tc>
          <w:tcPr>
            <w:tcW w:type="dxa" w:w="2016"/>
            <w:vAlign w:val="center"/>
            <w:shd w:val="clear" w:fill="E8EEF5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  <w:b w:val="1"/>
              </w:rPr>
              <w:t xml:space="preserve">DFT最大力 eV/Å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left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纯DFT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用户取消
未收敛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75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1497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0.401579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left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NequIP后DFT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用户取消
未收敛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93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1212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0.061108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left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微调后DFT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正常结束
达到力标准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69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586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 w:line="252" w:lineRule="auto"/>
              <w:rPr>
                <w:color w:val="auto"/>
              </w:rPr>
              <w:widowControl w:val="1"/>
              <w:keepNext w:val="0"/>
              <w:jc w:val="center"/>
            </w:pPr>
            <w:r>
              <w:rPr>
                <w:rFonts w:ascii="Calibri" w:hAnsi="Calibri" w:eastAsia="微软雅黑"/>
                <w:color w:val="000000"/>
                <w:sz w:val="21"/>
              </w:rPr>
              <w:t xml:space="preserve">0.018306</w:t>
            </w:r>
          </w:p>
        </w:tc>
      </w:tr>
    </w:tbl>
    <w:p>
      <w:pPr>
        <w:spacing w:before="0" w:after="0" w:line="80" w:lineRule="exact"/>
        <w:rPr>
          <w:color w:val="auto"/>
        </w:rPr>
        <w:widowControl w:val="1"/>
        <w:keepNext w:val="0"/>
      </w:pPr>
      <w:r>
        <w:rPr>
          <w:rFonts w:ascii="Calibri" w:hAnsi="Calibri" w:eastAsia="微软雅黑"/>
          <w:color w:val="000000"/>
          <w:sz w:val="21"/>
        </w:rPr>
        <w:t xml:space="preserve"/>
      </w:r>
    </w:p>
    <w:p>
      <w:pPr>
        <w:spacing w:before="0" w:after="120" w:line="276" w:lineRule="auto"/>
        <w:rPr>
          <w:color w:val="auto"/>
        </w:rPr>
        <w:widowControl w:val="1"/>
        <w:keepNext w:val="0"/>
      </w:pPr>
      <w:r>
        <w:rPr>
          <w:rFonts w:ascii="Calibri" w:hAnsi="Calibri" w:eastAsia="微软雅黑"/>
          <w:color w:val="000000"/>
          <w:sz w:val="21"/>
        </w:rPr>
        <w:t xml:space="preserve">微调路线用69个离子步、586次SCF达到力标准，VASP成本约346.11核时。另两项按用户要求在未收敛时取消，记录为截断对照，因此无法计算三条路线到相同最低点的完整成本比；核时也尚未计入训练及DFT标注摊销。[3]</w:t>
      </w:r>
    </w:p>
    <w:p>
      <w:pPr>
        <w:spacing w:before="0" w:after="120" w:line="276" w:lineRule="auto"/>
        <w:rPr>
          <w:color w:val="auto"/>
        </w:rPr>
        <w:widowControl w:val="1"/>
        <w:keepNext w:val="0"/>
      </w:pPr>
      <w:r>
        <w:rPr>
          <w:rFonts w:ascii="Calibri" w:hAnsi="Calibri" w:eastAsia="微软雅黑"/>
          <w:color w:val="000000"/>
          <w:sz w:val="21"/>
        </w:rPr>
        <w:t xml:space="preserve">三份终态或停止结构均保留C₂H₃连接和主要Fe近邻，但几何并不完全一致。两项对照未收敛，不能将其位置差异解释为三个不同的稳定最低点。全轨迹电子与磁性审核、完整科学接受登记尚未完成。[3]</w:t>
      </w:r>
    </w:p>
    <w:p>
      <w:pPr>
        <w:pStyle w:val="3"/>
        <w:spacing w:before="240" w:after="100"/>
        <w:rPr>
          <w:color w:val="auto"/>
        </w:rPr>
        <w:widowControl w:val="1"/>
        <w:keepNext w:val="1"/>
      </w:pPr>
      <w:r>
        <w:rPr>
          <w:rFonts w:ascii="Calibri" w:hAnsi="Calibri" w:eastAsia="微软雅黑"/>
          <w:b/>
          <w:color w:val="000000"/>
          <w:sz w:val="30"/>
        </w:rPr>
        <w:t xml:space="preserve">未验证内容与风险</w:t>
      </w:r>
    </w:p>
    <w:p>
      <w:pPr>
        <w:spacing w:before="0" w:after="120" w:line="276" w:lineRule="auto"/>
        <w:rPr>
          <w:color w:val="auto"/>
        </w:rPr>
        <w:widowControl w:val="1"/>
        <w:keepNext w:val="0"/>
      </w:pPr>
      <w:r>
        <w:rPr>
          <w:rFonts w:ascii="Calibri" w:hAnsi="Calibri" w:eastAsia="微软雅黑"/>
          <w:color w:val="000000"/>
          <w:sz w:val="21"/>
        </w:rPr>
        <w:t xml:space="preserve">本轮未完成独立测试或多随机种子复验。开发集用于选模；保留测试中的部分来源已有历史评估记录，不能将其称为重新获得的全盲测试。开发误差降低也尚未证明低力区的力方向及可动Fe预测足够准确。[1–2]</w:t>
      </w:r>
    </w:p>
    <w:p>
      <w:pPr>
        <w:spacing w:before="0" w:after="120" w:line="276" w:lineRule="auto"/>
        <w:rPr>
          <w:color w:val="auto"/>
        </w:rPr>
        <w:widowControl w:val="1"/>
        <w:keepNext w:val="0"/>
      </w:pPr>
      <w:r>
        <w:rPr>
          <w:rFonts w:ascii="Calibri" w:hAnsi="Calibri" w:eastAsia="微软雅黑"/>
          <w:color w:val="000000"/>
          <w:sz w:val="21"/>
        </w:rPr>
        <w:t xml:space="preserve">C₃H₂O近平衡低力标签仍缺，且两条ML试验均发生碎裂；微调仅完成限时部分训练。当前候选的适用范围和进一步训练收益尚未确定。两模型均为force-only，不能用其能量输出报告跨组成吸附能。[2,4–5]</w:t>
      </w:r>
    </w:p>
    <w:p>
      <w:pPr>
        <w:spacing w:before="0" w:after="120" w:line="276" w:lineRule="auto"/>
        <w:rPr>
          <w:color w:val="auto"/>
        </w:rPr>
        <w:widowControl w:val="1"/>
        <w:keepNext w:val="0"/>
      </w:pPr>
      <w:r>
        <w:rPr>
          <w:rFonts w:ascii="Calibri" w:hAnsi="Calibri" w:eastAsia="微软雅黑"/>
          <w:color w:val="000000"/>
          <w:sz w:val="21"/>
        </w:rPr>
        <w:t xml:space="preserve">15项扩展DFT的收敛与最终化学状态未确认；现有三臂结果也未证明相同DFT最低点或整体加速，候选模型尚未正式晋级。[3,6]</w:t>
      </w:r>
    </w:p>
    <w:p>
      <w:pPr>
        <w:pStyle w:val="3"/>
        <w:spacing w:before="240" w:after="100"/>
        <w:rPr>
          <w:color w:val="auto"/>
        </w:rPr>
        <w:widowControl w:val="1"/>
        <w:keepNext w:val="1"/>
      </w:pPr>
      <w:r>
        <w:rPr>
          <w:rFonts w:ascii="Calibri" w:hAnsi="Calibri" w:eastAsia="微软雅黑"/>
          <w:b/>
          <w:color w:val="000000"/>
          <w:sz w:val="30"/>
        </w:rPr>
        <w:t xml:space="preserve">下周计划</w:t>
      </w:r>
    </w:p>
    <w:p>
      <w:pPr>
        <w:spacing w:before="0" w:after="120" w:line="276" w:lineRule="auto"/>
        <w:rPr>
          <w:color w:val="auto"/>
        </w:rPr>
        <w:widowControl w:val="1"/>
        <w:keepNext w:val="0"/>
      </w:pPr>
      <w:r>
        <w:rPr>
          <w:rFonts w:ascii="Calibri" w:hAnsi="Calibri" w:eastAsia="微软雅黑"/>
          <w:color w:val="000000"/>
          <w:sz w:val="21"/>
        </w:rPr>
        <w:t xml:space="preserve">优先在既有训练与开发数据上，按低力区、可动Fe和吸附原子分组诊断力大小及方向误差，形成下一轮训练调整方案。随后结合15项现有DFT任务的按需检查，完成电子、力、磁性与几何审核；只有获得相同终态、相同收敛标准的完整对照后，再统计SCF、核时及标注和训练摊销成本。新增训练或计算另行审核。[2,6]</w:t>
      </w:r>
    </w:p>
    <w:p>
      <w:pPr>
        <w:pStyle w:val="3"/>
        <w:spacing w:before="240" w:after="100"/>
        <w:rPr>
          <w:color w:val="auto"/>
        </w:rPr>
        <w:widowControl w:val="1"/>
        <w:keepNext w:val="1"/>
      </w:pPr>
      <w:r>
        <w:rPr>
          <w:rFonts w:ascii="Calibri" w:hAnsi="Calibri" w:eastAsia="微软雅黑"/>
          <w:b/>
          <w:color w:val="000000"/>
          <w:sz w:val="30"/>
        </w:rPr>
        <w:t xml:space="preserve">主要依据</w:t>
      </w:r>
    </w:p>
    <w:p>
      <w:pPr>
        <w:spacing w:before="0" w:after="120" w:line="276" w:lineRule="auto"/>
        <w:rPr>
          <w:color w:val="auto"/>
        </w:rPr>
        <w:widowControl w:val="1"/>
        <w:keepNext w:val="0"/>
      </w:pPr>
      <w:hyperlink r:id="rIdWeekly20261030Evidence1">
        <w:r>
          <w:rPr>
            <w:color w:val="245A81"/>
            <w:u w:val="single"/>
          </w:rPr>
          <w:t>[1] 512帧训练数据包</w:t>
        </w:r>
      </w:hyperlink>
      <w:r>
        <w:t xml:space="preserve">    </w:t>
      </w:r>
      <w:hyperlink r:id="rIdWeekly20261030Evidence2">
        <w:r>
          <w:rPr>
            <w:color w:val="245A81"/>
            <w:u w:val="single"/>
          </w:rPr>
          <w:t>[2] 训练与微调终止审核</w:t>
        </w:r>
      </w:hyperlink>
    </w:p>
    <w:p>
      <w:pPr>
        <w:spacing w:before="0" w:after="120" w:line="276" w:lineRule="auto"/>
        <w:rPr>
          <w:color w:val="auto"/>
        </w:rPr>
        <w:widowControl w:val="1"/>
        <w:keepNext w:val="0"/>
      </w:pPr>
      <w:hyperlink r:id="rIdWeekly20261030Evidence3">
        <w:r>
          <w:rPr>
            <w:color w:val="245A81"/>
            <w:u w:val="single"/>
          </w:rPr>
          <w:t>[3] C₂三臂DFT与结构比较</w:t>
        </w:r>
      </w:hyperlink>
      <w:r>
        <w:t xml:space="preserve">    </w:t>
      </w:r>
      <w:hyperlink r:id="rIdWeekly20261030Evidence4">
        <w:r>
          <w:rPr>
            <w:color w:val="245A81"/>
            <w:u w:val="single"/>
          </w:rPr>
          <w:t>[4] 联合覆盖与低力区检查</w:t>
        </w:r>
      </w:hyperlink>
    </w:p>
    <w:p>
      <w:pPr>
        <w:spacing w:before="0" w:after="120" w:line="276" w:lineRule="auto"/>
        <w:rPr>
          <w:color w:val="auto"/>
        </w:rPr>
        <w:widowControl w:val="1"/>
        <w:keepNext w:val="0"/>
      </w:pPr>
      <w:hyperlink r:id="rIdWeekly20261030Evidence5">
        <w:r>
          <w:rPr>
            <w:color w:val="245A81"/>
            <w:u w:val="single"/>
          </w:rPr>
          <w:t>[5] 同起点ML预松弛验证</w:t>
        </w:r>
      </w:hyperlink>
      <w:r>
        <w:t xml:space="preserve">    </w:t>
      </w:r>
      <w:hyperlink r:id="rIdWeekly20261030Evidence6">
        <w:r>
          <w:rPr>
            <w:color w:val="245A81"/>
            <w:u w:val="single"/>
          </w:rPr>
          <w:t>[6] 15项扩展DFT最新记录</w:t>
        </w:r>
      </w:hyperlink>
    </w:p>
    <w:sectPr>
      <w:headerReference r:id="rId5" w:type="default"/>
      <w:footerReference r:id="rId6" w:type="default"/>
      <w:pgSz w:w="12240" w:h="15840"/>
      <w:pgMar w:top="1224" w:right="1224" w:bottom="1152" w:left="1224" w:header="648" w:footer="64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4868BD">
    <w:pPr>
      <w:pStyle w:val="24"/>
      <w:jc w:val="center"/>
    </w:pPr>
    <w:r>
      <w:rPr>
        <w:rFonts w:ascii="Calibri" w:hAnsi="Calibri" w:eastAsia="微软雅黑"/>
        <w:color w:val="595959"/>
        <w:sz w:val="17"/>
      </w:rPr>
      <w:t>2026年10月26日至10月30日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64DC00">
    <w:pPr>
      <w:pStyle w:val="25"/>
    </w:pPr>
    <w:r>
      <w:rPr>
        <w:rFonts w:ascii="Calibri" w:hAnsi="Calibri" w:eastAsia="微软雅黑"/>
        <w:color w:val="595959"/>
        <w:sz w:val="17"/>
      </w:rPr>
      <w:t>Fe110 新模型训练与微调周报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D155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WeeklyEvidence1" Type="http://schemas.openxmlformats.org/officeDocument/2006/relationships/hyperlink" Target="file:///C:/Users/86177/Desktop/work/docs/reviews/fe110_adsorption_candidate_selection_20261020.md" TargetMode="External"/><Relationship Id="rIdWeeklyEvidence2" Type="http://schemas.openxmlformats.org/officeDocument/2006/relationships/hyperlink" Target="file:///C:/Users/86177/Desktop/work/docs/reviews/fe110_adsorption_control_heldout46_20261020.md" TargetMode="External"/><Relationship Id="rIdWeeklyEvidence3" Type="http://schemas.openxmlformats.org/officeDocument/2006/relationships/hyperlink" Target="file:///C:/Users/86177/Desktop/work/docs/reviews/fe110_adsorption_control_geometry3_20261020.md" TargetMode="External"/><Relationship Id="rIdWeeklyEvidence4" Type="http://schemas.openxmlformats.org/officeDocument/2006/relationships/hyperlink" Target="file:///C:/Users/86177/Desktop/work/docs/reviews/fe110_adsorption_control_paired_vasp3_submission_20261020.md" TargetMode="External"/><Relationship Id="rIdWeeklyEvidence5" Type="http://schemas.openxmlformats.org/officeDocument/2006/relationships/hyperlink" Target="file:///C:/Users/86177/Desktop/work/docs/reviews/fe110_reico_probe6_20261022/force_review.md" TargetMode="External"/><Relationship Id="rIdWeeklyEvidence6" Type="http://schemas.openxmlformats.org/officeDocument/2006/relationships/hyperlink" Target="file:///C:/Users/86177/Desktop/work/docs/reviews/fe110_reico_sampling93_20261022/README.md" TargetMode="External"/><Relationship Id="rIdWeekly20261030Evidence1" Type="http://schemas.openxmlformats.org/officeDocument/2006/relationships/hyperlink" Target="file:///C:/Users/86177/Desktop/work/docs/reviews/fe110_force_package_20261027/README.md" TargetMode="External"/><Relationship Id="rIdWeekly20261030Evidence2" Type="http://schemas.openxmlformats.org/officeDocument/2006/relationships/hyperlink" Target="file:///C:/Users/86177/Desktop/work/docs/reviews/fe110_scratch512_20261028/README.md" TargetMode="External"/><Relationship Id="rIdWeekly20261030Evidence3" Type="http://schemas.openxmlformats.org/officeDocument/2006/relationships/hyperlink" Target="file:///C:/Users/86177/Desktop/work/docs/reviews/fe110_c2_three_arm_stop_20261029/README.md" TargetMode="External"/><Relationship Id="rIdWeekly20261030Evidence4" Type="http://schemas.openxmlformats.org/officeDocument/2006/relationships/hyperlink" Target="file:///C:/Users/86177/Desktop/work/docs/reviews/fe110_joint_update512_20261027/README.md" TargetMode="External"/><Relationship Id="rIdWeekly20261030Evidence5" Type="http://schemas.openxmlformats.org/officeDocument/2006/relationships/hyperlink" Target="file:///C:/Users/86177/Desktop/work/docs/reviews/fe110_scratch512_speed2_20261028/README.md" TargetMode="External"/><Relationship Id="rIdWeekly20261030Evidence6" Type="http://schemas.openxmlformats.org/officeDocument/2006/relationships/hyperlink" Target="file:///C:/Users/86177/Desktop/work/docs/reviews/fe110_c2_11_15_ft512_20261029/nsw300_updat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1491</Words>
  <Characters>4049</Characters>
  <Lines>0</Lines>
  <Paragraphs>0</Paragraphs>
  <TotalTime>2</TotalTime>
  <ScaleCrop>false</ScaleCrop>
  <LinksUpToDate>false</LinksUpToDate>
  <CharactersWithSpaces>4344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generated by python-docx</dc:description>
  <dc:subject>2026年10月26日至10月30日 NequIP训练与AQCat25微调</dc:subject>
  <dc:title>Fe110 新模型训练与微调周报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eyJoZGlkIjoiOTMwOWFhNTNmY2ExMjhiNjAyYjFlYmJjMjM4YjdiZGMiLCJ1c2VySWQiOiIxMjQ2Mjk3NDA0In0=</vt:lpwstr>
  </property>
  <property fmtid="{D5CDD505-2E9C-101B-9397-08002B2CF9AE}" pid="3" name="KSOProductBuildVer">
    <vt:lpwstr>2052-12.1.0.24034</vt:lpwstr>
  </property>
  <property fmtid="{D5CDD505-2E9C-101B-9397-08002B2CF9AE}" pid="4" name="ICV">
    <vt:lpwstr>ED0BAE0F75164DFA8FC802E39B103375_12</vt:lpwstr>
  </property>
</Properties>
</file>