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55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Spatially Differentiated Conservation and Management Strategies for Coastal Blue Carbon Ecosystems in China</w:t>
      </w:r>
    </w:p>
    <w:p w14:paraId="4A7D582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A76040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Dataset description</w:t>
      </w:r>
    </w:p>
    <w:p w14:paraId="6C9FA70C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F18D1F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dataset contains the spatially explicit conservation and management strategies presented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Fig. 4, “Spatially differentiated conservation and management strategies”</w:t>
      </w:r>
      <w:r>
        <w:rPr>
          <w:rFonts w:hint="default" w:ascii="Times New Roman" w:hAnsi="Times New Roman" w:cs="Times New Roman"/>
          <w:sz w:val="24"/>
          <w:szCs w:val="24"/>
        </w:rPr>
        <w:t xml:space="preserve"> of the associated study:</w:t>
      </w:r>
    </w:p>
    <w:p w14:paraId="355D1E2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682776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Xu, Y., Gu, T., Xu, F., et al. Dual-constraint spatial planning unlocks proactive blue carbon expansion across China’s coastlines.</w:t>
      </w:r>
    </w:p>
    <w:p w14:paraId="38DA655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9B10EC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dataset provides the final spatial allocation of conservation and management strategies for three coastal blue carbon ecosystems (CBCEs):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mangroves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salt marshes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seagrass</w:t>
      </w:r>
      <w:r>
        <w:rPr>
          <w:rFonts w:hint="default" w:ascii="Times New Roman" w:hAnsi="Times New Roman" w:cs="Times New Roman"/>
          <w:sz w:val="24"/>
          <w:szCs w:val="24"/>
        </w:rPr>
        <w:t>, together with areas prioritized for anthropogenic activities and other areas.</w:t>
      </w:r>
    </w:p>
    <w:p w14:paraId="5B4B4860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7B5384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data are provided in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ESRI Shapefile format (.shp)</w:t>
      </w:r>
      <w:r>
        <w:rPr>
          <w:rFonts w:hint="default" w:ascii="Times New Roman" w:hAnsi="Times New Roman" w:cs="Times New Roman"/>
          <w:sz w:val="24"/>
          <w:szCs w:val="24"/>
        </w:rPr>
        <w:t xml:space="preserve">. The spatial planning framework consists of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397,961 planning units </w:t>
      </w:r>
      <w:r>
        <w:rPr>
          <w:rFonts w:hint="default" w:ascii="Times New Roman" w:hAnsi="Times New Roman" w:cs="Times New Roman"/>
          <w:sz w:val="24"/>
          <w:szCs w:val="24"/>
        </w:rPr>
        <w:t xml:space="preserve">at a spatial resolution of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30 arc-seconds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The dataset should be used together with all standard Shapefile components, including .shp, .shx, .dbf, and .prj. </w:t>
      </w:r>
      <w:r>
        <w:rPr>
          <w:rFonts w:hint="default" w:ascii="Times New Roman" w:hAnsi="Times New Roman" w:cs="Times New Roman"/>
          <w:sz w:val="24"/>
          <w:szCs w:val="24"/>
        </w:rPr>
        <w:t>Each planning unit is assigned a unique identification number and one categorical strategy code describing its corresponding conservation or management strategy.</w:t>
      </w:r>
    </w:p>
    <w:p w14:paraId="39DF408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C05F01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Spatial planning framework</w:t>
      </w:r>
    </w:p>
    <w:p w14:paraId="61076471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D87315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final spatial strategy was developed using a systematic conservation planning framework integrating ecosystem suitability, existing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</w:t>
      </w:r>
      <w:r>
        <w:rPr>
          <w:rFonts w:hint="default" w:ascii="Times New Roman" w:hAnsi="Times New Roman" w:cs="Times New Roman"/>
          <w:sz w:val="24"/>
          <w:szCs w:val="24"/>
        </w:rPr>
        <w:t xml:space="preserve"> distributions, protection priorities, and anthropogenic pressure.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Based on the comparative assessment of alternative planning solutions, a potential distribution probability threshold of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&gt;0.4</w:t>
      </w:r>
      <w:r>
        <w:rPr>
          <w:rFonts w:hint="default" w:ascii="Times New Roman" w:hAnsi="Times New Roman" w:cs="Times New Roman"/>
          <w:sz w:val="24"/>
          <w:szCs w:val="24"/>
        </w:rPr>
        <w:t xml:space="preserve"> and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R2 frequency 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were selected for the final conservation planning scheme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</w:rPr>
        <w:t>The R2 frequency solution represents planning units selected in 60–100% of 100 independent Marxan iterations.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.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30% protection target</w:t>
      </w:r>
      <w:r>
        <w:rPr>
          <w:rFonts w:hint="default" w:ascii="Times New Roman" w:hAnsi="Times New Roman" w:cs="Times New Roman"/>
          <w:sz w:val="24"/>
          <w:szCs w:val="24"/>
        </w:rPr>
        <w:t xml:space="preserve"> was subsequently applied to formulate the comprehensive spatial protection strategy.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resulting strategy provides a spatially differentiated framework for the protection, restoration, and management of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</w:t>
      </w:r>
      <w:r>
        <w:rPr>
          <w:rFonts w:hint="default" w:ascii="Times New Roman" w:hAnsi="Times New Roman" w:cs="Times New Roman"/>
          <w:sz w:val="24"/>
          <w:szCs w:val="24"/>
        </w:rPr>
        <w:t>s.</w:t>
      </w:r>
    </w:p>
    <w:p w14:paraId="18D69AE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BBDC18E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Attribute information</w:t>
      </w:r>
    </w:p>
    <w:p w14:paraId="5C6171D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2191EB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attribute table contains two fields:</w:t>
      </w:r>
    </w:p>
    <w:p w14:paraId="2BB99223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Planning Unit ID</w:t>
      </w:r>
      <w:r>
        <w:rPr>
          <w:rFonts w:hint="default" w:ascii="Times New Roman" w:hAnsi="Times New Roman" w:cs="Times New Roman"/>
          <w:sz w:val="24"/>
          <w:szCs w:val="24"/>
        </w:rPr>
        <w:t xml:space="preserve"> — unique identification number of each planning unit.</w:t>
      </w:r>
    </w:p>
    <w:p w14:paraId="6877AB4D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Strategy Code</w:t>
      </w:r>
      <w:r>
        <w:rPr>
          <w:rFonts w:hint="default" w:ascii="Times New Roman" w:hAnsi="Times New Roman" w:cs="Times New Roman"/>
          <w:sz w:val="24"/>
          <w:szCs w:val="24"/>
        </w:rPr>
        <w:t xml:space="preserve"> — numerical code representing the conservation or management strategy assigned to the planning unit.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strategy codes are defined as follows.</w:t>
      </w:r>
    </w:p>
    <w:p w14:paraId="03FDDE6F">
      <w:pPr>
        <w:widowControl w:val="0"/>
        <w:numPr>
          <w:ilvl w:val="0"/>
          <w:numId w:val="0"/>
        </w:num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31"/>
        <w:gridCol w:w="782"/>
        <w:gridCol w:w="700"/>
      </w:tblGrid>
      <w:tr w14:paraId="49BD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8006379">
            <w:pPr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Category</w:t>
            </w:r>
          </w:p>
        </w:tc>
        <w:tc>
          <w:tcPr>
            <w:tcW w:w="9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DDB26B">
            <w:pPr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trategy</w:t>
            </w:r>
          </w:p>
        </w:tc>
        <w:tc>
          <w:tcPr>
            <w:tcW w:w="7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B37587">
            <w:pPr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Class</w:t>
            </w:r>
          </w:p>
        </w:tc>
        <w:tc>
          <w:tcPr>
            <w:tcW w:w="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9AC2A5">
            <w:pPr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 w:val="18"/>
                <w:szCs w:val="18"/>
                <w:vertAlign w:val="baseline"/>
                <w:lang w:val="en-US" w:eastAsia="zh-CN"/>
              </w:rPr>
              <w:t>Code</w:t>
            </w:r>
          </w:p>
        </w:tc>
      </w:tr>
      <w:tr w14:paraId="11ACC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restart"/>
            <w:tcBorders>
              <w:top w:val="single" w:color="000000" w:sz="4" w:space="0"/>
              <w:left w:val="nil"/>
              <w:right w:val="nil"/>
            </w:tcBorders>
            <w:shd w:val="clear" w:color="auto" w:fill="FFFFFF"/>
            <w:vAlign w:val="center"/>
          </w:tcPr>
          <w:p w14:paraId="187EE7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Mangrove</w:t>
            </w:r>
          </w:p>
        </w:tc>
        <w:tc>
          <w:tcPr>
            <w:tcW w:w="9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5D4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E75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ECP</w:t>
            </w:r>
          </w:p>
        </w:tc>
        <w:tc>
          <w:tcPr>
            <w:tcW w:w="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3263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</w:tr>
      <w:tr w14:paraId="2984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16F8AF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46C3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A313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ECU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BB39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</w:tr>
      <w:tr w14:paraId="3312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9B35ED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50F8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55EA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7F07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</w:tr>
      <w:tr w14:paraId="5263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3708953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F2A40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DBCA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E6A02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</w:tr>
      <w:tr w14:paraId="1AFD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A556B8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A0170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047F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ECU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196EC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</w:tr>
      <w:tr w14:paraId="7618A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FD44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FB8E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9D24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882D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</w:tr>
      <w:tr w14:paraId="1882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0A9C6C8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Salt marsh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A8E4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7935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7CD48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</w:tr>
      <w:tr w14:paraId="3B7A3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FC045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B079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7F7E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ECU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4D71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</w:tr>
      <w:tr w14:paraId="76C45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6A004D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89BC4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24167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0B54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</w:tr>
      <w:tr w14:paraId="6BE4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BE4736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766AC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E1390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9C0C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</w:tr>
      <w:tr w14:paraId="3DA9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EB539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4128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832E1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ECU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347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</w:tr>
      <w:tr w14:paraId="0CF9A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6CF2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4BE9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3308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3F6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</w:tr>
      <w:tr w14:paraId="1ED6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F0753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Seagrass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E26B3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9487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3697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</w:tr>
      <w:tr w14:paraId="55BB8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C1F5BE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C7A7E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0C9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ECU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08B0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</w:tr>
      <w:tr w14:paraId="3A89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B145E3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A013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Single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BCF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D8C95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</w:tr>
      <w:tr w14:paraId="2C9E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B8D57C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D7A9D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2EAC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DCFAE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</w:tr>
      <w:tr w14:paraId="07D72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E4858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D965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A28B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ECU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DE8C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</w:tr>
      <w:tr w14:paraId="0CD2D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3AA8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20FE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Joint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94F72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NCP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E1D7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</w:tr>
      <w:tr w14:paraId="0A9A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B87A2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Anthropogenic</w:t>
            </w:r>
          </w:p>
          <w:p w14:paraId="594D09B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activity</w:t>
            </w: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52311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First class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F9C19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</w:tr>
      <w:tr w14:paraId="0240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5CEB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cs="Times New Roman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ECF2E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Second class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B737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</w:tr>
      <w:tr w14:paraId="3580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86F8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17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35374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Third class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48F5A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</w:tr>
      <w:tr w14:paraId="264C2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E7ACCD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Others</w:t>
            </w:r>
          </w:p>
        </w:tc>
        <w:tc>
          <w:tcPr>
            <w:tcW w:w="1713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DBE816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9A993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</w:tr>
    </w:tbl>
    <w:p w14:paraId="4EB4BB35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9162A7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ECP</w:t>
      </w:r>
      <w:r>
        <w:rPr>
          <w:rFonts w:hint="default" w:ascii="Times New Roman" w:hAnsi="Times New Roman" w:cs="Times New Roman"/>
          <w:sz w:val="24"/>
          <w:szCs w:val="24"/>
        </w:rPr>
        <w:t xml:space="preserve"> = Existing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CBCEs</w:t>
      </w:r>
      <w:r>
        <w:rPr>
          <w:rFonts w:hint="default" w:ascii="Times New Roman" w:hAnsi="Times New Roman" w:cs="Times New Roman"/>
          <w:sz w:val="24"/>
          <w:szCs w:val="24"/>
        </w:rPr>
        <w:t xml:space="preserve"> that needs to be protected.</w:t>
      </w:r>
    </w:p>
    <w:p w14:paraId="7021964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ECU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xisting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CBCEs</w:t>
      </w:r>
      <w:r>
        <w:rPr>
          <w:rFonts w:hint="default" w:ascii="Times New Roman" w:hAnsi="Times New Roman" w:cs="Times New Roman"/>
          <w:sz w:val="24"/>
          <w:szCs w:val="24"/>
        </w:rPr>
        <w:t xml:space="preserve"> but not in need of protection.</w:t>
      </w:r>
    </w:p>
    <w:p w14:paraId="1AA9FF9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NCP</w:t>
      </w:r>
      <w:r>
        <w:rPr>
          <w:rFonts w:hint="default" w:ascii="Times New Roman" w:hAnsi="Times New Roman" w:cs="Times New Roman"/>
          <w:sz w:val="24"/>
          <w:szCs w:val="24"/>
        </w:rPr>
        <w:t xml:space="preserve"> =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ot existing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CBCEs</w:t>
      </w:r>
      <w:r>
        <w:rPr>
          <w:rFonts w:hint="default" w:ascii="Times New Roman" w:hAnsi="Times New Roman" w:cs="Times New Roman"/>
          <w:sz w:val="24"/>
          <w:szCs w:val="24"/>
        </w:rPr>
        <w:t xml:space="preserve"> but need to be protected.</w:t>
      </w:r>
    </w:p>
    <w:p w14:paraId="7DFEFD1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Single</w:t>
      </w:r>
      <w:r>
        <w:rPr>
          <w:rFonts w:hint="default" w:ascii="Times New Roman" w:hAnsi="Times New Roman" w:cs="Times New Roman"/>
          <w:sz w:val="24"/>
          <w:szCs w:val="24"/>
        </w:rPr>
        <w:t xml:space="preserve"> = A planning unit designated for the protection or management of a single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</w:t>
      </w:r>
      <w:r>
        <w:rPr>
          <w:rFonts w:hint="default" w:ascii="Times New Roman" w:hAnsi="Times New Roman" w:cs="Times New Roman"/>
          <w:sz w:val="24"/>
          <w:szCs w:val="24"/>
        </w:rPr>
        <w:t xml:space="preserve"> type.</w:t>
      </w:r>
    </w:p>
    <w:p w14:paraId="6D7D086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Joint</w:t>
      </w:r>
      <w:r>
        <w:rPr>
          <w:rFonts w:hint="default" w:ascii="Times New Roman" w:hAnsi="Times New Roman" w:cs="Times New Roman"/>
          <w:sz w:val="24"/>
          <w:szCs w:val="24"/>
        </w:rPr>
        <w:t xml:space="preserve"> = A planning unit designated for the joint protection of two or more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CBCE</w:t>
      </w:r>
      <w:r>
        <w:rPr>
          <w:rFonts w:hint="default" w:ascii="Times New Roman" w:hAnsi="Times New Roman" w:cs="Times New Roman"/>
          <w:sz w:val="24"/>
          <w:szCs w:val="24"/>
        </w:rPr>
        <w:t xml:space="preserve"> types.</w:t>
      </w:r>
      <w:bookmarkStart w:id="0" w:name="_GoBack"/>
      <w:bookmarkEnd w:id="0"/>
    </w:p>
    <w:p w14:paraId="2FA2379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5D7E20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Interpretation of the dataset</w:t>
      </w:r>
    </w:p>
    <w:p w14:paraId="5104963B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BD9FF2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strategy code assigned to each planning unit represents the recommended spatial conservation or management strategy generated by the study, rather than an existing legal designation or officially established protected-area boundary.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 particular:</w:t>
      </w:r>
    </w:p>
    <w:p w14:paraId="55A76CA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11–16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identify mangrove-related conservation strategies.</w:t>
      </w:r>
    </w:p>
    <w:p w14:paraId="6D6BC2C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21–26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identify salt-marsh-related conservation strategies.</w:t>
      </w:r>
    </w:p>
    <w:p w14:paraId="42B5B7F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31–36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identify seagrass-related conservation strategies.</w:t>
      </w:r>
    </w:p>
    <w:p w14:paraId="360BBC3F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41–43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identify areas prioritized for anthropogenic activities.</w:t>
      </w:r>
    </w:p>
    <w:p w14:paraId="0AFCAD5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Code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50</w:t>
      </w:r>
      <w:r>
        <w:rPr>
          <w:rFonts w:hint="default" w:ascii="Times New Roman" w:hAnsi="Times New Roman" w:cs="Times New Roman"/>
          <w:sz w:val="24"/>
          <w:szCs w:val="24"/>
        </w:rPr>
        <w:t xml:space="preserve"> identifies other areas.</w:t>
      </w:r>
    </w:p>
    <w:p w14:paraId="3045C30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A746C0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mangrove, salt marsh, and seagrass categories, the second digit further distinguishes the strategy and protection status.</w:t>
      </w:r>
    </w:p>
    <w:p w14:paraId="65881BF6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166B084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Data limitations and appropriate use</w:t>
      </w:r>
    </w:p>
    <w:p w14:paraId="09F1EEB9">
      <w:pPr>
        <w:bidi w:val="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410AFB5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a.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planning units are analytical units used for systematic conservation planning and do not represent administrative boundaries or legally designated protected areas.</w:t>
      </w:r>
    </w:p>
    <w:p w14:paraId="7780670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b.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spatial resolution of the dataset is 30 arc-seconds.</w:t>
      </w:r>
    </w:p>
    <w:p w14:paraId="066741A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c.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final strategy was developed under a 30% protection target and therefore represents a specific conservation planning scenario.</w:t>
      </w:r>
    </w:p>
    <w:p w14:paraId="65007AD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d.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proposed strategies should be regarded as a research-based spatial decision-support framework, rather than statutory land-use or marine spatial-planning boundaries.</w:t>
      </w:r>
    </w:p>
    <w:p w14:paraId="38340798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e. </w:t>
      </w:r>
      <w:r>
        <w:rPr>
          <w:rFonts w:hint="default" w:ascii="Times New Roman" w:hAnsi="Times New Roman" w:cs="Times New Roman"/>
          <w:sz w:val="24"/>
          <w:szCs w:val="24"/>
        </w:rPr>
        <w:t>Local implementation should consider site-specific ecological, socioeconomic, and policy conditions.</w:t>
      </w:r>
    </w:p>
    <w:p w14:paraId="27FBAE6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CEB54C6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Citation</w:t>
      </w:r>
    </w:p>
    <w:p w14:paraId="7DABB24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CFD3B1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using this dataset, please cite the associated publication:</w:t>
      </w:r>
    </w:p>
    <w:p w14:paraId="2F3AF26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7D3BFD8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Xu, Y., Gu, T., Xu, F., et al. Dual-constraint spatial planning unlocks proactive blue carbon expansion across China’s coastlines.</w:t>
      </w:r>
    </w:p>
    <w:p w14:paraId="6F4C1F1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2378F0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Please also cite this dataset according to the citation information provided by the data repository.</w:t>
      </w:r>
    </w:p>
    <w:p w14:paraId="0753A8E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85EBB1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Contact</w:t>
      </w:r>
    </w:p>
    <w:p w14:paraId="4DB2EBC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B57D70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questions, please contact the corresponding authors:</w:t>
      </w:r>
    </w:p>
    <w:p w14:paraId="48CF1ADF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F932AE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Prof. Qingxu Huang –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qxhuang@bnu.edu.cn</w:t>
      </w:r>
    </w:p>
    <w:p w14:paraId="5CE4665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AC63D8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BB4F2FA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 updated: August 2026</w:t>
      </w:r>
    </w:p>
    <w:p w14:paraId="4D8ED16A">
      <w:pPr>
        <w:bidi w:val="0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D67D9"/>
    <w:multiLevelType w:val="singleLevel"/>
    <w:tmpl w:val="DF2D67D9"/>
    <w:lvl w:ilvl="0" w:tentative="0">
      <w:start w:val="1"/>
      <w:numFmt w:val="lowerLetter"/>
      <w:suff w:val="space"/>
      <w:lvlText w:val="%1.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A6A01"/>
    <w:rsid w:val="06CA6A01"/>
    <w:rsid w:val="0C4F65AC"/>
    <w:rsid w:val="0D510AB2"/>
    <w:rsid w:val="11DC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698</Words>
  <Characters>4273</Characters>
  <Lines>0</Lines>
  <Paragraphs>0</Paragraphs>
  <TotalTime>3</TotalTime>
  <ScaleCrop>false</ScaleCrop>
  <LinksUpToDate>false</LinksUpToDate>
  <CharactersWithSpaces>4860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2026-08-21T16:10:00Z</dcterms:created>
  <dc:creator>徐扬</dc:creator>
  <cp:lastModifiedBy>徐扬</cp:lastModifiedBy>
  <dcterms:modified xsi:type="dcterms:W3CDTF">2026-08-28T07:35:31Z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5A10C6F4EEA443EBA626744C6CE908B8_11</vt:lpwstr>
  </property>
  <property fmtid="{D5CDD505-2E9C-101B-9397-08002B2CF9AE}" pid="4" name="KSOTemplateDocerSaveRecord">
    <vt:lpwstr>eyJoZGlkIjoiZGQzYmI2MDg0ZTM4YWQxOTk4NzA1OTQzNDZhNzI3NTEiLCJ1c2VySWQiOiIxODM5NjI3NDYwIn0=</vt:lpwstr>
  </property>
</Properties>
</file>