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Manual</w:t>
      </w:r>
    </w:p>
    <w:p>
      <w:r>
        <w:t>This manual covers operational runbooks, control testing, and compliance workflow.</w:t>
      </w:r>
    </w:p>
    <w:p>
      <w:pPr>
        <w:pStyle w:val="Heading2"/>
      </w:pPr>
      <w:r>
        <w:t>Control Testing</w:t>
      </w:r>
    </w:p>
    <w:p>
      <w:r>
        <w:t>Control testing checks retrieval stability, evidence quality, and explain mode outputs.</w:t>
      </w:r>
    </w:p>
    <w:p>
      <w:pPr>
        <w:pStyle w:val="Heading2"/>
      </w:pPr>
      <w:r>
        <w:t>Observability</w:t>
      </w:r>
    </w:p>
    <w:p>
      <w:r>
        <w:t>Observability should capture matched terms, matched fields, candidate counts, and ranking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