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umentHead"/>
      </w:pPr>
      <w:r>
        <w:t>商业计划书</w:t>
      </w:r>
    </w:p>
    <w:p>
      <w:pPr>
        <w:pStyle w:val="DocumentSubhead"/>
      </w:pPr>
      <w:r>
        <w:t>Blocky Studio</w:t>
      </w:r>
    </w:p>
    <w:p>
      <w:pPr>
        <w:pStyle w:val="DocumentSubhead"/>
      </w:pPr>
      <w:r>
        <w:t>Business plan</w:t>
      </w:r>
    </w:p>
    <w:p>
      <w:pPr>
        <w:pStyle w:val="DocumentSubhead"/>
      </w:pPr>
      <w:r>
        <w:t>面向小学生的积木式 Agent 创作教育与机构服务</w:t>
      </w:r>
    </w:p>
    <w:p>
      <w:pPr>
        <w:pStyle w:val="BodyText"/>
      </w:pPr>
      <w:r>
        <w:t>Prepared for: 息壤杯高校赛区复赛评委</w:t>
      </w:r>
    </w:p>
    <w:p>
      <w:pPr>
        <w:pStyle w:val="BodyText"/>
      </w:pPr>
      <w:r>
        <w:t>Document reference: BLOCKY-BP-20261003</w:t>
      </w:r>
    </w:p>
    <w:p>
      <w:pPr>
        <w:pStyle w:val="BodyText"/>
      </w:pPr>
      <w:r>
        <w:t>Version: 2.0</w:t>
      </w:r>
    </w:p>
    <w:p>
      <w:pPr>
        <w:pStyle w:val="BodyText"/>
      </w:pPr>
      <w:r>
        <w:t>Date produced: 2026-10-03</w:t>
      </w:r>
    </w:p>
    <w:p>
      <w:pPr>
        <w:pStyle w:val="BodyText"/>
      </w:pPr>
      <w:r>
        <w:t>Prepared by: TB快重置就队</w:t>
      </w:r>
    </w:p>
    <w:p>
      <w:pPr>
        <w:pStyle w:val="BodyText"/>
      </w:pPr>
      <w:r>
        <w:t>Confidential | 参赛交流资料</w:t>
      </w:r>
    </w:p>
    <w:p>
      <w:pPr>
        <w:sectPr>
          <w:headerReference w:type="default" r:id="rId17"/>
          <w:footerReference w:type="default" r:id="rId18"/>
          <w:pgSz w:w="11906" w:h="16838" w:code="119"/>
          <w:pgMar w:top="1440" w:right="1440" w:bottom="1440" w:left="1440" w:header="720" w:footer="720" w:gutter="0"/>
          <w:cols w:space="708"/>
          <w:docGrid w:linePitch="360"/>
          <w:vAlign w:val="center"/>
        </w:sectPr>
      </w:pPr>
    </w:p>
    <w:p>
      <w:pPr>
        <w:pStyle w:val="TOCHeading"/>
      </w:pPr>
      <w:r>
        <w:t>Table of contents</w:t>
      </w:r>
    </w:p>
    <w:p>
      <w:pPr>
        <w:pStyle w:val="TOC1"/>
      </w:pPr>
      <w:r>
        <w:fldChar w:fldCharType="begin"/>
      </w:r>
      <w:r>
        <w:instrText> TOC \o "1-3" \h \z \u </w:instrText>
      </w:r>
      <w:r>
        <w:fldChar w:fldCharType="separate"/>
      </w:r>
      <w:r>
        <w:t>﻿0. 执行摘要</w:t>
      </w:r>
      <w:r>
        <w:tab/>
      </w:r>
      <w:r>
        <w:fldChar w:fldCharType="begin"/>
      </w:r>
      <w:r>
        <w:instrText> PAGEREF _TocBlocky0 \h </w:instrText>
      </w:r>
      <w:r>
        <w:fldChar w:fldCharType="separate"/>
      </w:r>
      <w:r>
        <w:t>3</w:t>
      </w:r>
      <w:r>
        <w:fldChar w:fldCharType="end"/>
      </w:r>
    </w:p>
    <w:p>
      <w:pPr>
        <w:pStyle w:val="TOC1"/>
      </w:pPr>
      <w:r>
        <w:t>﻿1. 企业与产品概况</w:t>
      </w:r>
      <w:r>
        <w:tab/>
      </w:r>
      <w:r>
        <w:fldChar w:fldCharType="begin"/>
      </w:r>
      <w:r>
        <w:instrText> PAGEREF _TocBlocky1 \h </w:instrText>
      </w:r>
      <w:r>
        <w:fldChar w:fldCharType="separate"/>
      </w:r>
      <w:r>
        <w:t>3</w:t>
      </w:r>
      <w:r>
        <w:fldChar w:fldCharType="end"/>
      </w:r>
    </w:p>
    <w:p>
      <w:pPr>
        <w:pStyle w:val="TOC2"/>
      </w:pPr>
      <w:r>
        <w:t>﻿1.1 产品与教学价值</w:t>
      </w:r>
      <w:r>
        <w:tab/>
      </w:r>
      <w:r>
        <w:fldChar w:fldCharType="begin"/>
      </w:r>
      <w:r>
        <w:instrText> PAGEREF _TocBlocky2 \h </w:instrText>
      </w:r>
      <w:r>
        <w:fldChar w:fldCharType="separate"/>
      </w:r>
      <w:r>
        <w:t>4</w:t>
      </w:r>
      <w:r>
        <w:fldChar w:fldCharType="end"/>
      </w:r>
    </w:p>
    <w:p>
      <w:pPr>
        <w:pStyle w:val="TOC2"/>
      </w:pPr>
      <w:r>
        <w:t>﻿1.2 目标市场与需求判断</w:t>
      </w:r>
      <w:r>
        <w:tab/>
      </w:r>
      <w:r>
        <w:fldChar w:fldCharType="begin"/>
      </w:r>
      <w:r>
        <w:instrText> PAGEREF _TocBlocky3 \h </w:instrText>
      </w:r>
      <w:r>
        <w:fldChar w:fldCharType="separate"/>
      </w:r>
      <w:r>
        <w:t>5</w:t>
      </w:r>
      <w:r>
        <w:fldChar w:fldCharType="end"/>
      </w:r>
    </w:p>
    <w:p>
      <w:pPr>
        <w:pStyle w:val="TOC2"/>
      </w:pPr>
      <w:r>
        <w:t>﻿1.3 竞争与产品定位</w:t>
      </w:r>
      <w:r>
        <w:tab/>
      </w:r>
      <w:r>
        <w:fldChar w:fldCharType="begin"/>
      </w:r>
      <w:r>
        <w:instrText> PAGEREF _TocBlocky4 \h </w:instrText>
      </w:r>
      <w:r>
        <w:fldChar w:fldCharType="separate"/>
      </w:r>
      <w:r>
        <w:t>5</w:t>
      </w:r>
      <w:r>
        <w:fldChar w:fldCharType="end"/>
      </w:r>
    </w:p>
    <w:p>
      <w:pPr>
        <w:pStyle w:val="TOC1"/>
      </w:pPr>
      <w:r>
        <w:t>﻿2. 销售与客户服务</w:t>
      </w:r>
      <w:r>
        <w:tab/>
      </w:r>
      <w:r>
        <w:fldChar w:fldCharType="begin"/>
      </w:r>
      <w:r>
        <w:instrText> PAGEREF _TocBlocky5 \h </w:instrText>
      </w:r>
      <w:r>
        <w:fldChar w:fldCharType="separate"/>
      </w:r>
      <w:r>
        <w:t>6</w:t>
      </w:r>
      <w:r>
        <w:fldChar w:fldCharType="end"/>
      </w:r>
    </w:p>
    <w:p>
      <w:pPr>
        <w:pStyle w:val="TOC2"/>
      </w:pPr>
      <w:r>
        <w:t>﻿2.1 客户角色与购买条件</w:t>
      </w:r>
      <w:r>
        <w:tab/>
      </w:r>
      <w:r>
        <w:fldChar w:fldCharType="begin"/>
      </w:r>
      <w:r>
        <w:instrText> PAGEREF _TocBlocky6 \h </w:instrText>
      </w:r>
      <w:r>
        <w:fldChar w:fldCharType="separate"/>
      </w:r>
      <w:r>
        <w:t>6</w:t>
      </w:r>
      <w:r>
        <w:fldChar w:fldCharType="end"/>
      </w:r>
    </w:p>
    <w:p>
      <w:pPr>
        <w:pStyle w:val="TOC2"/>
      </w:pPr>
      <w:r>
        <w:t>﻿2.2 机构报价与服务边界</w:t>
      </w:r>
      <w:r>
        <w:tab/>
      </w:r>
      <w:r>
        <w:fldChar w:fldCharType="begin"/>
      </w:r>
      <w:r>
        <w:instrText> PAGEREF _TocBlocky7 \h </w:instrText>
      </w:r>
      <w:r>
        <w:fldChar w:fldCharType="separate"/>
      </w:r>
      <w:r>
        <w:t>6</w:t>
      </w:r>
      <w:r>
        <w:fldChar w:fldCharType="end"/>
      </w:r>
    </w:p>
    <w:p>
      <w:pPr>
        <w:pStyle w:val="TOC2"/>
      </w:pPr>
      <w:r>
        <w:t>﻿2.3 获客与验证路径</w:t>
      </w:r>
      <w:r>
        <w:tab/>
      </w:r>
      <w:r>
        <w:fldChar w:fldCharType="begin"/>
      </w:r>
      <w:r>
        <w:instrText> PAGEREF _TocBlocky8 \h </w:instrText>
      </w:r>
      <w:r>
        <w:fldChar w:fldCharType="separate"/>
      </w:r>
      <w:r>
        <w:t>7</w:t>
      </w:r>
      <w:r>
        <w:fldChar w:fldCharType="end"/>
      </w:r>
    </w:p>
    <w:p>
      <w:pPr>
        <w:pStyle w:val="TOC1"/>
      </w:pPr>
      <w:r>
        <w:t>﻿3. 运营计划</w:t>
      </w:r>
      <w:r>
        <w:tab/>
      </w:r>
      <w:r>
        <w:fldChar w:fldCharType="begin"/>
      </w:r>
      <w:r>
        <w:instrText> PAGEREF _TocBlocky9 \h </w:instrText>
      </w:r>
      <w:r>
        <w:fldChar w:fldCharType="separate"/>
      </w:r>
      <w:r>
        <w:t>7</w:t>
      </w:r>
      <w:r>
        <w:fldChar w:fldCharType="end"/>
      </w:r>
    </w:p>
    <w:p>
      <w:pPr>
        <w:pStyle w:val="TOC1"/>
      </w:pPr>
      <w:r>
        <w:t>﻿4. 团队与组织</w:t>
      </w:r>
      <w:r>
        <w:tab/>
      </w:r>
      <w:r>
        <w:fldChar w:fldCharType="begin"/>
      </w:r>
      <w:r>
        <w:instrText> PAGEREF _TocBlocky10 \h </w:instrText>
      </w:r>
      <w:r>
        <w:fldChar w:fldCharType="separate"/>
      </w:r>
      <w:r>
        <w:t>8</w:t>
      </w:r>
      <w:r>
        <w:fldChar w:fldCharType="end"/>
      </w:r>
    </w:p>
    <w:p>
      <w:pPr>
        <w:pStyle w:val="TOC1"/>
      </w:pPr>
      <w:r>
        <w:t>﻿5. 战略实施与财务安排</w:t>
      </w:r>
      <w:r>
        <w:tab/>
      </w:r>
      <w:r>
        <w:fldChar w:fldCharType="begin"/>
      </w:r>
      <w:r>
        <w:instrText> PAGEREF _TocBlocky11 \h </w:instrText>
      </w:r>
      <w:r>
        <w:fldChar w:fldCharType="separate"/>
      </w:r>
      <w:r>
        <w:t>8</w:t>
      </w:r>
      <w:r>
        <w:fldChar w:fldCharType="end"/>
      </w:r>
    </w:p>
    <w:p>
      <w:pPr>
        <w:pStyle w:val="TOC2"/>
      </w:pPr>
      <w:r>
        <w:t>﻿5.1 市场进入与定位</w:t>
      </w:r>
      <w:r>
        <w:tab/>
      </w:r>
      <w:r>
        <w:fldChar w:fldCharType="begin"/>
      </w:r>
      <w:r>
        <w:instrText> PAGEREF _TocBlocky12 \h </w:instrText>
      </w:r>
      <w:r>
        <w:fldChar w:fldCharType="separate"/>
      </w:r>
      <w:r>
        <w:t>8</w:t>
      </w:r>
      <w:r>
        <w:fldChar w:fldCharType="end"/>
      </w:r>
    </w:p>
    <w:p>
      <w:pPr>
        <w:pStyle w:val="TOC2"/>
      </w:pPr>
      <w:r>
        <w:t>﻿5.2 商业模式与单位经济</w:t>
      </w:r>
      <w:r>
        <w:tab/>
      </w:r>
      <w:r>
        <w:fldChar w:fldCharType="begin"/>
      </w:r>
      <w:r>
        <w:instrText> PAGEREF _TocBlocky13 \h </w:instrText>
      </w:r>
      <w:r>
        <w:fldChar w:fldCharType="separate"/>
      </w:r>
      <w:r>
        <w:t>8</w:t>
      </w:r>
      <w:r>
        <w:fldChar w:fldCharType="end"/>
      </w:r>
    </w:p>
    <w:p>
      <w:pPr>
        <w:pStyle w:val="TOC2"/>
      </w:pPr>
      <w:r>
        <w:t>﻿5.3 阶段目标</w:t>
      </w:r>
      <w:r>
        <w:tab/>
      </w:r>
      <w:r>
        <w:fldChar w:fldCharType="begin"/>
      </w:r>
      <w:r>
        <w:instrText> PAGEREF _TocBlocky14 \h </w:instrText>
      </w:r>
      <w:r>
        <w:fldChar w:fldCharType="separate"/>
      </w:r>
      <w:r>
        <w:t>9</w:t>
      </w:r>
      <w:r>
        <w:fldChar w:fldCharType="end"/>
      </w:r>
    </w:p>
    <w:p>
      <w:pPr>
        <w:pStyle w:val="TOC2"/>
      </w:pPr>
      <w:r>
        <w:t>﻿5.4 近期项目与退出条件</w:t>
      </w:r>
      <w:r>
        <w:tab/>
      </w:r>
      <w:r>
        <w:fldChar w:fldCharType="begin"/>
      </w:r>
      <w:r>
        <w:instrText> PAGEREF _TocBlocky15 \h </w:instrText>
      </w:r>
      <w:r>
        <w:fldChar w:fldCharType="separate"/>
      </w:r>
      <w:r>
        <w:t>10</w:t>
      </w:r>
      <w:r>
        <w:fldChar w:fldCharType="end"/>
      </w:r>
    </w:p>
    <w:p>
      <w:pPr>
        <w:pStyle w:val="TOC2"/>
      </w:pPr>
      <w:r>
        <w:t>﻿5.5 资源与资金需求</w:t>
      </w:r>
      <w:r>
        <w:tab/>
      </w:r>
      <w:r>
        <w:fldChar w:fldCharType="begin"/>
      </w:r>
      <w:r>
        <w:instrText> PAGEREF _TocBlocky16 \h </w:instrText>
      </w:r>
      <w:r>
        <w:fldChar w:fldCharType="separate"/>
      </w:r>
      <w:r>
        <w:t>10</w:t>
      </w:r>
      <w:r>
        <w:fldChar w:fldCharType="end"/>
      </w:r>
    </w:p>
    <w:p>
      <w:pPr>
        <w:pStyle w:val="TOC2"/>
      </w:pPr>
      <w:r>
        <w:t>﻿5.6 实施路线图</w:t>
      </w:r>
      <w:r>
        <w:tab/>
      </w:r>
      <w:r>
        <w:fldChar w:fldCharType="begin"/>
      </w:r>
      <w:r>
        <w:instrText> PAGEREF _TocBlocky17 \h </w:instrText>
      </w:r>
      <w:r>
        <w:fldChar w:fldCharType="separate"/>
      </w:r>
      <w:r>
        <w:t>11</w:t>
      </w:r>
      <w:r>
        <w:fldChar w:fldCharType="end"/>
      </w:r>
    </w:p>
    <w:p>
      <w:pPr>
        <w:pStyle w:val="TOC2"/>
      </w:pPr>
      <w:r>
        <w:t>﻿5.7 主要风险与应对</w:t>
      </w:r>
      <w:r>
        <w:tab/>
      </w:r>
      <w:r>
        <w:fldChar w:fldCharType="begin"/>
      </w:r>
      <w:r>
        <w:instrText> PAGEREF _TocBlocky18 \h </w:instrText>
      </w:r>
      <w:r>
        <w:fldChar w:fldCharType="separate"/>
      </w:r>
      <w:r>
        <w:t>11</w:t>
      </w:r>
      <w:r>
        <w:fldChar w:fldCharType="end"/>
      </w:r>
    </w:p>
    <w:p>
      <w:pPr>
        <w:pStyle w:val="TOC1"/>
      </w:pPr>
      <w:r>
        <w:t>﻿Appendix A. 规划假设与待确认事项</w:t>
      </w:r>
      <w:r>
        <w:tab/>
      </w:r>
      <w:r>
        <w:fldChar w:fldCharType="begin"/>
      </w:r>
      <w:r>
        <w:instrText> PAGEREF _TocBlocky19 \h </w:instrText>
      </w:r>
      <w:r>
        <w:fldChar w:fldCharType="separate"/>
      </w:r>
      <w:r>
        <w:t>13</w:t>
      </w:r>
      <w:r>
        <w:fldChar w:fldCharType="end"/>
      </w:r>
    </w:p>
    <w:p>
      <w:pPr>
        <w:pStyle w:val="TOC1"/>
      </w:pPr>
      <w:r>
        <w:t>﻿Appendix B. 资料来源</w:t>
      </w:r>
      <w:r>
        <w:tab/>
      </w:r>
      <w:r>
        <w:fldChar w:fldCharType="begin"/>
      </w:r>
      <w:r>
        <w:instrText> PAGEREF _TocBlocky20 \h </w:instrText>
      </w:r>
      <w:r>
        <w:fldChar w:fldCharType="separate"/>
      </w:r>
      <w:r>
        <w:t>16</w:t>
      </w:r>
      <w:r>
        <w:fldChar w:fldCharType="end"/>
      </w:r>
    </w:p>
    <w:p>
      <w:pPr>
        <w:pStyle w:val="TOC1"/>
      </w:pPr>
      <w:r>
        <w:t>﻿Appendix C. 情景分析</w:t>
      </w:r>
      <w:r>
        <w:tab/>
      </w:r>
      <w:r>
        <w:fldChar w:fldCharType="begin"/>
      </w:r>
      <w:r>
        <w:instrText> PAGEREF _TocBlocky21 \h </w:instrText>
      </w:r>
      <w:r>
        <w:fldChar w:fldCharType="separate"/>
      </w:r>
      <w:r>
        <w:t>17</w:t>
      </w:r>
      <w:r>
        <w:fldChar w:fldCharType="end"/>
      </w:r>
      <w:r>
        <w:fldChar w:fldCharType="end"/>
      </w:r>
    </w:p>
    <w:p>
      <w:r>
        <w:br w:type="page"/>
      </w:r>
    </w:p>
    <w:p>
      <w:pPr>
        <w:pStyle w:val="Heading1"/>
      </w:pPr>
      <w:bookmarkStart w:id="1000" w:name="_TocBlocky0"/>
      <w:r>
        <w:t>0. 执行摘要</w:t>
      </w:r>
      <w:bookmarkEnd w:id="1000"/>
    </w:p>
    <w:p>
      <w:pPr>
        <w:pStyle w:val="BodyText"/>
      </w:pPr>
      <w:r>
        <w:t>Blocky Studio 是面向小学生的积木式智能体（Agent）创作工具。孩子先读懂教师准备的作品，再改变角色、任务或步骤并比较结果，随后为自己的目标组合一个Agent，最后回看运行过程、修改并讲解。Scratch通过创作作品学习编程，是本项目的教学方式参照；Blocky希望把这种动手创作方式用于理解智能体。[S2] 小学适用性和学习效果尚待真实课堂验证。</w:t>
      </w:r>
    </w:p>
    <w:p>
      <w:pPr>
        <w:pStyle w:val="BodyText"/>
      </w:pPr>
      <w:r>
        <w:t>当前Windows桌面工具已具备嵌套积木、角色和任务配置、条件分支、模型、记忆与受控工具、项目保存和运行轨迹。故事创作搭档是本计划的拟议教学任务，尚无小学生完成该任务的证据。新补充的本地条件实验核对了修改一个条件后选择不同分支的行为；既有Windows截图展示真实工作台与运行定位。外部模型生成的历史证据来自团队合成资料演示，不等同故事课程已运行或课堂效果。</w:t>
      </w:r>
    </w:p>
    <w:p>
      <w:pPr>
        <w:pStyle w:val="BodyText"/>
      </w:pPr>
      <w:r>
        <w:t>商业方向为完整软件免费使用，学校与教育机构按教学规模、模型用量、部署及支持需求联系报价。学生是使用者，教师是课程组织者，机构是潜在付款方。近期优先交付范围明确的课程试点、教师培训和安装配置服务；机构账户、额度管理、计费与教学管理功能仍需开发，不作为现成产品承诺。</w:t>
      </w:r>
    </w:p>
    <w:p>
      <w:pPr>
        <w:pStyle w:val="BodyText"/>
      </w:pPr>
      <w:r>
        <w:t>本计划的财务币种均为人民币，预测期为2027至2029年。全部合同、价格、成本和资金数字均为规划假设，未形成真实报价、收入或资金承诺。基准情景计划交付4、10、18份机构服务合同，预计收入7.20、18.00、32.40万元，年度损益为−6.064、−0.840、5.432万元。计入假设的期初自有资金2万元后，峰值现金缺口为8.30万元；加上2万元最低储备，追加资金预算为10.30万元。</w:t>
      </w:r>
    </w:p>
    <w:p>
      <w:pPr>
        <w:pStyle w:val="BodyText"/>
      </w:pPr>
      <w:r>
        <w:t>近期拟在90天内访谈至少10位小学信息科技、科学实践或社团教师，形成3个具备组织者与设备条件的试用准备，争取开展2次完整活动。决策依据是学生能否在记录帮助程度的情况下预测、改造、搭建和解释作品，以及至少1位教师能否独立复用。没有完成试用前不承诺教育效果；连续两轮没有自主改造或教师复用时收窄任务、暂停扩张。</w:t>
      </w:r>
    </w:p>
    <w:p>
      <w:pPr>
        <w:pStyle w:val="Heading1"/>
      </w:pPr>
      <w:bookmarkStart w:id="1001" w:name="_TocBlocky1"/>
      <w:r>
        <w:t>1. 企业与产品概况</w:t>
      </w:r>
      <w:bookmarkEnd w:id="1001"/>
    </w:p>
    <w:p>
      <w:pPr>
        <w:pStyle w:val="BodyText"/>
      </w:pPr>
      <w:r>
        <w:t>Blocky 是学生团队开发的安装式软件项目。入门版以小学生为主要用户，教师组织创作实践，学校及相关教育机构是潜在服务采购方。当前已形成Windows桌面创作工具，小学入门视图、课程与适龄体验仍需验证；对外合同主体、服务人员与所在地将在真实试点和签约前落实。</w:t>
      </w:r>
    </w:p>
    <w:p>
      <w:pPr>
        <w:pStyle w:val="Heading2"/>
      </w:pPr>
      <w:bookmarkStart w:id="1002" w:name="_TocBlocky2"/>
      <w:r>
        <w:t>1.1 产品与教学价值</w:t>
      </w:r>
      <w:bookmarkEnd w:id="1002"/>
    </w:p>
    <w:p>
      <w:pPr>
        <w:pStyle w:val="BodyText"/>
      </w:pPr>
      <w:r>
        <w:t>拟议首课采用故事创作搭档：教师提供简单作品，孩子先指出角色、输入、条件和输出，并预测输入“勇敢的小猫”会走向哪个分支。第二步只把条件中的“勇敢”换成“友善”，保持输入不变，运行两次并比较。随后孩子自行选择新角色、输入条件和两种行动，例如“海底向导”遇见不同伙伴时采取不同路线，再运行、解释和修订。规则分支用于学习作品结构；它本身不是生成式智能体。</w:t>
      </w:r>
    </w:p>
    <w:p>
      <w:pPr>
        <w:pStyle w:val="BodyText"/>
      </w:pPr>
      <w:r>
        <w:t>规则练习之后，完整故事Agent的教学链是：接收孩子的角色输入，条件选择“森林”或“花园”方向，将该方向作为上下文，与“友善的故事搭档”角色和“写三句、以提问结尾”任务一起交给教师预选模型，输出故事并检查。孩子保持输入与方向不变，只把任务由“直接续写”改为“先问我一个选择问题”，实际运行后观察回应是否遵循新要求，记录失败或无明显变化。该生成对照尚未取证，不预写模型答案；规则实验本身没有调用模型。 自主搭建时孩子可做海底向导：定义角色、输入伙伴与目标，选择行动方向，给模型设定“两句介绍并问下一步去哪”的任务，再检验输出。后续一次只增加一种能力，例如把本次方向写入会话记忆，在下一轮读取并带入上下文；或调用文本统计工具查看字符数。现有能力支持这些部件，具体小学任务与独立使用仍待验证。</w:t>
      </w:r>
    </w:p>
    <w:p>
      <w:pPr>
        <w:pStyle w:val="BodyText"/>
      </w:pPr>
      <w:r>
        <w:t>现有能力支持保存、重开、修改作品和查看积木对应的运行事件。教师需在现有画布上预先准备少量积木，向学生解释操作，不承诺已经提供儿童专用入门界面。机构账户、班级管理、自动评分、额度与计费、移动端仍未完成；这些能力不纳入首批可售服务。普通Windows画面的资料检索案例仅作为工作台事实证明，不承担整款产品定位。</w:t>
      </w:r>
    </w:p>
    <w:p>
      <w:pPr>
        <w:pStyle w:val="BodyText"/>
      </w:pPr>
      <w:r>
        <w:t>本地条件实验使用产品领域Runtime执行同一输入，条件为“勇敢”时选择“到森林探险”，改为“友善”时选择“去花园交朋友”，结构化结果与积木事件一致。这是无外部模型的规则执行实验，未验证Windows普通包的故事课程。既有普通包的合成课程演示另行证明资料引用、运行定位和构建助手真实模型读写；三次历史可读响应共7717Token，不能写成本轮新稿的模型用量。</w:t>
      </w:r>
    </w:p>
    <w:p>
      <w:pPr>
        <w:pStyle w:val="BodyText"/>
      </w:pPr>
      <w:r>
        <w:t>项目的技术与应用贡献在于把可编辑作品、可追溯执行和可审阅修改放在同一桌面工作台：积木表达步骤，轨迹对应步骤，文件或项目变更可检查。底层使用 Blockly、Tauri 和 Pi 等开源组件，Blocky 自行组织作品格式、语义编译、领域运行接口和 Host 权限边界。这些设计服务于理解、修订和复用 AI 作品；教学收益仍待真实课堂验证。</w:t>
      </w:r>
    </w:p>
    <w:p>
      <w:pPr>
        <w:pStyle w:val="Heading2"/>
      </w:pPr>
      <w:bookmarkStart w:id="1003" w:name="_TocBlocky3"/>
      <w:r>
        <w:t>1.2 目标市场与需求判断</w:t>
      </w:r>
      <w:bookmarkEnd w:id="1003"/>
    </w:p>
    <w:p>
      <w:pPr>
        <w:pStyle w:val="BodyText"/>
      </w:pPr>
      <w:r>
        <w:t>本计划只把小学及面向小学年龄段、能组织创作活动的教育机构作为首批市场范围。学生是使用者，教师推动采用，机构决定采购。未取得可触达机构名单、地域、预算或真实转化数据，因此不估算全国付费市场规模，也不把所有学段的学校基数乘以合同均价。目标需求是组织可重复的Agent入门创作活动，当前需求强度仍待访谈。</w:t>
      </w:r>
    </w:p>
    <w:p>
      <w:pPr>
        <w:pStyle w:val="BodyText"/>
      </w:pPr>
      <w:r>
        <w:t>首批访谈对象为小学信息科技、科学实践及社团教师，优先寻找愿意组织高年级小学生小范围试用的负责人。高年级优先属于降低阅读负担的计划假设，不是用户适龄验证结论。每个潜在线索须核对教师、课时、Windows设备、模型条件、家校与机构许可及预算来源；没有这些条件的机构暂不进入服务排期。</w:t>
      </w:r>
    </w:p>
    <w:p>
      <w:pPr>
        <w:pStyle w:val="BodyText"/>
      </w:pPr>
      <w:r>
        <w:t>本计划不以全国学校数乘以统一报价作为销售目标。可服务市场应从具体地域和机构名单开始，依次核实课程负责人、设备网络、实际需求、预算来源和采购流程。2027年4份交付合同只是经营目标；4份合同不必然等于4所独立学校，同一机构的追加服务须独立确认范围且不得重复计收入。</w:t>
      </w:r>
    </w:p>
    <w:p>
      <w:pPr>
        <w:pStyle w:val="Heading2"/>
      </w:pPr>
      <w:bookmarkStart w:id="1004" w:name="_TocBlocky4"/>
      <w:r>
        <w:t>1.3 竞争与产品定位</w:t>
      </w:r>
      <w:bookmarkEnd w:id="1004"/>
    </w:p>
    <w:p>
      <w:pPr>
        <w:pStyle w:val="BodyText"/>
      </w:pPr>
      <w:r>
        <w:t>Scratch的入门作品和创作学习资源提供了先读懂再改造的参照。[S2] Blocks Builder AI公开提供积木AI相关能力，并采用个人免费、教育机构洽谈的路径，是直接教育竞品。[S3][S4] 本计划不声称上述竞品已有或没有某项教学成效。Dify等专业AI平台只作为替代路线，用于区分应用工程与小学创作入门。[S5] Table 1（表1）比较各条路线与本项目需验证的价值。</w:t>
      </w:r>
    </w:p>
    <w:p>
      <w:pPr>
        <w:pStyle w:val="Tabletitle"/>
        <w:keepNext/>
      </w:pPr>
      <w:r>
        <w:t>Table 1. 相关选择与 Blocky 定位</w:t>
      </w:r>
    </w:p>
    <w:tbl>
      <w:tblPr>
        <w:tblStyle w:val="TableGrid"/>
        <w:tblW w:w="8950" w:type="dxa"/>
        <w:tblInd w:w="85" w:type="dxa"/>
        <w:tblLayout w:type="fixed"/>
        <w:tblLook w:firstRow="1"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blPr>
      <w:tblGrid>
        <w:gridCol w:w="1728"/>
        <w:gridCol w:w="3168"/>
        <w:gridCol w:w="4054"/>
      </w:tblGrid>
      <w:tr>
        <w:trPr>
          <w:cantSplit/>
          <w:tblHeader w:val="true"/>
        </w:trPr>
        <w:tc>
          <w:tcPr>
            <w:tcW w:w="1728" w:type="dxa"/>
            <w:tcMar>
              <w:top w:w="60" w:type="dxa"/>
              <w:start w:w="85" w:type="dxa"/>
              <w:bottom w:w="60" w:type="dxa"/>
              <w:end w:w="85" w:type="dxa"/>
            </w:tcMar>
          </w:tcPr>
          <w:p>
            <w:pPr>
              <w:pStyle w:val="BodyText"/>
              <w:spacing w:before="0" w:after="0" w:line="220" w:lineRule="auto"/>
            </w:pPr>
            <w:r>
              <w:t>参照与替代</w:t>
            </w:r>
          </w:p>
        </w:tc>
        <w:tc>
          <w:tcPr>
            <w:tcW w:w="3168" w:type="dxa"/>
            <w:tcMar>
              <w:top w:w="60" w:type="dxa"/>
              <w:start w:w="85" w:type="dxa"/>
              <w:bottom w:w="60" w:type="dxa"/>
              <w:end w:w="85" w:type="dxa"/>
            </w:tcMar>
          </w:tcPr>
          <w:p>
            <w:pPr>
              <w:pStyle w:val="BodyText"/>
              <w:spacing w:before="0" w:after="0" w:line="220" w:lineRule="auto"/>
            </w:pPr>
            <w:r>
              <w:t>公开方向</w:t>
            </w:r>
          </w:p>
        </w:tc>
        <w:tc>
          <w:tcPr>
            <w:tcW w:w="4054" w:type="dxa"/>
            <w:tcMar>
              <w:top w:w="60" w:type="dxa"/>
              <w:start w:w="85" w:type="dxa"/>
              <w:bottom w:w="60" w:type="dxa"/>
              <w:end w:w="85" w:type="dxa"/>
            </w:tcMar>
          </w:tcPr>
          <w:p>
            <w:pPr>
              <w:pStyle w:val="BodyText"/>
              <w:spacing w:before="0" w:after="0" w:line="220" w:lineRule="auto"/>
            </w:pPr>
            <w:r>
              <w:t>本项目的判断</w:t>
            </w:r>
          </w:p>
        </w:tc>
      </w:tr>
      <w:tr>
        <w:trPr>
          <w:cantSplit/>
        </w:trPr>
        <w:tc>
          <w:tcPr>
            <w:tcW w:w="1728" w:type="dxa"/>
            <w:tcMar>
              <w:top w:w="60" w:type="dxa"/>
              <w:start w:w="85" w:type="dxa"/>
              <w:bottom w:w="60" w:type="dxa"/>
              <w:end w:w="85" w:type="dxa"/>
            </w:tcMar>
          </w:tcPr>
          <w:p>
            <w:pPr>
              <w:pStyle w:val="BodyText"/>
              <w:spacing w:before="0" w:after="0" w:line="220" w:lineRule="auto"/>
            </w:pPr>
            <w:r>
              <w:t>Scratch</w:t>
            </w:r>
          </w:p>
        </w:tc>
        <w:tc>
          <w:tcPr>
            <w:tcW w:w="3168" w:type="dxa"/>
            <w:tcMar>
              <w:top w:w="60" w:type="dxa"/>
              <w:start w:w="85" w:type="dxa"/>
              <w:bottom w:w="60" w:type="dxa"/>
              <w:end w:w="85" w:type="dxa"/>
            </w:tcMar>
          </w:tcPr>
          <w:p>
            <w:pPr>
              <w:pStyle w:val="BodyText"/>
              <w:spacing w:before="0" w:after="0" w:line="220" w:lineRule="auto"/>
            </w:pPr>
            <w:r>
              <w:t>创作作品与入门资源</w:t>
            </w:r>
          </w:p>
        </w:tc>
        <w:tc>
          <w:tcPr>
            <w:tcW w:w="4054" w:type="dxa"/>
            <w:tcMar>
              <w:top w:w="60" w:type="dxa"/>
              <w:start w:w="85" w:type="dxa"/>
              <w:bottom w:w="60" w:type="dxa"/>
              <w:end w:w="85" w:type="dxa"/>
            </w:tcMar>
          </w:tcPr>
          <w:p>
            <w:pPr>
              <w:pStyle w:val="BodyText"/>
              <w:spacing w:before="0" w:after="0" w:line="220" w:lineRule="auto"/>
            </w:pPr>
            <w:r>
              <w:t>成熟创作参照；Blocky需验证Agent学习迁移</w:t>
            </w:r>
          </w:p>
        </w:tc>
      </w:tr>
      <w:tr>
        <w:trPr>
          <w:cantSplit/>
        </w:trPr>
        <w:tc>
          <w:tcPr>
            <w:tcW w:w="1728" w:type="dxa"/>
            <w:tcMar>
              <w:top w:w="60" w:type="dxa"/>
              <w:start w:w="85" w:type="dxa"/>
              <w:bottom w:w="60" w:type="dxa"/>
              <w:end w:w="85" w:type="dxa"/>
            </w:tcMar>
          </w:tcPr>
          <w:p>
            <w:pPr>
              <w:pStyle w:val="BodyText"/>
              <w:spacing w:before="0" w:after="0" w:line="220" w:lineRule="auto"/>
            </w:pPr>
            <w:r>
              <w:t>Blocks Builder AI</w:t>
            </w:r>
          </w:p>
        </w:tc>
        <w:tc>
          <w:tcPr>
            <w:tcW w:w="3168" w:type="dxa"/>
            <w:tcMar>
              <w:top w:w="60" w:type="dxa"/>
              <w:start w:w="85" w:type="dxa"/>
              <w:bottom w:w="60" w:type="dxa"/>
              <w:end w:w="85" w:type="dxa"/>
            </w:tcMar>
          </w:tcPr>
          <w:p>
            <w:pPr>
              <w:pStyle w:val="BodyText"/>
              <w:spacing w:before="0" w:after="0" w:line="220" w:lineRule="auto"/>
            </w:pPr>
            <w:r>
              <w:t>积木AI与教育机构路径</w:t>
            </w:r>
          </w:p>
        </w:tc>
        <w:tc>
          <w:tcPr>
            <w:tcW w:w="4054" w:type="dxa"/>
            <w:tcMar>
              <w:top w:w="60" w:type="dxa"/>
              <w:start w:w="85" w:type="dxa"/>
              <w:bottom w:w="60" w:type="dxa"/>
              <w:end w:w="85" w:type="dxa"/>
            </w:tcMar>
          </w:tcPr>
          <w:p>
            <w:pPr>
              <w:pStyle w:val="BodyText"/>
              <w:spacing w:before="0" w:after="0" w:line="220" w:lineRule="auto"/>
            </w:pPr>
            <w:r>
              <w:t>直接竞品；免费并非充分差异</w:t>
            </w:r>
          </w:p>
        </w:tc>
      </w:tr>
      <w:tr>
        <w:trPr>
          <w:cantSplit/>
        </w:trPr>
        <w:tc>
          <w:tcPr>
            <w:tcW w:w="1728" w:type="dxa"/>
            <w:tcMar>
              <w:top w:w="60" w:type="dxa"/>
              <w:start w:w="85" w:type="dxa"/>
              <w:bottom w:w="60" w:type="dxa"/>
              <w:end w:w="85" w:type="dxa"/>
            </w:tcMar>
          </w:tcPr>
          <w:p>
            <w:pPr>
              <w:pStyle w:val="BodyText"/>
              <w:spacing w:before="0" w:after="0" w:line="220" w:lineRule="auto"/>
            </w:pPr>
            <w:r>
              <w:t>专业AI应用平台</w:t>
            </w:r>
          </w:p>
        </w:tc>
        <w:tc>
          <w:tcPr>
            <w:tcW w:w="3168" w:type="dxa"/>
            <w:tcMar>
              <w:top w:w="60" w:type="dxa"/>
              <w:start w:w="85" w:type="dxa"/>
              <w:bottom w:w="60" w:type="dxa"/>
              <w:end w:w="85" w:type="dxa"/>
            </w:tcMar>
          </w:tcPr>
          <w:p>
            <w:pPr>
              <w:pStyle w:val="BodyText"/>
              <w:spacing w:before="0" w:after="0" w:line="220" w:lineRule="auto"/>
            </w:pPr>
            <w:r>
              <w:t>工作流及应用开发</w:t>
            </w:r>
          </w:p>
        </w:tc>
        <w:tc>
          <w:tcPr>
            <w:tcW w:w="4054" w:type="dxa"/>
            <w:tcMar>
              <w:top w:w="60" w:type="dxa"/>
              <w:start w:w="85" w:type="dxa"/>
              <w:bottom w:w="60" w:type="dxa"/>
              <w:end w:w="85" w:type="dxa"/>
            </w:tcMar>
          </w:tcPr>
          <w:p>
            <w:pPr>
              <w:pStyle w:val="BodyText"/>
              <w:spacing w:before="0" w:after="0" w:line="220" w:lineRule="auto"/>
            </w:pPr>
            <w:r>
              <w:t>适合工程应用；小学适配仍须验证</w:t>
            </w:r>
          </w:p>
        </w:tc>
      </w:tr>
    </w:tbl>
    <w:p>
      <w:pPr>
        <w:pStyle w:val="BodyText"/>
      </w:pPr>
      <w:r>
        <w:t>Blocky需要验证的是：孩子能否通过嵌套作品和积木对应轨迹解释一个Agent的组成与行为，教师能否独立复用这套活动。免费和积木本身不能证明差异，Scratch在创作资源与成熟度方面是重要参照，直接教育竞品也覆盖积木AI。若现有免费工具更适合某位教师，服务应承认适配差异，不依靠未经核实的竞品弱点销售。</w:t>
      </w:r>
    </w:p>
    <w:p>
      <w:pPr>
        <w:pStyle w:val="Heading1"/>
      </w:pPr>
      <w:bookmarkStart w:id="1005" w:name="_TocBlocky5"/>
      <w:r>
        <w:t>2. 销售与客户服务</w:t>
      </w:r>
      <w:bookmarkEnd w:id="1005"/>
    </w:p>
    <w:p>
      <w:pPr>
        <w:pStyle w:val="BodyText"/>
      </w:pPr>
      <w:r>
        <w:t>商业模式围绕具体教学任务组织。软件完整功能免费，机构服务按实际工作和用量报价。服务收入能否成立，取决于教师是否持续使用，以及机构是否愿意为课程准备、部署、培训、支持与模型额度付费。</w:t>
      </w:r>
    </w:p>
    <w:p>
      <w:pPr>
        <w:pStyle w:val="Heading2"/>
      </w:pPr>
      <w:bookmarkStart w:id="1006" w:name="_TocBlocky6"/>
      <w:r>
        <w:t>2.1 客户角色与购买条件</w:t>
      </w:r>
      <w:bookmarkEnd w:id="1006"/>
    </w:p>
    <w:p>
      <w:pPr>
        <w:pStyle w:val="BodyText"/>
      </w:pPr>
      <w:r>
        <w:t>小学生需要少量可理解的部件、明确的修改目标和可比较的结果；教师需要准备作品、组织预测与改造、区分模型输出和规则行为；机构需要核对教学目标、设备、权限、采购主体和总费用。学生完成率不能替代教师复用，教师兴趣也不能替代机构付款意愿。每项试用分别记录三个角色的证据。</w:t>
      </w:r>
    </w:p>
    <w:p>
      <w:pPr>
        <w:pStyle w:val="BodyText"/>
      </w:pPr>
      <w:r>
        <w:t>教师在活动前完成作品运行、模型配置与内容检查，准备合成角色和不含学生个人信息的输入。活动中先示范结构，再要求学生预测、改一块、比较结果、自选任务并讲解，遇到失败回看积木轨迹。活动后的检查聚焦学生为何这样设计，而非自动评分。当前没有班级平台，教师组织与作品收集通过已允许的方法人工完成。</w:t>
      </w:r>
    </w:p>
    <w:p>
      <w:pPr>
        <w:pStyle w:val="Heading2"/>
      </w:pPr>
      <w:bookmarkStart w:id="1007" w:name="_TocBlocky7"/>
      <w:r>
        <w:t>2.2 机构报价与服务边界</w:t>
      </w:r>
      <w:bookmarkEnd w:id="1007"/>
    </w:p>
    <w:p>
      <w:pPr>
        <w:pStyle w:val="BodyText"/>
      </w:pPr>
      <w:r>
        <w:t>首批报价围绕一轮小学Agent创作活动准备、教师培训、现有Windows部署与约定支持展开。报价单明确作品数量、培训次数、设备数、支持期限、模型预算、内容核查责任及超额处理。80小时基准可暂拆为任务与作品准备24小时、教师培训16小时、安装配置16小时、支持与复盘24小时，合计80小时；此分配是待验证的服务假设，不改动工作簿总工时。</w:t>
      </w:r>
    </w:p>
    <w:p>
      <w:pPr>
        <w:pStyle w:val="BodyText"/>
      </w:pPr>
      <w:r>
        <w:t>财务模型采用每份合同1.8万元的基准预算，仅用于估算履约与现金压力。该值不构成正式价目表。若机构自带模型账户，应重新核定模型费用与支持职责；若需要尚未实现的机构管理功能，应先明确开发范围、时间与费用，不能作为现成标准服务销售。</w:t>
      </w:r>
    </w:p>
    <w:p>
      <w:pPr>
        <w:pStyle w:val="BodyText"/>
      </w:pPr>
      <w:r>
        <w:t>教师可先用免费软件和合成资料评估作品流程。进入付费前，双方需明确交付物、课时或培训次数、所需权限、故障支持和验收条件。技术支持聚焦安装、项目与已约定课程流程；外部模型的回答质量需由教师检查，不以引用功能承诺答案始终正确。</w:t>
      </w:r>
    </w:p>
    <w:p>
      <w:pPr>
        <w:pStyle w:val="Heading2"/>
      </w:pPr>
      <w:bookmarkStart w:id="1008" w:name="_TocBlocky8"/>
      <w:r>
        <w:t>2.3 获客与验证路径</w:t>
      </w:r>
      <w:bookmarkEnd w:id="1008"/>
    </w:p>
    <w:p>
      <w:pPr>
        <w:pStyle w:val="BodyText"/>
      </w:pPr>
      <w:r>
        <w:t>前90天以教师访谈、作品演示和小规模试用为主。团队拟从能直接接触的课程负责人开始建立名单，访谈其现有教学任务、使用工具、失败环节和采购条件。没有可靠学校名单和转化数据前，不将网络曝光或群成员数写成有效客户线索。</w:t>
      </w:r>
    </w:p>
    <w:p>
      <w:pPr>
        <w:pStyle w:val="BodyText"/>
      </w:pPr>
      <w:r>
        <w:t>2027年销售漏斗暂按20次有效机构接触、8次深入演示、4份付费交付合同规划。每一步都必须记录对方课程角色、下一次行动和未推进原因。这是目标而非实测转化率；若8次演示没有形成付费意向，应重新核定服务范围与报价，不能单纯加大推广费用。</w:t>
      </w:r>
    </w:p>
    <w:p>
      <w:pPr>
        <w:pStyle w:val="BodyText"/>
      </w:pPr>
      <w:r>
        <w:t>内容渠道以可下载课程案例、教师演示和公开作品说明为主。早期避免高额广告和泛办公业务拓展，把有限时间用于降低教师复用门槛。每月复盘接触到试用、试用到独立复用、复用到报价的转化，同时记录单份合同实际支持工时。</w:t>
      </w:r>
    </w:p>
    <w:p>
      <w:pPr>
        <w:pStyle w:val="Heading1"/>
      </w:pPr>
      <w:bookmarkStart w:id="1009" w:name="_TocBlocky9"/>
      <w:r>
        <w:t>3. 运营计划</w:t>
      </w:r>
      <w:bookmarkEnd w:id="1009"/>
    </w:p>
    <w:p>
      <w:pPr>
        <w:pStyle w:val="BodyText"/>
      </w:pPr>
      <w:r>
        <w:t>项目先采用轻量远程协作与预约现场支持，不假设租用独立办公室。交付前完成设备与网络检查，用公开或合成资料配置课程，形成教师操作说明和可恢复的项目文件。现场活动结束后整理反馈和问题，不把未确认学生信息用于演示或市场传播。</w:t>
      </w:r>
    </w:p>
    <w:p>
      <w:pPr>
        <w:pStyle w:val="BodyText"/>
      </w:pPr>
      <w:r>
        <w:t>基准预算按2名等效人力投入、每月合计240小时测算，其中160小时用于通用产品维护、教研素材与获客，剩余80小时用于具体合同交付。合同交付专项报酬与固定核心工作预算分别核算；高峰月份超出的交付工时按外部增援计费，最多160小时/月。外部人员尚未聘用，无法安排增援时应改期或拒绝超额订单。</w:t>
      </w:r>
    </w:p>
    <w:p>
      <w:pPr>
        <w:pStyle w:val="BodyText"/>
      </w:pPr>
      <w:r>
        <w:t>服务验收需同时检查教师能按说明独立准备作品、学生有可观察的设计选择、失败可以定位并恢复。技术角色保障环境与权限，教学运营角色负责适龄任务和反馈，教师负责内容和课堂组织。实际开展前共同核对资料权利、未成年人信息、模型条款和学校要求；没有机构许可或不能满足使用要求时暂停试用。</w:t>
      </w:r>
    </w:p>
    <w:p>
      <w:pPr>
        <w:pStyle w:val="BodyText"/>
      </w:pPr>
      <w:r>
        <w:t>技术与成本供应方主要是模型服务商、必要的云与网络服务，以及临时课程支持人员。当前没有签订供应合同。模型预算单价只是管理假设，正式报价前须用实际选定模型的价格、调用长度、重试率与班级规模重算；任何替换都应保留课程结果和费用记录的可比性。</w:t>
      </w:r>
    </w:p>
    <w:p>
      <w:pPr>
        <w:pStyle w:val="Heading1"/>
      </w:pPr>
      <w:bookmarkStart w:id="1010" w:name="_TocBlocky10"/>
      <w:r>
        <w:t>4. 团队与组织</w:t>
      </w:r>
      <w:bookmarkEnd w:id="1010"/>
    </w:p>
    <w:p>
      <w:pPr>
        <w:pStyle w:val="BodyText"/>
      </w:pPr>
      <w:r>
        <w:t>项目运营围绕产品技术与课程服务两类职责组织。前者保障软件和作品稳定运行，后者负责教学任务、教师沟通与服务交付。初期按小团队开展合作，并用每月可投入工时限制可接受的订单规模。财务模型的2名等效人力是预算参数，不代表参赛名单或已建立的正式岗位。</w:t>
      </w:r>
    </w:p>
    <w:p>
      <w:pPr>
        <w:pStyle w:val="BodyText"/>
      </w:pPr>
      <w:r>
        <w:t>产品技术角色负责产品维护、安装与模型配置、故障定位和项目恢复；教学运营角色负责教师访谈、课程资料、试用组织、报价与回访。两类职责共同复核费用和承诺，避免技术演示直接转化为无法履约的销售承诺。每周检查交付排期，每月核对工时、现金和有效客户进展。</w:t>
      </w:r>
    </w:p>
    <w:p>
      <w:pPr>
        <w:pStyle w:val="BodyText"/>
      </w:pPr>
      <w:r>
        <w:t>阶段性缺口包括课程设计指导、真实课堂组织、采购与合同经验以及数据合规判断。优先争取具备课程组织能力的教师指导和按任务聘用的专业支持，不预设全职扩张。只有当合同交付量和现金储备能够覆盖持续支出时，才考虑增加固定岗位。</w:t>
      </w:r>
    </w:p>
    <w:p>
      <w:pPr>
        <w:pStyle w:val="Heading1"/>
      </w:pPr>
      <w:bookmarkStart w:id="1011" w:name="_TocBlocky11"/>
      <w:r>
        <w:t>5. 战略实施与财务安排</w:t>
      </w:r>
      <w:bookmarkEnd w:id="1011"/>
    </w:p>
    <w:p>
      <w:pPr>
        <w:pStyle w:val="BodyText"/>
      </w:pPr>
      <w:r>
        <w:t>实施顺序从需求验证进入可重复交付，再进入机构能力建设。每一步都要回答是否存在值得继续投入的用户价值与支付意愿。财务预测用于设置资源上限，不能替代客户证据。</w:t>
      </w:r>
    </w:p>
    <w:p>
      <w:pPr>
        <w:pStyle w:val="Heading2"/>
      </w:pPr>
      <w:bookmarkStart w:id="1012" w:name="_TocBlocky12"/>
      <w:r>
        <w:t>5.1 市场进入与定位</w:t>
      </w:r>
      <w:bookmarkEnd w:id="1012"/>
    </w:p>
    <w:p>
      <w:pPr>
        <w:pStyle w:val="BodyText"/>
      </w:pPr>
      <w:r>
        <w:t>第一阶段只进入小学Agent创作入门活动，先用故事角色和规则部件帮助孩子读懂结构，再在受控配置中引入模型。选择该任务是因为角色、任务、条件、输出和轨迹能对应到现有软件能力，且有明确学生行动；它仍需验证阅读与操作负担。教师能独立复用后才讨论机构服务报价，不先建设完整学校平台。</w:t>
      </w:r>
    </w:p>
    <w:p>
      <w:pPr>
        <w:pStyle w:val="BodyText"/>
      </w:pPr>
      <w:r>
        <w:t>广泛办公自动化、面向所有学校的大规模平台和一次推出完整机构管理套件暂不作为首批投入重点。进入更多学科需先看到同一教师能独立复用案例；进入更多机构需先验证交付支持工时和获客成本。90天安排以Table 4（表4）的阶段门槛推进。</w:t>
      </w:r>
    </w:p>
    <w:p>
      <w:pPr>
        <w:pStyle w:val="Heading2"/>
      </w:pPr>
      <w:bookmarkStart w:id="1013" w:name="_TocBlocky13"/>
      <w:r>
        <w:t>5.2 商业模式与单位经济</w:t>
      </w:r>
      <w:bookmarkEnd w:id="1013"/>
    </w:p>
    <w:p>
      <w:pPr>
        <w:pStyle w:val="BodyText"/>
      </w:pPr>
      <w:r>
        <w:t>机构服务是当前唯一计入预测的收入流，软件许可收入为零。基准合同单价1.8万元，80小时交付按内部工时80元/小时预算，再计模型额度1400元、交通资料等600元和收入2%的税费现金预留。基准单份合同在全部由内部人员交付时，留出9240元覆盖固定运营与发展；若交付全部使用100元/小时的外部增援，留出7640元。</w:t>
      </w:r>
    </w:p>
    <w:p>
      <w:pPr>
        <w:pStyle w:val="BodyText"/>
      </w:pPr>
      <w:r>
        <w:t>上述余额尚须承担每年9.36万元固定核心报酬及运营费和0.4万元设备折旧。按内部交付静态计算，年度损益平衡约需11份合同；实际高峰排期需要增援，因此应以逐月模型为准，不将11份作为保证盈利的销量门槛。合同数增加而支持工时不下降，可能放大收入同时持续占用现金。</w:t>
      </w:r>
    </w:p>
    <w:p>
      <w:pPr>
        <w:pStyle w:val="BodyText"/>
      </w:pPr>
      <w:r>
        <w:t>免费个人使用有助于教师开始体验，但外部模型费用不因软件免费而消失。机构报价可以含约定额度，个人或机构也可按适配条件使用自己的模型账户。统一机构额度管理尚待实现，早期服务应通过清晰的账户责任与人工预算控制履约，不宣传已具备自动计费平台。</w:t>
      </w:r>
    </w:p>
    <w:p>
      <w:pPr>
        <w:pStyle w:val="Heading2"/>
      </w:pPr>
      <w:bookmarkStart w:id="1014" w:name="_TocBlocky14"/>
      <w:r>
        <w:t>5.3 阶段目标</w:t>
      </w:r>
      <w:bookmarkEnd w:id="1014"/>
    </w:p>
    <w:p>
      <w:pPr>
        <w:pStyle w:val="BodyText"/>
      </w:pPr>
      <w:r>
        <w:t>进展主要衡量学生能否解释结构、自主修改并为不同目标搭建，以及教师能否独立复用。Table 2（表2）为计划目标，基线均未测；人数、完成率、提示次数、教师代操作和失败原因必须同时记录。两轮试用仅支持方向判断，不能用于宣称普遍教育提升或课程已规模化。</w:t>
      </w:r>
    </w:p>
    <w:p>
      <w:pPr>
        <w:pStyle w:val="Tabletitle"/>
        <w:keepNext/>
      </w:pPr>
      <w:r>
        <w:t>Table 2. 阶段目标与责任</w:t>
      </w:r>
    </w:p>
    <w:tbl>
      <w:tblPr>
        <w:tblStyle w:val="TableGrid"/>
        <w:tblW w:w="8950" w:type="dxa"/>
        <w:tblInd w:w="85" w:type="dxa"/>
        <w:tblLayout w:type="fixed"/>
        <w:tblLook w:firstRow="1"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blPr>
      <w:tblGrid>
        <w:gridCol w:w="1356"/>
        <w:gridCol w:w="2577"/>
        <w:gridCol w:w="2305"/>
        <w:gridCol w:w="2712"/>
      </w:tblGrid>
      <w:tr>
        <w:trPr>
          <w:cantSplit/>
          <w:tblHeader w:val="true"/>
        </w:trPr>
        <w:tc>
          <w:tcPr>
            <w:tcW w:w="1356" w:type="dxa"/>
            <w:tcMar>
              <w:top w:w="60" w:type="dxa"/>
              <w:start w:w="85" w:type="dxa"/>
              <w:bottom w:w="60" w:type="dxa"/>
              <w:end w:w="85" w:type="dxa"/>
            </w:tcMar>
          </w:tcPr>
          <w:p>
            <w:pPr>
              <w:pStyle w:val="BodyText"/>
              <w:spacing w:before="0" w:after="0" w:line="220" w:lineRule="auto"/>
            </w:pPr>
            <w:r>
              <w:t>目标</w:t>
            </w:r>
          </w:p>
        </w:tc>
        <w:tc>
          <w:tcPr>
            <w:tcW w:w="2577" w:type="dxa"/>
            <w:tcMar>
              <w:top w:w="60" w:type="dxa"/>
              <w:start w:w="85" w:type="dxa"/>
              <w:bottom w:w="60" w:type="dxa"/>
              <w:end w:w="85" w:type="dxa"/>
            </w:tcMar>
          </w:tcPr>
          <w:p>
            <w:pPr>
              <w:pStyle w:val="BodyText"/>
              <w:spacing w:before="0" w:after="0" w:line="220" w:lineRule="auto"/>
            </w:pPr>
            <w:r>
              <w:t>基线及计划目标</w:t>
            </w:r>
          </w:p>
        </w:tc>
        <w:tc>
          <w:tcPr>
            <w:tcW w:w="2305" w:type="dxa"/>
            <w:tcMar>
              <w:top w:w="60" w:type="dxa"/>
              <w:start w:w="85" w:type="dxa"/>
              <w:bottom w:w="60" w:type="dxa"/>
              <w:end w:w="85" w:type="dxa"/>
            </w:tcMar>
          </w:tcPr>
          <w:p>
            <w:pPr>
              <w:pStyle w:val="BodyText"/>
              <w:spacing w:before="0" w:after="0" w:line="220" w:lineRule="auto"/>
            </w:pPr>
            <w:r>
              <w:t>时间与责任</w:t>
            </w:r>
          </w:p>
        </w:tc>
        <w:tc>
          <w:tcPr>
            <w:tcW w:w="2712" w:type="dxa"/>
            <w:tcMar>
              <w:top w:w="60" w:type="dxa"/>
              <w:start w:w="85" w:type="dxa"/>
              <w:bottom w:w="60" w:type="dxa"/>
              <w:end w:w="85" w:type="dxa"/>
            </w:tcMar>
          </w:tcPr>
          <w:p>
            <w:pPr>
              <w:pStyle w:val="BodyText"/>
              <w:spacing w:before="0" w:after="0" w:line="220" w:lineRule="auto"/>
            </w:pPr>
            <w:r>
              <w:t>判定依据</w:t>
            </w:r>
          </w:p>
        </w:tc>
      </w:tr>
      <w:tr>
        <w:trPr>
          <w:cantSplit/>
        </w:trPr>
        <w:tc>
          <w:tcPr>
            <w:tcW w:w="1356" w:type="dxa"/>
            <w:tcMar>
              <w:top w:w="60" w:type="dxa"/>
              <w:start w:w="85" w:type="dxa"/>
              <w:bottom w:w="60" w:type="dxa"/>
              <w:end w:w="85" w:type="dxa"/>
            </w:tcMar>
          </w:tcPr>
          <w:p>
            <w:pPr>
              <w:pStyle w:val="BodyText"/>
              <w:spacing w:before="0" w:after="0" w:line="220" w:lineRule="auto"/>
            </w:pPr>
            <w:r>
              <w:t>需求确认</w:t>
            </w:r>
          </w:p>
        </w:tc>
        <w:tc>
          <w:tcPr>
            <w:tcW w:w="2577" w:type="dxa"/>
            <w:tcMar>
              <w:top w:w="60" w:type="dxa"/>
              <w:start w:w="85" w:type="dxa"/>
              <w:bottom w:w="60" w:type="dxa"/>
              <w:end w:w="85" w:type="dxa"/>
            </w:tcMar>
          </w:tcPr>
          <w:p>
            <w:pPr>
              <w:pStyle w:val="BodyText"/>
              <w:spacing w:before="0" w:after="0" w:line="220" w:lineRule="auto"/>
            </w:pPr>
            <w:r>
              <w:t>基线未测；至少10次教师访谈</w:t>
            </w:r>
          </w:p>
        </w:tc>
        <w:tc>
          <w:tcPr>
            <w:tcW w:w="2305" w:type="dxa"/>
            <w:tcMar>
              <w:top w:w="60" w:type="dxa"/>
              <w:start w:w="85" w:type="dxa"/>
              <w:bottom w:w="60" w:type="dxa"/>
              <w:end w:w="85" w:type="dxa"/>
            </w:tcMar>
          </w:tcPr>
          <w:p>
            <w:pPr>
              <w:pStyle w:val="BodyText"/>
              <w:spacing w:before="0" w:after="0" w:line="220" w:lineRule="auto"/>
            </w:pPr>
            <w:r>
              <w:t>2026年11月；教学运营</w:t>
            </w:r>
          </w:p>
        </w:tc>
        <w:tc>
          <w:tcPr>
            <w:tcW w:w="2712" w:type="dxa"/>
            <w:tcMar>
              <w:top w:w="60" w:type="dxa"/>
              <w:start w:w="85" w:type="dxa"/>
              <w:bottom w:w="60" w:type="dxa"/>
              <w:end w:w="85" w:type="dxa"/>
            </w:tcMar>
          </w:tcPr>
          <w:p>
            <w:pPr>
              <w:pStyle w:val="BodyText"/>
              <w:spacing w:before="0" w:after="0" w:line="220" w:lineRule="auto"/>
            </w:pPr>
            <w:r>
              <w:t>具体任务、现有做法、阻碍和采购条件</w:t>
            </w:r>
          </w:p>
        </w:tc>
      </w:tr>
      <w:tr>
        <w:trPr>
          <w:cantSplit/>
        </w:trPr>
        <w:tc>
          <w:tcPr>
            <w:tcW w:w="1356" w:type="dxa"/>
            <w:tcMar>
              <w:top w:w="60" w:type="dxa"/>
              <w:start w:w="85" w:type="dxa"/>
              <w:bottom w:w="60" w:type="dxa"/>
              <w:end w:w="85" w:type="dxa"/>
            </w:tcMar>
          </w:tcPr>
          <w:p>
            <w:pPr>
              <w:pStyle w:val="BodyText"/>
              <w:spacing w:before="0" w:after="0" w:line="220" w:lineRule="auto"/>
            </w:pPr>
            <w:r>
              <w:t>课程试用</w:t>
            </w:r>
          </w:p>
        </w:tc>
        <w:tc>
          <w:tcPr>
            <w:tcW w:w="2577" w:type="dxa"/>
            <w:tcMar>
              <w:top w:w="60" w:type="dxa"/>
              <w:start w:w="85" w:type="dxa"/>
              <w:bottom w:w="60" w:type="dxa"/>
              <w:end w:w="85" w:type="dxa"/>
            </w:tcMar>
          </w:tcPr>
          <w:p>
            <w:pPr>
              <w:pStyle w:val="BodyText"/>
              <w:spacing w:before="0" w:after="0" w:line="220" w:lineRule="auto"/>
            </w:pPr>
            <w:r>
              <w:t>基线未测；2次完整试用</w:t>
            </w:r>
          </w:p>
        </w:tc>
        <w:tc>
          <w:tcPr>
            <w:tcW w:w="2305" w:type="dxa"/>
            <w:tcMar>
              <w:top w:w="60" w:type="dxa"/>
              <w:start w:w="85" w:type="dxa"/>
              <w:bottom w:w="60" w:type="dxa"/>
              <w:end w:w="85" w:type="dxa"/>
            </w:tcMar>
          </w:tcPr>
          <w:p>
            <w:pPr>
              <w:pStyle w:val="BodyText"/>
              <w:spacing w:before="0" w:after="0" w:line="220" w:lineRule="auto"/>
            </w:pPr>
            <w:r>
              <w:t>2026年12月；两角色共同</w:t>
            </w:r>
          </w:p>
        </w:tc>
        <w:tc>
          <w:tcPr>
            <w:tcW w:w="2712" w:type="dxa"/>
            <w:tcMar>
              <w:top w:w="60" w:type="dxa"/>
              <w:start w:w="85" w:type="dxa"/>
              <w:bottom w:w="60" w:type="dxa"/>
              <w:end w:w="85" w:type="dxa"/>
            </w:tcMar>
          </w:tcPr>
          <w:p>
            <w:pPr>
              <w:pStyle w:val="BodyText"/>
              <w:spacing w:before="0" w:after="0" w:line="220" w:lineRule="auto"/>
            </w:pPr>
            <w:r>
              <w:t>记录预测、改造、自主搭建和解释，注明提示程度</w:t>
            </w:r>
          </w:p>
        </w:tc>
      </w:tr>
      <w:tr>
        <w:trPr>
          <w:cantSplit/>
        </w:trPr>
        <w:tc>
          <w:tcPr>
            <w:tcW w:w="1356" w:type="dxa"/>
            <w:tcMar>
              <w:top w:w="60" w:type="dxa"/>
              <w:start w:w="85" w:type="dxa"/>
              <w:bottom w:w="60" w:type="dxa"/>
              <w:end w:w="85" w:type="dxa"/>
            </w:tcMar>
          </w:tcPr>
          <w:p>
            <w:pPr>
              <w:pStyle w:val="BodyText"/>
              <w:spacing w:before="0" w:after="0" w:line="220" w:lineRule="auto"/>
            </w:pPr>
            <w:r>
              <w:t>教师复用</w:t>
            </w:r>
          </w:p>
        </w:tc>
        <w:tc>
          <w:tcPr>
            <w:tcW w:w="2577" w:type="dxa"/>
            <w:tcMar>
              <w:top w:w="60" w:type="dxa"/>
              <w:start w:w="85" w:type="dxa"/>
              <w:bottom w:w="60" w:type="dxa"/>
              <w:end w:w="85" w:type="dxa"/>
            </w:tcMar>
          </w:tcPr>
          <w:p>
            <w:pPr>
              <w:pStyle w:val="BodyText"/>
              <w:spacing w:before="0" w:after="0" w:line="220" w:lineRule="auto"/>
            </w:pPr>
            <w:r>
              <w:t>基线未测；至少1位教师独立复用</w:t>
            </w:r>
          </w:p>
        </w:tc>
        <w:tc>
          <w:tcPr>
            <w:tcW w:w="2305" w:type="dxa"/>
            <w:tcMar>
              <w:top w:w="60" w:type="dxa"/>
              <w:start w:w="85" w:type="dxa"/>
              <w:bottom w:w="60" w:type="dxa"/>
              <w:end w:w="85" w:type="dxa"/>
            </w:tcMar>
          </w:tcPr>
          <w:p>
            <w:pPr>
              <w:pStyle w:val="BodyText"/>
              <w:spacing w:before="0" w:after="0" w:line="220" w:lineRule="auto"/>
            </w:pPr>
            <w:r>
              <w:t>2027年1月；教学运营</w:t>
            </w:r>
          </w:p>
        </w:tc>
        <w:tc>
          <w:tcPr>
            <w:tcW w:w="2712" w:type="dxa"/>
            <w:tcMar>
              <w:top w:w="60" w:type="dxa"/>
              <w:start w:w="85" w:type="dxa"/>
              <w:bottom w:w="60" w:type="dxa"/>
              <w:end w:w="85" w:type="dxa"/>
            </w:tcMar>
          </w:tcPr>
          <w:p>
            <w:pPr>
              <w:pStyle w:val="BodyText"/>
              <w:spacing w:before="0" w:after="0" w:line="220" w:lineRule="auto"/>
            </w:pPr>
            <w:r>
              <w:t>教师不由团队代操作，独立准备并组织创作活动</w:t>
            </w:r>
          </w:p>
        </w:tc>
      </w:tr>
      <w:tr>
        <w:trPr>
          <w:cantSplit/>
        </w:trPr>
        <w:tc>
          <w:tcPr>
            <w:tcW w:w="1356" w:type="dxa"/>
            <w:tcMar>
              <w:top w:w="60" w:type="dxa"/>
              <w:start w:w="85" w:type="dxa"/>
              <w:bottom w:w="60" w:type="dxa"/>
              <w:end w:w="85" w:type="dxa"/>
            </w:tcMar>
          </w:tcPr>
          <w:p>
            <w:pPr>
              <w:pStyle w:val="BodyText"/>
              <w:spacing w:before="0" w:after="0" w:line="220" w:lineRule="auto"/>
            </w:pPr>
            <w:r>
              <w:t>付费交付</w:t>
            </w:r>
          </w:p>
        </w:tc>
        <w:tc>
          <w:tcPr>
            <w:tcW w:w="2577" w:type="dxa"/>
            <w:tcMar>
              <w:top w:w="60" w:type="dxa"/>
              <w:start w:w="85" w:type="dxa"/>
              <w:bottom w:w="60" w:type="dxa"/>
              <w:end w:w="85" w:type="dxa"/>
            </w:tcMar>
          </w:tcPr>
          <w:p>
            <w:pPr>
              <w:pStyle w:val="BodyText"/>
              <w:spacing w:before="0" w:after="0" w:line="220" w:lineRule="auto"/>
            </w:pPr>
            <w:r>
              <w:t>当前无确认合同；2027年4份目标</w:t>
            </w:r>
          </w:p>
        </w:tc>
        <w:tc>
          <w:tcPr>
            <w:tcW w:w="2305" w:type="dxa"/>
            <w:tcMar>
              <w:top w:w="60" w:type="dxa"/>
              <w:start w:w="85" w:type="dxa"/>
              <w:bottom w:w="60" w:type="dxa"/>
              <w:end w:w="85" w:type="dxa"/>
            </w:tcMar>
          </w:tcPr>
          <w:p>
            <w:pPr>
              <w:pStyle w:val="BodyText"/>
              <w:spacing w:before="0" w:after="0" w:line="220" w:lineRule="auto"/>
            </w:pPr>
            <w:r>
              <w:t>2027年；教学运营</w:t>
            </w:r>
          </w:p>
        </w:tc>
        <w:tc>
          <w:tcPr>
            <w:tcW w:w="2712" w:type="dxa"/>
            <w:tcMar>
              <w:top w:w="60" w:type="dxa"/>
              <w:start w:w="85" w:type="dxa"/>
              <w:bottom w:w="60" w:type="dxa"/>
              <w:end w:w="85" w:type="dxa"/>
            </w:tcMar>
          </w:tcPr>
          <w:p>
            <w:pPr>
              <w:pStyle w:val="BodyText"/>
              <w:spacing w:before="0" w:after="0" w:line="220" w:lineRule="auto"/>
            </w:pPr>
            <w:r>
              <w:t>范围、回款、工时与客户确认完整</w:t>
            </w:r>
          </w:p>
        </w:tc>
      </w:tr>
    </w:tbl>
    <w:p>
      <w:pPr>
        <w:pStyle w:val="BodyText"/>
      </w:pPr>
      <w:r>
        <w:t>初步决策门槛是至少80%的参与者在约定课时完成结构识别和一次自主改造，教师不代操作；另记录自主搭建和解释的完成情况，至少1位教师在团队不代操作时独立复用。阈值是内部计划标准，非课程效果承诺。若样本小、帮助频繁或只完成模仿，应降低结论强度并继续修改入门任务。</w:t>
      </w:r>
    </w:p>
    <w:p>
      <w:pPr>
        <w:pStyle w:val="Heading2"/>
      </w:pPr>
      <w:bookmarkStart w:id="1015" w:name="_TocBlocky15"/>
      <w:r>
        <w:t>5.4 近期项目与退出条件</w:t>
      </w:r>
      <w:bookmarkEnd w:id="1015"/>
    </w:p>
    <w:p>
      <w:pPr>
        <w:pStyle w:val="BodyText"/>
      </w:pPr>
      <w:r>
        <w:t>近期交付对象是一套故事搭档入门作品、一次单条件对照练习、一份自主搭建任务和教师组织说明，配套当前工具的安装、权限和恢复指导。模型故事内容需要新取证，现有本地分支实验只证明规则修改。项目不包括班级管理、自动评分、机构计费或儿童界面开发；资金和教师组织条件未落实时，不承诺试用日期。</w:t>
      </w:r>
    </w:p>
    <w:p>
      <w:pPr>
        <w:pStyle w:val="BodyText"/>
      </w:pPr>
      <w:r>
        <w:t>两轮任务修改后若学生仍主要依靠教师代操作，先减少积木数量并缩短任务；若没有教师愿意独立复用，暂停机构扩展。若教学复用存在但没有采购预算，测试较小的培训与配置服务并重估合同均价。不得以扩大下载目标掩盖小学适配或付款条件缺失。</w:t>
      </w:r>
    </w:p>
    <w:p>
      <w:pPr>
        <w:pStyle w:val="Heading2"/>
      </w:pPr>
      <w:bookmarkStart w:id="1016" w:name="_TocBlocky16"/>
      <w:r>
        <w:t>5.5 资源与资金需求</w:t>
      </w:r>
      <w:bookmarkEnd w:id="1016"/>
    </w:p>
    <w:p>
      <w:pPr>
        <w:pStyle w:val="BodyText"/>
      </w:pPr>
      <w:r>
        <w:t>基准2027年费用预算为13.264万元，另有1.2万元设备现金投入。Table 3（表3）将首年费用分为互不重复的用途；设备费用以36个月直线折旧进入损益。期初自有资金2万元同样是假设，未获得到账证据。</w:t>
      </w:r>
    </w:p>
    <w:p>
      <w:pPr>
        <w:pStyle w:val="Tabletitle"/>
        <w:keepNext/>
      </w:pPr>
      <w:r>
        <w:t>Table 3. 基准首年预算用途</w:t>
      </w:r>
    </w:p>
    <w:tbl>
      <w:tblPr>
        <w:tblStyle w:val="TableGrid"/>
        <w:tblW w:w="8950" w:type="dxa"/>
        <w:tblInd w:w="85" w:type="dxa"/>
        <w:tblLayout w:type="fixed"/>
        <w:tblLook w:firstRow="1"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blPr>
      <w:tblGrid>
        <w:gridCol w:w="2304"/>
        <w:gridCol w:w="1800"/>
        <w:gridCol w:w="4846"/>
      </w:tblGrid>
      <w:tr>
        <w:trPr>
          <w:cantSplit/>
          <w:tblHeader w:val="true"/>
        </w:trPr>
        <w:tc>
          <w:tcPr>
            <w:tcW w:w="2304" w:type="dxa"/>
            <w:tcMar>
              <w:top w:w="60" w:type="dxa"/>
              <w:start w:w="85" w:type="dxa"/>
              <w:bottom w:w="60" w:type="dxa"/>
              <w:end w:w="85" w:type="dxa"/>
            </w:tcMar>
          </w:tcPr>
          <w:p>
            <w:pPr>
              <w:pStyle w:val="BodyText"/>
              <w:spacing w:before="0" w:after="0" w:line="220" w:lineRule="auto"/>
            </w:pPr>
            <w:r>
              <w:t>用途</w:t>
            </w:r>
          </w:p>
        </w:tc>
        <w:tc>
          <w:tcPr>
            <w:tcW w:w="1800" w:type="dxa"/>
            <w:tcMar>
              <w:top w:w="60" w:type="dxa"/>
              <w:start w:w="85" w:type="dxa"/>
              <w:bottom w:w="60" w:type="dxa"/>
              <w:end w:w="85" w:type="dxa"/>
            </w:tcMar>
          </w:tcPr>
          <w:p>
            <w:pPr>
              <w:pStyle w:val="BodyText"/>
              <w:spacing w:before="0" w:after="0" w:line="220" w:lineRule="auto"/>
            </w:pPr>
            <w:r>
              <w:t>费用预算（元）</w:t>
            </w:r>
          </w:p>
        </w:tc>
        <w:tc>
          <w:tcPr>
            <w:tcW w:w="4846" w:type="dxa"/>
            <w:tcMar>
              <w:top w:w="60" w:type="dxa"/>
              <w:start w:w="85" w:type="dxa"/>
              <w:bottom w:w="60" w:type="dxa"/>
              <w:end w:w="85" w:type="dxa"/>
            </w:tcMar>
          </w:tcPr>
          <w:p>
            <w:pPr>
              <w:pStyle w:val="BodyText"/>
              <w:spacing w:before="0" w:after="0" w:line="220" w:lineRule="auto"/>
            </w:pPr>
            <w:r>
              <w:t>计算依据</w:t>
            </w:r>
          </w:p>
        </w:tc>
      </w:tr>
      <w:tr>
        <w:trPr>
          <w:cantSplit/>
        </w:trPr>
        <w:tc>
          <w:tcPr>
            <w:tcW w:w="2304" w:type="dxa"/>
            <w:tcMar>
              <w:top w:w="60" w:type="dxa"/>
              <w:start w:w="85" w:type="dxa"/>
              <w:bottom w:w="60" w:type="dxa"/>
              <w:end w:w="85" w:type="dxa"/>
            </w:tcMar>
          </w:tcPr>
          <w:p>
            <w:pPr>
              <w:pStyle w:val="BodyText"/>
              <w:spacing w:before="0" w:after="0" w:line="220" w:lineRule="auto"/>
            </w:pPr>
            <w:r>
              <w:t>固定核心工作</w:t>
            </w:r>
          </w:p>
        </w:tc>
        <w:tc>
          <w:tcPr>
            <w:tcW w:w="1800" w:type="dxa"/>
            <w:tcMar>
              <w:top w:w="60" w:type="dxa"/>
              <w:start w:w="85" w:type="dxa"/>
              <w:bottom w:w="60" w:type="dxa"/>
              <w:end w:w="85" w:type="dxa"/>
            </w:tcMar>
          </w:tcPr>
          <w:p>
            <w:pPr>
              <w:pStyle w:val="BodyText"/>
              <w:spacing w:before="0" w:after="0" w:line="220" w:lineRule="auto"/>
              <w:jc w:val="right"/>
            </w:pPr>
            <w:r>
              <w:t>72,000</w:t>
            </w:r>
          </w:p>
        </w:tc>
        <w:tc>
          <w:tcPr>
            <w:tcW w:w="4846" w:type="dxa"/>
            <w:tcMar>
              <w:top w:w="60" w:type="dxa"/>
              <w:start w:w="85" w:type="dxa"/>
              <w:bottom w:w="60" w:type="dxa"/>
              <w:end w:w="85" w:type="dxa"/>
            </w:tcMar>
          </w:tcPr>
          <w:p>
            <w:pPr>
              <w:pStyle w:val="BodyText"/>
              <w:spacing w:before="0" w:after="0" w:line="220" w:lineRule="auto"/>
            </w:pPr>
            <w:r>
              <w:t>6,000元/月，12个月</w:t>
            </w:r>
          </w:p>
        </w:tc>
      </w:tr>
      <w:tr>
        <w:trPr>
          <w:cantSplit/>
        </w:trPr>
        <w:tc>
          <w:tcPr>
            <w:tcW w:w="2304" w:type="dxa"/>
            <w:tcMar>
              <w:top w:w="60" w:type="dxa"/>
              <w:start w:w="85" w:type="dxa"/>
              <w:bottom w:w="60" w:type="dxa"/>
              <w:end w:w="85" w:type="dxa"/>
            </w:tcMar>
          </w:tcPr>
          <w:p>
            <w:pPr>
              <w:pStyle w:val="BodyText"/>
              <w:spacing w:before="0" w:after="0" w:line="220" w:lineRule="auto"/>
            </w:pPr>
            <w:r>
              <w:t>固定运营</w:t>
            </w:r>
          </w:p>
        </w:tc>
        <w:tc>
          <w:tcPr>
            <w:tcW w:w="1800" w:type="dxa"/>
            <w:tcMar>
              <w:top w:w="60" w:type="dxa"/>
              <w:start w:w="85" w:type="dxa"/>
              <w:bottom w:w="60" w:type="dxa"/>
              <w:end w:w="85" w:type="dxa"/>
            </w:tcMar>
          </w:tcPr>
          <w:p>
            <w:pPr>
              <w:pStyle w:val="BodyText"/>
              <w:spacing w:before="0" w:after="0" w:line="220" w:lineRule="auto"/>
              <w:jc w:val="right"/>
            </w:pPr>
            <w:r>
              <w:t>21,600</w:t>
            </w:r>
          </w:p>
        </w:tc>
        <w:tc>
          <w:tcPr>
            <w:tcW w:w="4846" w:type="dxa"/>
            <w:tcMar>
              <w:top w:w="60" w:type="dxa"/>
              <w:start w:w="85" w:type="dxa"/>
              <w:bottom w:w="60" w:type="dxa"/>
              <w:end w:w="85" w:type="dxa"/>
            </w:tcMar>
          </w:tcPr>
          <w:p>
            <w:pPr>
              <w:pStyle w:val="BodyText"/>
              <w:spacing w:before="0" w:after="0" w:line="220" w:lineRule="auto"/>
            </w:pPr>
            <w:r>
              <w:t>1,800元/月，12个月</w:t>
            </w:r>
          </w:p>
        </w:tc>
      </w:tr>
      <w:tr>
        <w:trPr>
          <w:cantSplit/>
        </w:trPr>
        <w:tc>
          <w:tcPr>
            <w:tcW w:w="2304" w:type="dxa"/>
            <w:tcMar>
              <w:top w:w="60" w:type="dxa"/>
              <w:start w:w="85" w:type="dxa"/>
              <w:bottom w:w="60" w:type="dxa"/>
              <w:end w:w="85" w:type="dxa"/>
            </w:tcMar>
          </w:tcPr>
          <w:p>
            <w:pPr>
              <w:pStyle w:val="BodyText"/>
              <w:spacing w:before="0" w:after="0" w:line="220" w:lineRule="auto"/>
            </w:pPr>
            <w:r>
              <w:t>合同交付人工</w:t>
            </w:r>
          </w:p>
        </w:tc>
        <w:tc>
          <w:tcPr>
            <w:tcW w:w="1800" w:type="dxa"/>
            <w:tcMar>
              <w:top w:w="60" w:type="dxa"/>
              <w:start w:w="85" w:type="dxa"/>
              <w:bottom w:w="60" w:type="dxa"/>
              <w:end w:w="85" w:type="dxa"/>
            </w:tcMar>
          </w:tcPr>
          <w:p>
            <w:pPr>
              <w:pStyle w:val="BodyText"/>
              <w:spacing w:before="0" w:after="0" w:line="220" w:lineRule="auto"/>
              <w:jc w:val="right"/>
            </w:pPr>
            <w:r>
              <w:t>25,600</w:t>
            </w:r>
          </w:p>
        </w:tc>
        <w:tc>
          <w:tcPr>
            <w:tcW w:w="4846" w:type="dxa"/>
            <w:tcMar>
              <w:top w:w="60" w:type="dxa"/>
              <w:start w:w="85" w:type="dxa"/>
              <w:bottom w:w="60" w:type="dxa"/>
              <w:end w:w="85" w:type="dxa"/>
            </w:tcMar>
          </w:tcPr>
          <w:p>
            <w:pPr>
              <w:pStyle w:val="BodyText"/>
              <w:spacing w:before="0" w:after="0" w:line="220" w:lineRule="auto"/>
            </w:pPr>
            <w:r>
              <w:t>4份 × 80小时 × 80元</w:t>
            </w:r>
          </w:p>
        </w:tc>
      </w:tr>
      <w:tr>
        <w:trPr>
          <w:cantSplit/>
        </w:trPr>
        <w:tc>
          <w:tcPr>
            <w:tcW w:w="2304" w:type="dxa"/>
            <w:tcMar>
              <w:top w:w="60" w:type="dxa"/>
              <w:start w:w="85" w:type="dxa"/>
              <w:bottom w:w="60" w:type="dxa"/>
              <w:end w:w="85" w:type="dxa"/>
            </w:tcMar>
          </w:tcPr>
          <w:p>
            <w:pPr>
              <w:pStyle w:val="BodyText"/>
              <w:spacing w:before="0" w:after="0" w:line="220" w:lineRule="auto"/>
            </w:pPr>
            <w:r>
              <w:t>合同模型额度</w:t>
            </w:r>
          </w:p>
        </w:tc>
        <w:tc>
          <w:tcPr>
            <w:tcW w:w="1800" w:type="dxa"/>
            <w:tcMar>
              <w:top w:w="60" w:type="dxa"/>
              <w:start w:w="85" w:type="dxa"/>
              <w:bottom w:w="60" w:type="dxa"/>
              <w:end w:w="85" w:type="dxa"/>
            </w:tcMar>
          </w:tcPr>
          <w:p>
            <w:pPr>
              <w:pStyle w:val="BodyText"/>
              <w:spacing w:before="0" w:after="0" w:line="220" w:lineRule="auto"/>
              <w:jc w:val="right"/>
            </w:pPr>
            <w:r>
              <w:t>5,600</w:t>
            </w:r>
          </w:p>
        </w:tc>
        <w:tc>
          <w:tcPr>
            <w:tcW w:w="4846" w:type="dxa"/>
            <w:tcMar>
              <w:top w:w="60" w:type="dxa"/>
              <w:start w:w="85" w:type="dxa"/>
              <w:bottom w:w="60" w:type="dxa"/>
              <w:end w:w="85" w:type="dxa"/>
            </w:tcMar>
          </w:tcPr>
          <w:p>
            <w:pPr>
              <w:pStyle w:val="BodyText"/>
              <w:spacing w:before="0" w:after="0" w:line="220" w:lineRule="auto"/>
            </w:pPr>
            <w:r>
              <w:t>4份 × 1,400元</w:t>
            </w:r>
          </w:p>
        </w:tc>
      </w:tr>
      <w:tr>
        <w:trPr>
          <w:cantSplit/>
        </w:trPr>
        <w:tc>
          <w:tcPr>
            <w:tcW w:w="2304" w:type="dxa"/>
            <w:tcMar>
              <w:top w:w="60" w:type="dxa"/>
              <w:start w:w="85" w:type="dxa"/>
              <w:bottom w:w="60" w:type="dxa"/>
              <w:end w:w="85" w:type="dxa"/>
            </w:tcMar>
          </w:tcPr>
          <w:p>
            <w:pPr>
              <w:pStyle w:val="BodyText"/>
              <w:spacing w:before="0" w:after="0" w:line="220" w:lineRule="auto"/>
            </w:pPr>
            <w:r>
              <w:t>其他直接支出</w:t>
            </w:r>
          </w:p>
        </w:tc>
        <w:tc>
          <w:tcPr>
            <w:tcW w:w="1800" w:type="dxa"/>
            <w:tcMar>
              <w:top w:w="60" w:type="dxa"/>
              <w:start w:w="85" w:type="dxa"/>
              <w:bottom w:w="60" w:type="dxa"/>
              <w:end w:w="85" w:type="dxa"/>
            </w:tcMar>
          </w:tcPr>
          <w:p>
            <w:pPr>
              <w:pStyle w:val="BodyText"/>
              <w:spacing w:before="0" w:after="0" w:line="220" w:lineRule="auto"/>
              <w:jc w:val="right"/>
            </w:pPr>
            <w:r>
              <w:t>2,400</w:t>
            </w:r>
          </w:p>
        </w:tc>
        <w:tc>
          <w:tcPr>
            <w:tcW w:w="4846" w:type="dxa"/>
            <w:tcMar>
              <w:top w:w="60" w:type="dxa"/>
              <w:start w:w="85" w:type="dxa"/>
              <w:bottom w:w="60" w:type="dxa"/>
              <w:end w:w="85" w:type="dxa"/>
            </w:tcMar>
          </w:tcPr>
          <w:p>
            <w:pPr>
              <w:pStyle w:val="BodyText"/>
              <w:spacing w:before="0" w:after="0" w:line="220" w:lineRule="auto"/>
            </w:pPr>
            <w:r>
              <w:t>4份 × 600元</w:t>
            </w:r>
          </w:p>
        </w:tc>
      </w:tr>
      <w:tr>
        <w:trPr>
          <w:cantSplit/>
        </w:trPr>
        <w:tc>
          <w:tcPr>
            <w:tcW w:w="2304" w:type="dxa"/>
            <w:tcMar>
              <w:top w:w="60" w:type="dxa"/>
              <w:start w:w="85" w:type="dxa"/>
              <w:bottom w:w="60" w:type="dxa"/>
              <w:end w:w="85" w:type="dxa"/>
            </w:tcMar>
          </w:tcPr>
          <w:p>
            <w:pPr>
              <w:pStyle w:val="BodyText"/>
              <w:spacing w:before="0" w:after="0" w:line="220" w:lineRule="auto"/>
            </w:pPr>
            <w:r>
              <w:t>税费现金预留</w:t>
            </w:r>
          </w:p>
        </w:tc>
        <w:tc>
          <w:tcPr>
            <w:tcW w:w="1800" w:type="dxa"/>
            <w:tcMar>
              <w:top w:w="60" w:type="dxa"/>
              <w:start w:w="85" w:type="dxa"/>
              <w:bottom w:w="60" w:type="dxa"/>
              <w:end w:w="85" w:type="dxa"/>
            </w:tcMar>
          </w:tcPr>
          <w:p>
            <w:pPr>
              <w:pStyle w:val="BodyText"/>
              <w:spacing w:before="0" w:after="0" w:line="220" w:lineRule="auto"/>
              <w:jc w:val="right"/>
            </w:pPr>
            <w:r>
              <w:t>1,440</w:t>
            </w:r>
          </w:p>
        </w:tc>
        <w:tc>
          <w:tcPr>
            <w:tcW w:w="4846" w:type="dxa"/>
            <w:tcMar>
              <w:top w:w="60" w:type="dxa"/>
              <w:start w:w="85" w:type="dxa"/>
              <w:bottom w:w="60" w:type="dxa"/>
              <w:end w:w="85" w:type="dxa"/>
            </w:tcMar>
          </w:tcPr>
          <w:p>
            <w:pPr>
              <w:pStyle w:val="BodyText"/>
              <w:spacing w:before="0" w:after="0" w:line="220" w:lineRule="auto"/>
            </w:pPr>
            <w:r>
              <w:t>收入 × 2%，非法定税率</w:t>
            </w:r>
          </w:p>
        </w:tc>
      </w:tr>
      <w:tr>
        <w:trPr>
          <w:cantSplit/>
        </w:trPr>
        <w:tc>
          <w:tcPr>
            <w:tcW w:w="2304" w:type="dxa"/>
            <w:tcMar>
              <w:top w:w="60" w:type="dxa"/>
              <w:start w:w="85" w:type="dxa"/>
              <w:bottom w:w="60" w:type="dxa"/>
              <w:end w:w="85" w:type="dxa"/>
            </w:tcMar>
          </w:tcPr>
          <w:p>
            <w:pPr>
              <w:pStyle w:val="BodyText"/>
              <w:spacing w:before="0" w:after="0" w:line="220" w:lineRule="auto"/>
            </w:pPr>
            <w:r>
              <w:t>设备折旧</w:t>
            </w:r>
          </w:p>
        </w:tc>
        <w:tc>
          <w:tcPr>
            <w:tcW w:w="1800" w:type="dxa"/>
            <w:tcMar>
              <w:top w:w="60" w:type="dxa"/>
              <w:start w:w="85" w:type="dxa"/>
              <w:bottom w:w="60" w:type="dxa"/>
              <w:end w:w="85" w:type="dxa"/>
            </w:tcMar>
          </w:tcPr>
          <w:p>
            <w:pPr>
              <w:pStyle w:val="BodyText"/>
              <w:spacing w:before="0" w:after="0" w:line="220" w:lineRule="auto"/>
              <w:jc w:val="right"/>
            </w:pPr>
            <w:r>
              <w:t>4,000</w:t>
            </w:r>
          </w:p>
        </w:tc>
        <w:tc>
          <w:tcPr>
            <w:tcW w:w="4846" w:type="dxa"/>
            <w:tcMar>
              <w:top w:w="60" w:type="dxa"/>
              <w:start w:w="85" w:type="dxa"/>
              <w:bottom w:w="60" w:type="dxa"/>
              <w:end w:w="85" w:type="dxa"/>
            </w:tcMar>
          </w:tcPr>
          <w:p>
            <w:pPr>
              <w:pStyle w:val="BodyText"/>
              <w:spacing w:before="0" w:after="0" w:line="220" w:lineRule="auto"/>
            </w:pPr>
            <w:r>
              <w:t>12,000元 ÷ 36月 × 12月</w:t>
            </w:r>
          </w:p>
        </w:tc>
      </w:tr>
    </w:tbl>
    <w:p>
      <w:pPr>
        <w:pStyle w:val="BodyText"/>
      </w:pPr>
      <w:r>
        <w:t>月度收款假设为交付当月收50%、次月收余款，成本当月支付。基准情景在2028年9月出现8.30万元最大现金缺口，追加资金预算10.30万元包括2万元最低储备。该预算是资源需求，不是已承诺融资；资金可来自确认后的自有投入、适用支持或合同付款，但本计划不设定股权估值或融资回报。</w:t>
      </w:r>
    </w:p>
    <w:p>
      <w:pPr>
        <w:pStyle w:val="BodyText"/>
      </w:pPr>
      <w:r>
        <w:t>若追加资金未落实，不应按完整基准费用启动。优先减少固定承诺、按里程碑安排工作、争取合同预付款，并只接受可履约的订单。悲观情景的追加资金需求为28.11万元，说明单纯补充10.30万元不能覆盖销售持续低迷；此时须调整经营规模，不能无限补资。</w:t>
      </w:r>
    </w:p>
    <w:p>
      <w:pPr>
        <w:pStyle w:val="Heading2"/>
      </w:pPr>
      <w:bookmarkStart w:id="1017" w:name="_TocBlocky17"/>
      <w:r>
        <w:t>5.6 实施路线图</w:t>
      </w:r>
      <w:bookmarkEnd w:id="1017"/>
    </w:p>
    <w:p>
      <w:pPr>
        <w:pStyle w:val="BodyText"/>
      </w:pPr>
      <w:r>
        <w:t>Table 4（表4）把课程验证与商业验证安排在产品扩展之前。关键路径是找到愿意组织课程的教师，完成独立复用，再确认采购与合同条件。机构账户等功能的投入应以已观察到的共同需求为依据，避免先开发完整平台再寻找用户。</w:t>
      </w:r>
    </w:p>
    <w:p>
      <w:pPr>
        <w:pStyle w:val="Tabletitle"/>
        <w:keepNext/>
      </w:pPr>
      <w:r>
        <w:t>Table 4. 实施路线图</w:t>
      </w:r>
    </w:p>
    <w:tbl>
      <w:tblPr>
        <w:tblStyle w:val="TableGrid"/>
        <w:tblW w:w="8950" w:type="dxa"/>
        <w:tblInd w:w="85" w:type="dxa"/>
        <w:tblLayout w:type="fixed"/>
        <w:tblLook w:firstRow="1"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blPr>
      <w:tblGrid>
        <w:gridCol w:w="1655"/>
        <w:gridCol w:w="2452"/>
        <w:gridCol w:w="2391"/>
        <w:gridCol w:w="2452"/>
      </w:tblGrid>
      <w:tr>
        <w:trPr>
          <w:cantSplit/>
          <w:tblHeader w:val="true"/>
        </w:trPr>
        <w:tc>
          <w:tcPr>
            <w:tcW w:w="1655" w:type="dxa"/>
            <w:tcMar>
              <w:top w:w="60" w:type="dxa"/>
              <w:start w:w="85" w:type="dxa"/>
              <w:bottom w:w="60" w:type="dxa"/>
              <w:end w:w="85" w:type="dxa"/>
            </w:tcMar>
          </w:tcPr>
          <w:p>
            <w:pPr>
              <w:pStyle w:val="BodyText"/>
              <w:spacing w:before="0" w:after="0" w:line="220" w:lineRule="auto"/>
            </w:pPr>
            <w:r>
              <w:t>阶段与时间</w:t>
            </w:r>
          </w:p>
        </w:tc>
        <w:tc>
          <w:tcPr>
            <w:tcW w:w="2452" w:type="dxa"/>
            <w:tcMar>
              <w:top w:w="60" w:type="dxa"/>
              <w:start w:w="85" w:type="dxa"/>
              <w:bottom w:w="60" w:type="dxa"/>
              <w:end w:w="85" w:type="dxa"/>
            </w:tcMar>
          </w:tcPr>
          <w:p>
            <w:pPr>
              <w:pStyle w:val="BodyText"/>
              <w:spacing w:before="0" w:after="0" w:line="220" w:lineRule="auto"/>
            </w:pPr>
            <w:r>
              <w:t>行动与责任</w:t>
            </w:r>
          </w:p>
        </w:tc>
        <w:tc>
          <w:tcPr>
            <w:tcW w:w="2391" w:type="dxa"/>
            <w:tcMar>
              <w:top w:w="60" w:type="dxa"/>
              <w:start w:w="85" w:type="dxa"/>
              <w:bottom w:w="60" w:type="dxa"/>
              <w:end w:w="85" w:type="dxa"/>
            </w:tcMar>
          </w:tcPr>
          <w:p>
            <w:pPr>
              <w:pStyle w:val="BodyText"/>
              <w:spacing w:before="0" w:after="0" w:line="220" w:lineRule="auto"/>
            </w:pPr>
            <w:r>
              <w:t>投入与依赖</w:t>
            </w:r>
          </w:p>
        </w:tc>
        <w:tc>
          <w:tcPr>
            <w:tcW w:w="2452" w:type="dxa"/>
            <w:tcMar>
              <w:top w:w="60" w:type="dxa"/>
              <w:start w:w="85" w:type="dxa"/>
              <w:bottom w:w="60" w:type="dxa"/>
              <w:end w:w="85" w:type="dxa"/>
            </w:tcMar>
          </w:tcPr>
          <w:p>
            <w:pPr>
              <w:pStyle w:val="BodyText"/>
              <w:spacing w:before="0" w:after="0" w:line="220" w:lineRule="auto"/>
            </w:pPr>
            <w:r>
              <w:t>退出条件</w:t>
            </w:r>
          </w:p>
        </w:tc>
      </w:tr>
      <w:tr>
        <w:trPr>
          <w:cantSplit/>
        </w:trPr>
        <w:tc>
          <w:tcPr>
            <w:tcW w:w="1655" w:type="dxa"/>
            <w:tcMar>
              <w:top w:w="60" w:type="dxa"/>
              <w:start w:w="85" w:type="dxa"/>
              <w:bottom w:w="60" w:type="dxa"/>
              <w:end w:w="85" w:type="dxa"/>
            </w:tcMar>
          </w:tcPr>
          <w:p>
            <w:pPr>
              <w:pStyle w:val="BodyText"/>
              <w:spacing w:before="0" w:after="0" w:line="220" w:lineRule="auto"/>
            </w:pPr>
            <w:r>
              <w:t>2026年10至11月</w:t>
            </w:r>
          </w:p>
        </w:tc>
        <w:tc>
          <w:tcPr>
            <w:tcW w:w="2452" w:type="dxa"/>
            <w:tcMar>
              <w:top w:w="60" w:type="dxa"/>
              <w:start w:w="85" w:type="dxa"/>
              <w:bottom w:w="60" w:type="dxa"/>
              <w:end w:w="85" w:type="dxa"/>
            </w:tcMar>
          </w:tcPr>
          <w:p>
            <w:pPr>
              <w:pStyle w:val="BodyText"/>
              <w:spacing w:before="0" w:after="0" w:line="220" w:lineRule="auto"/>
            </w:pPr>
            <w:r>
              <w:t>小学教师访谈、任务定义；教学运营</w:t>
            </w:r>
          </w:p>
        </w:tc>
        <w:tc>
          <w:tcPr>
            <w:tcW w:w="2391" w:type="dxa"/>
            <w:tcMar>
              <w:top w:w="60" w:type="dxa"/>
              <w:start w:w="85" w:type="dxa"/>
              <w:bottom w:w="60" w:type="dxa"/>
              <w:end w:w="85" w:type="dxa"/>
            </w:tcMar>
          </w:tcPr>
          <w:p>
            <w:pPr>
              <w:pStyle w:val="BodyText"/>
              <w:spacing w:before="0" w:after="0" w:line="220" w:lineRule="auto"/>
            </w:pPr>
            <w:r>
              <w:t>现有产品与合成案例；教师可约访</w:t>
            </w:r>
          </w:p>
        </w:tc>
        <w:tc>
          <w:tcPr>
            <w:tcW w:w="2452" w:type="dxa"/>
            <w:tcMar>
              <w:top w:w="60" w:type="dxa"/>
              <w:start w:w="85" w:type="dxa"/>
              <w:bottom w:w="60" w:type="dxa"/>
              <w:end w:w="85" w:type="dxa"/>
            </w:tcMar>
          </w:tcPr>
          <w:p>
            <w:pPr>
              <w:pStyle w:val="BodyText"/>
              <w:spacing w:before="0" w:after="0" w:line="220" w:lineRule="auto"/>
            </w:pPr>
            <w:r>
              <w:t>至少10次有效访谈，选定同类任务</w:t>
            </w:r>
          </w:p>
        </w:tc>
      </w:tr>
      <w:tr>
        <w:trPr>
          <w:cantSplit/>
        </w:trPr>
        <w:tc>
          <w:tcPr>
            <w:tcW w:w="1655" w:type="dxa"/>
            <w:tcMar>
              <w:top w:w="60" w:type="dxa"/>
              <w:start w:w="85" w:type="dxa"/>
              <w:bottom w:w="60" w:type="dxa"/>
              <w:end w:w="85" w:type="dxa"/>
            </w:tcMar>
          </w:tcPr>
          <w:p>
            <w:pPr>
              <w:pStyle w:val="BodyText"/>
              <w:spacing w:before="0" w:after="0" w:line="220" w:lineRule="auto"/>
            </w:pPr>
            <w:r>
              <w:t>2026年11至12月</w:t>
            </w:r>
          </w:p>
        </w:tc>
        <w:tc>
          <w:tcPr>
            <w:tcW w:w="2452" w:type="dxa"/>
            <w:tcMar>
              <w:top w:w="60" w:type="dxa"/>
              <w:start w:w="85" w:type="dxa"/>
              <w:bottom w:w="60" w:type="dxa"/>
              <w:end w:w="85" w:type="dxa"/>
            </w:tcMar>
          </w:tcPr>
          <w:p>
            <w:pPr>
              <w:pStyle w:val="BodyText"/>
              <w:spacing w:before="0" w:after="0" w:line="220" w:lineRule="auto"/>
            </w:pPr>
            <w:r>
              <w:t>故事搭档2次试用；技术与教学运营</w:t>
            </w:r>
          </w:p>
        </w:tc>
        <w:tc>
          <w:tcPr>
            <w:tcW w:w="2391" w:type="dxa"/>
            <w:tcMar>
              <w:top w:w="60" w:type="dxa"/>
              <w:start w:w="85" w:type="dxa"/>
              <w:bottom w:w="60" w:type="dxa"/>
              <w:end w:w="85" w:type="dxa"/>
            </w:tcMar>
          </w:tcPr>
          <w:p>
            <w:pPr>
              <w:pStyle w:val="BodyText"/>
              <w:spacing w:before="0" w:after="0" w:line="220" w:lineRule="auto"/>
            </w:pPr>
            <w:r>
              <w:t>课程组织许可、设备、教师；按实际费用核定</w:t>
            </w:r>
          </w:p>
        </w:tc>
        <w:tc>
          <w:tcPr>
            <w:tcW w:w="2452" w:type="dxa"/>
            <w:tcMar>
              <w:top w:w="60" w:type="dxa"/>
              <w:start w:w="85" w:type="dxa"/>
              <w:bottom w:w="60" w:type="dxa"/>
              <w:end w:w="85" w:type="dxa"/>
            </w:tcMar>
          </w:tcPr>
          <w:p>
            <w:pPr>
              <w:pStyle w:val="BodyText"/>
              <w:spacing w:before="0" w:after="0" w:line="220" w:lineRule="auto"/>
            </w:pPr>
            <w:r>
              <w:t>记录完整结果，问题进入下一轮修订</w:t>
            </w:r>
          </w:p>
        </w:tc>
      </w:tr>
      <w:tr>
        <w:trPr>
          <w:cantSplit/>
        </w:trPr>
        <w:tc>
          <w:tcPr>
            <w:tcW w:w="1655" w:type="dxa"/>
            <w:tcMar>
              <w:top w:w="60" w:type="dxa"/>
              <w:start w:w="85" w:type="dxa"/>
              <w:bottom w:w="60" w:type="dxa"/>
              <w:end w:w="85" w:type="dxa"/>
            </w:tcMar>
          </w:tcPr>
          <w:p>
            <w:pPr>
              <w:pStyle w:val="BodyText"/>
              <w:spacing w:before="0" w:after="0" w:line="220" w:lineRule="auto"/>
            </w:pPr>
            <w:r>
              <w:t>2027年1至3月</w:t>
            </w:r>
          </w:p>
        </w:tc>
        <w:tc>
          <w:tcPr>
            <w:tcW w:w="2452" w:type="dxa"/>
            <w:tcMar>
              <w:top w:w="60" w:type="dxa"/>
              <w:start w:w="85" w:type="dxa"/>
              <w:bottom w:w="60" w:type="dxa"/>
              <w:end w:w="85" w:type="dxa"/>
            </w:tcMar>
          </w:tcPr>
          <w:p>
            <w:pPr>
              <w:pStyle w:val="BodyText"/>
              <w:spacing w:before="0" w:after="0" w:line="220" w:lineRule="auto"/>
            </w:pPr>
            <w:r>
              <w:t>教师独立复用、报价验证；教学运营</w:t>
            </w:r>
          </w:p>
        </w:tc>
        <w:tc>
          <w:tcPr>
            <w:tcW w:w="2391" w:type="dxa"/>
            <w:tcMar>
              <w:top w:w="60" w:type="dxa"/>
              <w:start w:w="85" w:type="dxa"/>
              <w:bottom w:w="60" w:type="dxa"/>
              <w:end w:w="85" w:type="dxa"/>
            </w:tcMar>
          </w:tcPr>
          <w:p>
            <w:pPr>
              <w:pStyle w:val="BodyText"/>
              <w:spacing w:before="0" w:after="0" w:line="220" w:lineRule="auto"/>
            </w:pPr>
            <w:r>
              <w:t>1位复用教师；明确签约主体</w:t>
            </w:r>
          </w:p>
        </w:tc>
        <w:tc>
          <w:tcPr>
            <w:tcW w:w="2452" w:type="dxa"/>
            <w:tcMar>
              <w:top w:w="60" w:type="dxa"/>
              <w:start w:w="85" w:type="dxa"/>
              <w:bottom w:w="60" w:type="dxa"/>
              <w:end w:w="85" w:type="dxa"/>
            </w:tcMar>
          </w:tcPr>
          <w:p>
            <w:pPr>
              <w:pStyle w:val="BodyText"/>
              <w:spacing w:before="0" w:after="0" w:line="220" w:lineRule="auto"/>
            </w:pPr>
            <w:r>
              <w:t>取得具体报价反馈与可执行合同范围</w:t>
            </w:r>
          </w:p>
        </w:tc>
      </w:tr>
      <w:tr>
        <w:trPr>
          <w:cantSplit/>
        </w:trPr>
        <w:tc>
          <w:tcPr>
            <w:tcW w:w="1655" w:type="dxa"/>
            <w:tcMar>
              <w:top w:w="60" w:type="dxa"/>
              <w:start w:w="85" w:type="dxa"/>
              <w:bottom w:w="60" w:type="dxa"/>
              <w:end w:w="85" w:type="dxa"/>
            </w:tcMar>
          </w:tcPr>
          <w:p>
            <w:pPr>
              <w:pStyle w:val="BodyText"/>
              <w:spacing w:before="0" w:after="0" w:line="220" w:lineRule="auto"/>
            </w:pPr>
            <w:r>
              <w:t>2027年4至12月</w:t>
            </w:r>
          </w:p>
        </w:tc>
        <w:tc>
          <w:tcPr>
            <w:tcW w:w="2452" w:type="dxa"/>
            <w:tcMar>
              <w:top w:w="60" w:type="dxa"/>
              <w:start w:w="85" w:type="dxa"/>
              <w:bottom w:w="60" w:type="dxa"/>
              <w:end w:w="85" w:type="dxa"/>
            </w:tcMar>
          </w:tcPr>
          <w:p>
            <w:pPr>
              <w:pStyle w:val="BodyText"/>
              <w:spacing w:before="0" w:after="0" w:line="220" w:lineRule="auto"/>
            </w:pPr>
            <w:r>
              <w:t>按范围交付首批服务；技术与运营</w:t>
            </w:r>
          </w:p>
        </w:tc>
        <w:tc>
          <w:tcPr>
            <w:tcW w:w="2391" w:type="dxa"/>
            <w:tcMar>
              <w:top w:w="60" w:type="dxa"/>
              <w:start w:w="85" w:type="dxa"/>
              <w:bottom w:w="60" w:type="dxa"/>
              <w:end w:w="85" w:type="dxa"/>
            </w:tcMar>
          </w:tcPr>
          <w:p>
            <w:pPr>
              <w:pStyle w:val="BodyText"/>
              <w:spacing w:before="0" w:after="0" w:line="220" w:lineRule="auto"/>
            </w:pPr>
            <w:r>
              <w:t>资金落实、月度工时上限、支持方案</w:t>
            </w:r>
          </w:p>
        </w:tc>
        <w:tc>
          <w:tcPr>
            <w:tcW w:w="2452" w:type="dxa"/>
            <w:tcMar>
              <w:top w:w="60" w:type="dxa"/>
              <w:start w:w="85" w:type="dxa"/>
              <w:bottom w:w="60" w:type="dxa"/>
              <w:end w:w="85" w:type="dxa"/>
            </w:tcMar>
          </w:tcPr>
          <w:p>
            <w:pPr>
              <w:pStyle w:val="BodyText"/>
              <w:spacing w:before="0" w:after="0" w:line="220" w:lineRule="auto"/>
            </w:pPr>
            <w:r>
              <w:t>全年4份交付目标，按回款和工时复盘</w:t>
            </w:r>
          </w:p>
        </w:tc>
      </w:tr>
    </w:tbl>
    <w:p>
      <w:pPr>
        <w:pStyle w:val="BodyText"/>
      </w:pPr>
      <w:r>
        <w:t>首90天探索使用现有设备与可投入时间，实际费用另行登记；2027至2029财务预测不含未提供的2026历史研发投入。每次试用须形成参与人数、学生设计与帮助记录、教师复用反馈及费用清单。没有课时、设备或机构许可时顺延；路线图日期是计划，不是客户承诺。</w:t>
      </w:r>
    </w:p>
    <w:p>
      <w:pPr>
        <w:pStyle w:val="Heading2"/>
      </w:pPr>
      <w:bookmarkStart w:id="1018" w:name="_TocBlocky18"/>
      <w:r>
        <w:t>5.7 主要风险与应对</w:t>
      </w:r>
      <w:bookmarkEnd w:id="1018"/>
    </w:p>
    <w:p>
      <w:pPr>
        <w:pStyle w:val="BodyText"/>
      </w:pPr>
      <w:r>
        <w:t>五项主要风险是儿童入门与教师复用、模型内容及权限、服务产能和成本、机构采购回款、数据与学校准入。最可能使本计划无法成立的是学生始终不能自主改造或教师无法复用。Table 5（表5）给出预警、收缩条件和责任，模型费用、工时、合同量及收款风险对应附录C情景。</w:t>
      </w:r>
    </w:p>
    <w:p>
      <w:pPr>
        <w:pStyle w:val="Tabletitle"/>
        <w:keepNext/>
      </w:pPr>
      <w:r>
        <w:t>Table 5. 主要风险与响应</w:t>
      </w:r>
    </w:p>
    <w:tbl>
      <w:tblPr>
        <w:tblStyle w:val="TableGrid"/>
        <w:tblW w:w="8950" w:type="dxa"/>
        <w:tblInd w:w="85" w:type="dxa"/>
        <w:tblLayout w:type="fixed"/>
        <w:tblLook w:firstRow="1"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blPr>
      <w:tblGrid>
        <w:gridCol w:w="1721"/>
        <w:gridCol w:w="2547"/>
        <w:gridCol w:w="3580"/>
        <w:gridCol w:w="1102"/>
      </w:tblGrid>
      <w:tr>
        <w:trPr>
          <w:cantSplit/>
          <w:tblHeader w:val="true"/>
        </w:trPr>
        <w:tc>
          <w:tcPr>
            <w:tcW w:w="1721" w:type="dxa"/>
            <w:tcMar>
              <w:top w:w="60" w:type="dxa"/>
              <w:start w:w="85" w:type="dxa"/>
              <w:bottom w:w="60" w:type="dxa"/>
              <w:end w:w="85" w:type="dxa"/>
            </w:tcMar>
          </w:tcPr>
          <w:p>
            <w:pPr>
              <w:pStyle w:val="BodyText"/>
              <w:spacing w:before="0" w:after="0" w:line="220" w:lineRule="auto"/>
            </w:pPr>
            <w:r>
              <w:t>风险与程度</w:t>
            </w:r>
          </w:p>
        </w:tc>
        <w:tc>
          <w:tcPr>
            <w:tcW w:w="2547" w:type="dxa"/>
            <w:tcMar>
              <w:top w:w="60" w:type="dxa"/>
              <w:start w:w="85" w:type="dxa"/>
              <w:bottom w:w="60" w:type="dxa"/>
              <w:end w:w="85" w:type="dxa"/>
            </w:tcMar>
          </w:tcPr>
          <w:p>
            <w:pPr>
              <w:pStyle w:val="BodyText"/>
              <w:spacing w:before="0" w:after="0" w:line="220" w:lineRule="auto"/>
            </w:pPr>
            <w:r>
              <w:t>预警与检查</w:t>
            </w:r>
          </w:p>
        </w:tc>
        <w:tc>
          <w:tcPr>
            <w:tcW w:w="3580" w:type="dxa"/>
            <w:tcMar>
              <w:top w:w="60" w:type="dxa"/>
              <w:start w:w="85" w:type="dxa"/>
              <w:bottom w:w="60" w:type="dxa"/>
              <w:end w:w="85" w:type="dxa"/>
            </w:tcMar>
          </w:tcPr>
          <w:p>
            <w:pPr>
              <w:pStyle w:val="BodyText"/>
              <w:spacing w:before="0" w:after="0" w:line="220" w:lineRule="auto"/>
            </w:pPr>
            <w:r>
              <w:t>预防与触发后的行动</w:t>
            </w:r>
          </w:p>
        </w:tc>
        <w:tc>
          <w:tcPr>
            <w:tcW w:w="1102" w:type="dxa"/>
            <w:tcMar>
              <w:top w:w="60" w:type="dxa"/>
              <w:start w:w="85" w:type="dxa"/>
              <w:bottom w:w="60" w:type="dxa"/>
              <w:end w:w="85" w:type="dxa"/>
            </w:tcMar>
          </w:tcPr>
          <w:p>
            <w:pPr>
              <w:pStyle w:val="BodyText"/>
              <w:spacing w:before="0" w:after="0" w:line="220" w:lineRule="auto"/>
            </w:pPr>
            <w:r>
              <w:t>责任</w:t>
            </w:r>
          </w:p>
        </w:tc>
      </w:tr>
      <w:tr>
        <w:trPr>
          <w:cantSplit/>
        </w:trPr>
        <w:tc>
          <w:tcPr>
            <w:tcW w:w="1721" w:type="dxa"/>
            <w:tcMar>
              <w:top w:w="60" w:type="dxa"/>
              <w:start w:w="85" w:type="dxa"/>
              <w:bottom w:w="60" w:type="dxa"/>
              <w:end w:w="85" w:type="dxa"/>
            </w:tcMar>
          </w:tcPr>
          <w:p>
            <w:pPr>
              <w:pStyle w:val="BodyText"/>
              <w:spacing w:before="0" w:after="0" w:line="220" w:lineRule="auto"/>
            </w:pPr>
            <w:r>
              <w:t>儿童适配与复用；高</w:t>
            </w:r>
          </w:p>
        </w:tc>
        <w:tc>
          <w:tcPr>
            <w:tcW w:w="2547" w:type="dxa"/>
            <w:tcMar>
              <w:top w:w="60" w:type="dxa"/>
              <w:start w:w="85" w:type="dxa"/>
              <w:bottom w:w="60" w:type="dxa"/>
              <w:end w:w="85" w:type="dxa"/>
            </w:tcMar>
          </w:tcPr>
          <w:p>
            <w:pPr>
              <w:pStyle w:val="BodyText"/>
              <w:spacing w:before="0" w:after="0" w:line="220" w:lineRule="auto"/>
            </w:pPr>
            <w:r>
              <w:t>每轮记录自主改造、解释和帮助；两轮未达门槛</w:t>
            </w:r>
          </w:p>
        </w:tc>
        <w:tc>
          <w:tcPr>
            <w:tcW w:w="3580" w:type="dxa"/>
            <w:tcMar>
              <w:top w:w="60" w:type="dxa"/>
              <w:start w:w="85" w:type="dxa"/>
              <w:bottom w:w="60" w:type="dxa"/>
              <w:end w:w="85" w:type="dxa"/>
            </w:tcMar>
          </w:tcPr>
          <w:p>
            <w:pPr>
              <w:pStyle w:val="BodyText"/>
              <w:spacing w:before="0" w:after="0" w:line="220" w:lineRule="auto"/>
            </w:pPr>
            <w:r>
              <w:t>减少部件、收窄任务；仍无复用则暂停机构扩展；下调合同量</w:t>
            </w:r>
          </w:p>
        </w:tc>
        <w:tc>
          <w:tcPr>
            <w:tcW w:w="1102" w:type="dxa"/>
            <w:tcMar>
              <w:top w:w="60" w:type="dxa"/>
              <w:start w:w="85" w:type="dxa"/>
              <w:bottom w:w="60" w:type="dxa"/>
              <w:end w:w="85" w:type="dxa"/>
            </w:tcMar>
          </w:tcPr>
          <w:p>
            <w:pPr>
              <w:pStyle w:val="BodyText"/>
              <w:spacing w:before="0" w:after="0" w:line="220" w:lineRule="auto"/>
            </w:pPr>
            <w:r>
              <w:t>教学运营</w:t>
            </w:r>
          </w:p>
        </w:tc>
      </w:tr>
      <w:tr>
        <w:trPr>
          <w:cantSplit/>
        </w:trPr>
        <w:tc>
          <w:tcPr>
            <w:tcW w:w="1721" w:type="dxa"/>
            <w:tcMar>
              <w:top w:w="60" w:type="dxa"/>
              <w:start w:w="85" w:type="dxa"/>
              <w:bottom w:w="60" w:type="dxa"/>
              <w:end w:w="85" w:type="dxa"/>
            </w:tcMar>
          </w:tcPr>
          <w:p>
            <w:pPr>
              <w:pStyle w:val="BodyText"/>
              <w:spacing w:before="0" w:after="0" w:line="220" w:lineRule="auto"/>
            </w:pPr>
            <w:r>
              <w:t>模型内容与工具；中高</w:t>
            </w:r>
          </w:p>
        </w:tc>
        <w:tc>
          <w:tcPr>
            <w:tcW w:w="2547" w:type="dxa"/>
            <w:tcMar>
              <w:top w:w="60" w:type="dxa"/>
              <w:start w:w="85" w:type="dxa"/>
              <w:bottom w:w="60" w:type="dxa"/>
              <w:end w:w="85" w:type="dxa"/>
            </w:tcMar>
          </w:tcPr>
          <w:p>
            <w:pPr>
              <w:pStyle w:val="BodyText"/>
              <w:spacing w:before="0" w:after="0" w:line="220" w:lineRule="auto"/>
            </w:pPr>
            <w:r>
              <w:t>每次活动教师检查输出、权限；出现不当内容或越界需求</w:t>
            </w:r>
          </w:p>
        </w:tc>
        <w:tc>
          <w:tcPr>
            <w:tcW w:w="3580" w:type="dxa"/>
            <w:tcMar>
              <w:top w:w="60" w:type="dxa"/>
              <w:start w:w="85" w:type="dxa"/>
              <w:bottom w:w="60" w:type="dxa"/>
              <w:end w:w="85" w:type="dxa"/>
            </w:tcMar>
          </w:tcPr>
          <w:p>
            <w:pPr>
              <w:pStyle w:val="BodyText"/>
              <w:spacing w:before="0" w:after="0" w:line="220" w:lineRule="auto"/>
            </w:pPr>
            <w:r>
              <w:t>先用合成角色；限定工具；停止该流程并复核，不承诺绝对安全</w:t>
            </w:r>
          </w:p>
        </w:tc>
        <w:tc>
          <w:tcPr>
            <w:tcW w:w="1102" w:type="dxa"/>
            <w:tcMar>
              <w:top w:w="60" w:type="dxa"/>
              <w:start w:w="85" w:type="dxa"/>
              <w:bottom w:w="60" w:type="dxa"/>
              <w:end w:w="85" w:type="dxa"/>
            </w:tcMar>
          </w:tcPr>
          <w:p>
            <w:pPr>
              <w:pStyle w:val="BodyText"/>
              <w:spacing w:before="0" w:after="0" w:line="220" w:lineRule="auto"/>
            </w:pPr>
            <w:r>
              <w:t>产品技术</w:t>
            </w:r>
          </w:p>
        </w:tc>
      </w:tr>
      <w:tr>
        <w:trPr>
          <w:cantSplit/>
        </w:trPr>
        <w:tc>
          <w:tcPr>
            <w:tcW w:w="1721" w:type="dxa"/>
            <w:tcMar>
              <w:top w:w="60" w:type="dxa"/>
              <w:start w:w="85" w:type="dxa"/>
              <w:bottom w:w="60" w:type="dxa"/>
              <w:end w:w="85" w:type="dxa"/>
            </w:tcMar>
          </w:tcPr>
          <w:p>
            <w:pPr>
              <w:pStyle w:val="BodyText"/>
              <w:spacing w:before="0" w:after="0" w:line="220" w:lineRule="auto"/>
            </w:pPr>
            <w:r>
              <w:t>产能与模型成本；高</w:t>
            </w:r>
          </w:p>
        </w:tc>
        <w:tc>
          <w:tcPr>
            <w:tcW w:w="2547" w:type="dxa"/>
            <w:tcMar>
              <w:top w:w="60" w:type="dxa"/>
              <w:start w:w="85" w:type="dxa"/>
              <w:bottom w:w="60" w:type="dxa"/>
              <w:end w:w="85" w:type="dxa"/>
            </w:tcMar>
          </w:tcPr>
          <w:p>
            <w:pPr>
              <w:pStyle w:val="BodyText"/>
              <w:spacing w:before="0" w:after="0" w:line="220" w:lineRule="auto"/>
            </w:pPr>
            <w:r>
              <w:t>每周核对80小时内部/月与240小时总/月；模型费超预算50%</w:t>
            </w:r>
          </w:p>
        </w:tc>
        <w:tc>
          <w:tcPr>
            <w:tcW w:w="3580" w:type="dxa"/>
            <w:tcMar>
              <w:top w:w="60" w:type="dxa"/>
              <w:start w:w="85" w:type="dxa"/>
              <w:bottom w:w="60" w:type="dxa"/>
              <w:end w:w="85" w:type="dxa"/>
            </w:tcMar>
          </w:tcPr>
          <w:p>
            <w:pPr>
              <w:pStyle w:val="BodyText"/>
              <w:spacing w:before="0" w:after="0" w:line="220" w:lineRule="auto"/>
            </w:pPr>
            <w:r>
              <w:t>按需增援、调整额度与报价；超能力改期/拒单；对应悲观工时成本</w:t>
            </w:r>
          </w:p>
        </w:tc>
        <w:tc>
          <w:tcPr>
            <w:tcW w:w="1102" w:type="dxa"/>
            <w:tcMar>
              <w:top w:w="60" w:type="dxa"/>
              <w:start w:w="85" w:type="dxa"/>
              <w:bottom w:w="60" w:type="dxa"/>
              <w:end w:w="85" w:type="dxa"/>
            </w:tcMar>
          </w:tcPr>
          <w:p>
            <w:pPr>
              <w:pStyle w:val="BodyText"/>
              <w:spacing w:before="0" w:after="0" w:line="220" w:lineRule="auto"/>
            </w:pPr>
            <w:r>
              <w:t>产品技术</w:t>
            </w:r>
          </w:p>
        </w:tc>
      </w:tr>
      <w:tr>
        <w:trPr>
          <w:cantSplit/>
        </w:trPr>
        <w:tc>
          <w:tcPr>
            <w:tcW w:w="1721" w:type="dxa"/>
            <w:tcMar>
              <w:top w:w="60" w:type="dxa"/>
              <w:start w:w="85" w:type="dxa"/>
              <w:bottom w:w="60" w:type="dxa"/>
              <w:end w:w="85" w:type="dxa"/>
            </w:tcMar>
          </w:tcPr>
          <w:p>
            <w:pPr>
              <w:pStyle w:val="BodyText"/>
              <w:spacing w:before="0" w:after="0" w:line="220" w:lineRule="auto"/>
            </w:pPr>
            <w:r>
              <w:t>采购回款与现金；高</w:t>
            </w:r>
          </w:p>
        </w:tc>
        <w:tc>
          <w:tcPr>
            <w:tcW w:w="2547" w:type="dxa"/>
            <w:tcMar>
              <w:top w:w="60" w:type="dxa"/>
              <w:start w:w="85" w:type="dxa"/>
              <w:bottom w:w="60" w:type="dxa"/>
              <w:end w:w="85" w:type="dxa"/>
            </w:tcMar>
          </w:tcPr>
          <w:p>
            <w:pPr>
              <w:pStyle w:val="BodyText"/>
              <w:spacing w:before="0" w:after="0" w:line="220" w:lineRule="auto"/>
            </w:pPr>
            <w:r>
              <w:t>每月滚动现金；低于2万元或延期超过约定</w:t>
            </w:r>
          </w:p>
        </w:tc>
        <w:tc>
          <w:tcPr>
            <w:tcW w:w="3580" w:type="dxa"/>
            <w:tcMar>
              <w:top w:w="60" w:type="dxa"/>
              <w:start w:w="85" w:type="dxa"/>
              <w:bottom w:w="60" w:type="dxa"/>
              <w:end w:w="85" w:type="dxa"/>
            </w:tcMar>
          </w:tcPr>
          <w:p>
            <w:pPr>
              <w:pStyle w:val="BodyText"/>
              <w:spacing w:before="0" w:after="0" w:line="220" w:lineRule="auto"/>
            </w:pPr>
            <w:r>
              <w:t>争取预付款、收缩固定投入；资金未落实停止扩张，重算延期</w:t>
            </w:r>
          </w:p>
        </w:tc>
        <w:tc>
          <w:tcPr>
            <w:tcW w:w="1102" w:type="dxa"/>
            <w:tcMar>
              <w:top w:w="60" w:type="dxa"/>
              <w:start w:w="85" w:type="dxa"/>
              <w:bottom w:w="60" w:type="dxa"/>
              <w:end w:w="85" w:type="dxa"/>
            </w:tcMar>
          </w:tcPr>
          <w:p>
            <w:pPr>
              <w:pStyle w:val="BodyText"/>
              <w:spacing w:before="0" w:after="0" w:line="220" w:lineRule="auto"/>
            </w:pPr>
            <w:r>
              <w:t>两角色共同</w:t>
            </w:r>
          </w:p>
        </w:tc>
      </w:tr>
      <w:tr>
        <w:trPr>
          <w:cantSplit/>
        </w:trPr>
        <w:tc>
          <w:tcPr>
            <w:tcW w:w="1721" w:type="dxa"/>
            <w:tcMar>
              <w:top w:w="60" w:type="dxa"/>
              <w:start w:w="85" w:type="dxa"/>
              <w:bottom w:w="60" w:type="dxa"/>
              <w:end w:w="85" w:type="dxa"/>
            </w:tcMar>
          </w:tcPr>
          <w:p>
            <w:pPr>
              <w:pStyle w:val="BodyText"/>
              <w:spacing w:before="0" w:after="0" w:line="220" w:lineRule="auto"/>
            </w:pPr>
            <w:r>
              <w:t>数据与课堂准入；高</w:t>
            </w:r>
          </w:p>
        </w:tc>
        <w:tc>
          <w:tcPr>
            <w:tcW w:w="2547" w:type="dxa"/>
            <w:tcMar>
              <w:top w:w="60" w:type="dxa"/>
              <w:start w:w="85" w:type="dxa"/>
              <w:bottom w:w="60" w:type="dxa"/>
              <w:end w:w="85" w:type="dxa"/>
            </w:tcMar>
          </w:tcPr>
          <w:p>
            <w:pPr>
              <w:pStyle w:val="BodyText"/>
              <w:spacing w:before="0" w:after="0" w:line="220" w:lineRule="auto"/>
            </w:pPr>
            <w:r>
              <w:t>每次核对未成年人信息、资料权利、设备和机构许可</w:t>
            </w:r>
          </w:p>
        </w:tc>
        <w:tc>
          <w:tcPr>
            <w:tcW w:w="3580" w:type="dxa"/>
            <w:tcMar>
              <w:top w:w="60" w:type="dxa"/>
              <w:start w:w="85" w:type="dxa"/>
              <w:bottom w:w="60" w:type="dxa"/>
              <w:end w:w="85" w:type="dxa"/>
            </w:tcMar>
          </w:tcPr>
          <w:p>
            <w:pPr>
              <w:pStyle w:val="BodyText"/>
              <w:spacing w:before="0" w:after="0" w:line="220" w:lineRule="auto"/>
            </w:pPr>
            <w:r>
              <w:t>先用合成/获许可资料；不满足要求暂停，确定责任后再启动</w:t>
            </w:r>
          </w:p>
        </w:tc>
        <w:tc>
          <w:tcPr>
            <w:tcW w:w="1102" w:type="dxa"/>
            <w:tcMar>
              <w:top w:w="60" w:type="dxa"/>
              <w:start w:w="85" w:type="dxa"/>
              <w:bottom w:w="60" w:type="dxa"/>
              <w:end w:w="85" w:type="dxa"/>
            </w:tcMar>
          </w:tcPr>
          <w:p>
            <w:pPr>
              <w:pStyle w:val="BodyText"/>
              <w:spacing w:before="0" w:after="0" w:line="220" w:lineRule="auto"/>
            </w:pPr>
            <w:r>
              <w:t>教学运营</w:t>
            </w:r>
          </w:p>
        </w:tc>
      </w:tr>
    </w:tbl>
    <w:p>
      <w:pPr>
        <w:pStyle w:val="BodyText"/>
      </w:pPr>
      <w:r>
        <w:t>风险程度为当前定性判断，没有足够历史数据估计发生概率。每次报价和试用后更新风险记录，保留实际工时与费用。若真实数据显著偏离模型，重新预测现金并调整计划；不通过修改表格目标维持原有增长叙事。</w:t>
      </w:r>
    </w:p>
    <w:p>
      <w:pPr>
        <w:pStyle w:val="Heading1"/>
        <w:pageBreakBefore/>
      </w:pPr>
      <w:bookmarkStart w:id="1019" w:name="_TocBlocky19"/>
      <w:r>
        <w:t>Appendix A. 规划假设与待确认事项</w:t>
      </w:r>
      <w:bookmarkEnd w:id="1019"/>
    </w:p>
    <w:p>
      <w:pPr>
        <w:pStyle w:val="BodyText"/>
      </w:pPr>
      <w:r>
        <w:t>所有金额与数量均为经营预算，未获得真实客户合同和费用凭证支持。Table 6（表6）与配套财务工作簿采用相同假设编号，后续应逐项替换为实际数据。2027至2029的经营预测不等于已实现收入，也不包含未披露的历史投入。</w:t>
      </w:r>
    </w:p>
    <w:p>
      <w:pPr>
        <w:pStyle w:val="Tabletitle"/>
        <w:keepNext/>
      </w:pPr>
      <w:r>
        <w:t>Table 6. 财务假设登记</w:t>
      </w:r>
    </w:p>
    <w:tbl>
      <w:tblPr>
        <w:tblStyle w:val="TableGrid"/>
        <w:tblW w:w="8950" w:type="dxa"/>
        <w:tblInd w:w="85" w:type="dxa"/>
        <w:tblLayout w:type="fixed"/>
        <w:tblLook w:firstRow="1"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blPr>
      <w:tblGrid>
        <w:gridCol w:w="4392"/>
        <w:gridCol w:w="950"/>
        <w:gridCol w:w="950"/>
        <w:gridCol w:w="950"/>
        <w:gridCol w:w="1708"/>
      </w:tblGrid>
      <w:tr>
        <w:trPr>
          <w:cantSplit/>
          <w:tblHeader w:val="true"/>
        </w:trPr>
        <w:tc>
          <w:tcPr>
            <w:tcW w:w="4392" w:type="dxa"/>
            <w:tcMar>
              <w:top w:w="60" w:type="dxa"/>
              <w:start w:w="85" w:type="dxa"/>
              <w:bottom w:w="60" w:type="dxa"/>
              <w:end w:w="85" w:type="dxa"/>
            </w:tcMar>
          </w:tcPr>
          <w:p>
            <w:pPr>
              <w:pStyle w:val="BodyText"/>
              <w:spacing w:before="0" w:after="0" w:line="220" w:lineRule="auto"/>
            </w:pPr>
            <w:r>
              <w:t>编号与假设</w:t>
            </w:r>
          </w:p>
        </w:tc>
        <w:tc>
          <w:tcPr>
            <w:tcW w:w="950" w:type="dxa"/>
            <w:tcMar>
              <w:top w:w="60" w:type="dxa"/>
              <w:start w:w="85" w:type="dxa"/>
              <w:bottom w:w="60" w:type="dxa"/>
              <w:end w:w="85" w:type="dxa"/>
            </w:tcMar>
          </w:tcPr>
          <w:p>
            <w:pPr>
              <w:pStyle w:val="BodyText"/>
              <w:spacing w:before="0" w:after="0" w:line="220" w:lineRule="auto"/>
            </w:pPr>
            <w:r>
              <w:t>基准</w:t>
            </w:r>
          </w:p>
        </w:tc>
        <w:tc>
          <w:tcPr>
            <w:tcW w:w="950" w:type="dxa"/>
            <w:tcMar>
              <w:top w:w="60" w:type="dxa"/>
              <w:start w:w="85" w:type="dxa"/>
              <w:bottom w:w="60" w:type="dxa"/>
              <w:end w:w="85" w:type="dxa"/>
            </w:tcMar>
          </w:tcPr>
          <w:p>
            <w:pPr>
              <w:pStyle w:val="BodyText"/>
              <w:spacing w:before="0" w:after="0" w:line="220" w:lineRule="auto"/>
            </w:pPr>
            <w:r>
              <w:t>悲观</w:t>
            </w:r>
          </w:p>
        </w:tc>
        <w:tc>
          <w:tcPr>
            <w:tcW w:w="950" w:type="dxa"/>
            <w:tcMar>
              <w:top w:w="60" w:type="dxa"/>
              <w:start w:w="85" w:type="dxa"/>
              <w:bottom w:w="60" w:type="dxa"/>
              <w:end w:w="85" w:type="dxa"/>
            </w:tcMar>
          </w:tcPr>
          <w:p>
            <w:pPr>
              <w:pStyle w:val="BodyText"/>
              <w:spacing w:before="0" w:after="0" w:line="220" w:lineRule="auto"/>
            </w:pPr>
            <w:r>
              <w:t>积极</w:t>
            </w:r>
          </w:p>
        </w:tc>
        <w:tc>
          <w:tcPr>
            <w:tcW w:w="1708" w:type="dxa"/>
            <w:tcMar>
              <w:top w:w="60" w:type="dxa"/>
              <w:start w:w="85" w:type="dxa"/>
              <w:bottom w:w="60" w:type="dxa"/>
              <w:end w:w="85" w:type="dxa"/>
            </w:tcMar>
          </w:tcPr>
          <w:p>
            <w:pPr>
              <w:pStyle w:val="BodyText"/>
              <w:spacing w:before="0" w:after="0" w:line="220" w:lineRule="auto"/>
            </w:pPr>
            <w:r>
              <w:t>单位</w:t>
            </w:r>
          </w:p>
        </w:tc>
      </w:tr>
      <w:tr>
        <w:trPr>
          <w:cantSplit/>
        </w:trPr>
        <w:tc>
          <w:tcPr>
            <w:tcW w:w="4392" w:type="dxa"/>
            <w:tcMar>
              <w:top w:w="60" w:type="dxa"/>
              <w:start w:w="85" w:type="dxa"/>
              <w:bottom w:w="60" w:type="dxa"/>
              <w:end w:w="85" w:type="dxa"/>
            </w:tcMar>
          </w:tcPr>
          <w:p>
            <w:pPr>
              <w:pStyle w:val="BodyText"/>
              <w:spacing w:before="0" w:after="0" w:line="220" w:lineRule="auto"/>
            </w:pPr>
            <w:r>
              <w:t>A01 2027合同数</w:t>
              <w:br/>
              <w:t>依据：单次范围明确的课程试点/培训/配置支持服务；未签合同</w:t>
            </w:r>
          </w:p>
        </w:tc>
        <w:tc>
          <w:tcPr>
            <w:tcW w:w="950" w:type="dxa"/>
            <w:tcMar>
              <w:top w:w="60" w:type="dxa"/>
              <w:start w:w="85" w:type="dxa"/>
              <w:bottom w:w="60" w:type="dxa"/>
              <w:end w:w="85" w:type="dxa"/>
            </w:tcMar>
          </w:tcPr>
          <w:p>
            <w:pPr>
              <w:pStyle w:val="BodyText"/>
              <w:spacing w:before="0" w:after="0" w:line="220" w:lineRule="auto"/>
              <w:jc w:val="right"/>
            </w:pPr>
            <w:r>
              <w:t>4</w:t>
            </w:r>
          </w:p>
        </w:tc>
        <w:tc>
          <w:tcPr>
            <w:tcW w:w="950" w:type="dxa"/>
            <w:tcMar>
              <w:top w:w="60" w:type="dxa"/>
              <w:start w:w="85" w:type="dxa"/>
              <w:bottom w:w="60" w:type="dxa"/>
              <w:end w:w="85" w:type="dxa"/>
            </w:tcMar>
          </w:tcPr>
          <w:p>
            <w:pPr>
              <w:pStyle w:val="BodyText"/>
              <w:spacing w:before="0" w:after="0" w:line="220" w:lineRule="auto"/>
              <w:jc w:val="right"/>
            </w:pPr>
            <w:r>
              <w:t>2</w:t>
            </w:r>
          </w:p>
        </w:tc>
        <w:tc>
          <w:tcPr>
            <w:tcW w:w="950" w:type="dxa"/>
            <w:tcMar>
              <w:top w:w="60" w:type="dxa"/>
              <w:start w:w="85" w:type="dxa"/>
              <w:bottom w:w="60" w:type="dxa"/>
              <w:end w:w="85" w:type="dxa"/>
            </w:tcMar>
          </w:tcPr>
          <w:p>
            <w:pPr>
              <w:pStyle w:val="BodyText"/>
              <w:spacing w:before="0" w:after="0" w:line="220" w:lineRule="auto"/>
              <w:jc w:val="right"/>
            </w:pPr>
            <w:r>
              <w:t>6</w:t>
            </w:r>
          </w:p>
        </w:tc>
        <w:tc>
          <w:tcPr>
            <w:tcW w:w="1708" w:type="dxa"/>
            <w:tcMar>
              <w:top w:w="60" w:type="dxa"/>
              <w:start w:w="85" w:type="dxa"/>
              <w:bottom w:w="60" w:type="dxa"/>
              <w:end w:w="85" w:type="dxa"/>
            </w:tcMar>
          </w:tcPr>
          <w:p>
            <w:pPr>
              <w:pStyle w:val="BodyText"/>
              <w:spacing w:before="0" w:after="0" w:line="220" w:lineRule="auto"/>
            </w:pPr>
            <w:r>
              <w:t>份</w:t>
            </w:r>
          </w:p>
        </w:tc>
      </w:tr>
      <w:tr>
        <w:trPr>
          <w:cantSplit/>
        </w:trPr>
        <w:tc>
          <w:tcPr>
            <w:tcW w:w="4392" w:type="dxa"/>
            <w:tcMar>
              <w:top w:w="60" w:type="dxa"/>
              <w:start w:w="85" w:type="dxa"/>
              <w:bottom w:w="60" w:type="dxa"/>
              <w:end w:w="85" w:type="dxa"/>
            </w:tcMar>
          </w:tcPr>
          <w:p>
            <w:pPr>
              <w:pStyle w:val="BodyText"/>
              <w:spacing w:before="0" w:after="0" w:line="220" w:lineRule="auto"/>
            </w:pPr>
            <w:r>
              <w:t>A02 2028合同数</w:t>
              <w:br/>
              <w:t>依据：不自动假设续约；全部为当年交付合同</w:t>
            </w:r>
          </w:p>
        </w:tc>
        <w:tc>
          <w:tcPr>
            <w:tcW w:w="950" w:type="dxa"/>
            <w:tcMar>
              <w:top w:w="60" w:type="dxa"/>
              <w:start w:w="85" w:type="dxa"/>
              <w:bottom w:w="60" w:type="dxa"/>
              <w:end w:w="85" w:type="dxa"/>
            </w:tcMar>
          </w:tcPr>
          <w:p>
            <w:pPr>
              <w:pStyle w:val="BodyText"/>
              <w:spacing w:before="0" w:after="0" w:line="220" w:lineRule="auto"/>
              <w:jc w:val="right"/>
            </w:pPr>
            <w:r>
              <w:t>10</w:t>
            </w:r>
          </w:p>
        </w:tc>
        <w:tc>
          <w:tcPr>
            <w:tcW w:w="950" w:type="dxa"/>
            <w:tcMar>
              <w:top w:w="60" w:type="dxa"/>
              <w:start w:w="85" w:type="dxa"/>
              <w:bottom w:w="60" w:type="dxa"/>
              <w:end w:w="85" w:type="dxa"/>
            </w:tcMar>
          </w:tcPr>
          <w:p>
            <w:pPr>
              <w:pStyle w:val="BodyText"/>
              <w:spacing w:before="0" w:after="0" w:line="220" w:lineRule="auto"/>
              <w:jc w:val="right"/>
            </w:pPr>
            <w:r>
              <w:t>4</w:t>
            </w:r>
          </w:p>
        </w:tc>
        <w:tc>
          <w:tcPr>
            <w:tcW w:w="950" w:type="dxa"/>
            <w:tcMar>
              <w:top w:w="60" w:type="dxa"/>
              <w:start w:w="85" w:type="dxa"/>
              <w:bottom w:w="60" w:type="dxa"/>
              <w:end w:w="85" w:type="dxa"/>
            </w:tcMar>
          </w:tcPr>
          <w:p>
            <w:pPr>
              <w:pStyle w:val="BodyText"/>
              <w:spacing w:before="0" w:after="0" w:line="220" w:lineRule="auto"/>
              <w:jc w:val="right"/>
            </w:pPr>
            <w:r>
              <w:t>14</w:t>
            </w:r>
          </w:p>
        </w:tc>
        <w:tc>
          <w:tcPr>
            <w:tcW w:w="1708" w:type="dxa"/>
            <w:tcMar>
              <w:top w:w="60" w:type="dxa"/>
              <w:start w:w="85" w:type="dxa"/>
              <w:bottom w:w="60" w:type="dxa"/>
              <w:end w:w="85" w:type="dxa"/>
            </w:tcMar>
          </w:tcPr>
          <w:p>
            <w:pPr>
              <w:pStyle w:val="BodyText"/>
              <w:spacing w:before="0" w:after="0" w:line="220" w:lineRule="auto"/>
            </w:pPr>
            <w:r>
              <w:t>份</w:t>
            </w:r>
          </w:p>
        </w:tc>
      </w:tr>
      <w:tr>
        <w:trPr>
          <w:cantSplit/>
        </w:trPr>
        <w:tc>
          <w:tcPr>
            <w:tcW w:w="4392" w:type="dxa"/>
            <w:tcMar>
              <w:top w:w="60" w:type="dxa"/>
              <w:start w:w="85" w:type="dxa"/>
              <w:bottom w:w="60" w:type="dxa"/>
              <w:end w:w="85" w:type="dxa"/>
            </w:tcMar>
          </w:tcPr>
          <w:p>
            <w:pPr>
              <w:pStyle w:val="BodyText"/>
              <w:spacing w:before="0" w:after="0" w:line="220" w:lineRule="auto"/>
            </w:pPr>
            <w:r>
              <w:t>A03 2029合同数</w:t>
              <w:br/>
              <w:t>依据：可触达客户名单与转化均待验证</w:t>
            </w:r>
          </w:p>
        </w:tc>
        <w:tc>
          <w:tcPr>
            <w:tcW w:w="950" w:type="dxa"/>
            <w:tcMar>
              <w:top w:w="60" w:type="dxa"/>
              <w:start w:w="85" w:type="dxa"/>
              <w:bottom w:w="60" w:type="dxa"/>
              <w:end w:w="85" w:type="dxa"/>
            </w:tcMar>
          </w:tcPr>
          <w:p>
            <w:pPr>
              <w:pStyle w:val="BodyText"/>
              <w:spacing w:before="0" w:after="0" w:line="220" w:lineRule="auto"/>
              <w:jc w:val="right"/>
            </w:pPr>
            <w:r>
              <w:t>18</w:t>
            </w:r>
          </w:p>
        </w:tc>
        <w:tc>
          <w:tcPr>
            <w:tcW w:w="950" w:type="dxa"/>
            <w:tcMar>
              <w:top w:w="60" w:type="dxa"/>
              <w:start w:w="85" w:type="dxa"/>
              <w:bottom w:w="60" w:type="dxa"/>
              <w:end w:w="85" w:type="dxa"/>
            </w:tcMar>
          </w:tcPr>
          <w:p>
            <w:pPr>
              <w:pStyle w:val="BodyText"/>
              <w:spacing w:before="0" w:after="0" w:line="220" w:lineRule="auto"/>
              <w:jc w:val="right"/>
            </w:pPr>
            <w:r>
              <w:t>6</w:t>
            </w:r>
          </w:p>
        </w:tc>
        <w:tc>
          <w:tcPr>
            <w:tcW w:w="950" w:type="dxa"/>
            <w:tcMar>
              <w:top w:w="60" w:type="dxa"/>
              <w:start w:w="85" w:type="dxa"/>
              <w:bottom w:w="60" w:type="dxa"/>
              <w:end w:w="85" w:type="dxa"/>
            </w:tcMar>
          </w:tcPr>
          <w:p>
            <w:pPr>
              <w:pStyle w:val="BodyText"/>
              <w:spacing w:before="0" w:after="0" w:line="220" w:lineRule="auto"/>
              <w:jc w:val="right"/>
            </w:pPr>
            <w:r>
              <w:t>24</w:t>
            </w:r>
          </w:p>
        </w:tc>
        <w:tc>
          <w:tcPr>
            <w:tcW w:w="1708" w:type="dxa"/>
            <w:tcMar>
              <w:top w:w="60" w:type="dxa"/>
              <w:start w:w="85" w:type="dxa"/>
              <w:bottom w:w="60" w:type="dxa"/>
              <w:end w:w="85" w:type="dxa"/>
            </w:tcMar>
          </w:tcPr>
          <w:p>
            <w:pPr>
              <w:pStyle w:val="BodyText"/>
              <w:spacing w:before="0" w:after="0" w:line="220" w:lineRule="auto"/>
            </w:pPr>
            <w:r>
              <w:t>份</w:t>
            </w:r>
          </w:p>
        </w:tc>
      </w:tr>
      <w:tr>
        <w:trPr>
          <w:cantSplit/>
        </w:trPr>
        <w:tc>
          <w:tcPr>
            <w:tcW w:w="4392" w:type="dxa"/>
            <w:tcMar>
              <w:top w:w="60" w:type="dxa"/>
              <w:start w:w="85" w:type="dxa"/>
              <w:bottom w:w="60" w:type="dxa"/>
              <w:end w:w="85" w:type="dxa"/>
            </w:tcMar>
          </w:tcPr>
          <w:p>
            <w:pPr>
              <w:pStyle w:val="BodyText"/>
              <w:spacing w:before="0" w:after="0" w:line="220" w:lineRule="auto"/>
            </w:pPr>
            <w:r>
              <w:t>A04 每合同含税总预算</w:t>
              <w:br/>
              <w:t>依据：示例均价；具体机构须逐项报价</w:t>
            </w:r>
          </w:p>
        </w:tc>
        <w:tc>
          <w:tcPr>
            <w:tcW w:w="950" w:type="dxa"/>
            <w:tcMar>
              <w:top w:w="60" w:type="dxa"/>
              <w:start w:w="85" w:type="dxa"/>
              <w:bottom w:w="60" w:type="dxa"/>
              <w:end w:w="85" w:type="dxa"/>
            </w:tcMar>
          </w:tcPr>
          <w:p>
            <w:pPr>
              <w:pStyle w:val="BodyText"/>
              <w:spacing w:before="0" w:after="0" w:line="220" w:lineRule="auto"/>
              <w:jc w:val="right"/>
            </w:pPr>
            <w:r>
              <w:t>18,000</w:t>
            </w:r>
          </w:p>
        </w:tc>
        <w:tc>
          <w:tcPr>
            <w:tcW w:w="950" w:type="dxa"/>
            <w:tcMar>
              <w:top w:w="60" w:type="dxa"/>
              <w:start w:w="85" w:type="dxa"/>
              <w:bottom w:w="60" w:type="dxa"/>
              <w:end w:w="85" w:type="dxa"/>
            </w:tcMar>
          </w:tcPr>
          <w:p>
            <w:pPr>
              <w:pStyle w:val="BodyText"/>
              <w:spacing w:before="0" w:after="0" w:line="220" w:lineRule="auto"/>
              <w:jc w:val="right"/>
            </w:pPr>
            <w:r>
              <w:t>15,000</w:t>
            </w:r>
          </w:p>
        </w:tc>
        <w:tc>
          <w:tcPr>
            <w:tcW w:w="950" w:type="dxa"/>
            <w:tcMar>
              <w:top w:w="60" w:type="dxa"/>
              <w:start w:w="85" w:type="dxa"/>
              <w:bottom w:w="60" w:type="dxa"/>
              <w:end w:w="85" w:type="dxa"/>
            </w:tcMar>
          </w:tcPr>
          <w:p>
            <w:pPr>
              <w:pStyle w:val="BodyText"/>
              <w:spacing w:before="0" w:after="0" w:line="220" w:lineRule="auto"/>
              <w:jc w:val="right"/>
            </w:pPr>
            <w:r>
              <w:t>22,000</w:t>
            </w:r>
          </w:p>
        </w:tc>
        <w:tc>
          <w:tcPr>
            <w:tcW w:w="1708" w:type="dxa"/>
            <w:tcMar>
              <w:top w:w="60" w:type="dxa"/>
              <w:start w:w="85" w:type="dxa"/>
              <w:bottom w:w="60" w:type="dxa"/>
              <w:end w:w="85" w:type="dxa"/>
            </w:tcMar>
          </w:tcPr>
          <w:p>
            <w:pPr>
              <w:pStyle w:val="BodyText"/>
              <w:spacing w:before="0" w:after="0" w:line="220" w:lineRule="auto"/>
            </w:pPr>
            <w:r>
              <w:t>元/份</w:t>
            </w:r>
          </w:p>
        </w:tc>
      </w:tr>
      <w:tr>
        <w:trPr>
          <w:cantSplit/>
        </w:trPr>
        <w:tc>
          <w:tcPr>
            <w:tcW w:w="4392" w:type="dxa"/>
            <w:tcMar>
              <w:top w:w="60" w:type="dxa"/>
              <w:start w:w="85" w:type="dxa"/>
              <w:bottom w:w="60" w:type="dxa"/>
              <w:end w:w="85" w:type="dxa"/>
            </w:tcMar>
          </w:tcPr>
          <w:p>
            <w:pPr>
              <w:pStyle w:val="BodyText"/>
              <w:spacing w:before="0" w:after="0" w:line="220" w:lineRule="auto"/>
            </w:pPr>
            <w:r>
              <w:t>A05 每合同交付工时</w:t>
              <w:br/>
              <w:t>依据：备课、培训、安装配置、支持；不含固定核心工作</w:t>
            </w:r>
          </w:p>
        </w:tc>
        <w:tc>
          <w:tcPr>
            <w:tcW w:w="950" w:type="dxa"/>
            <w:tcMar>
              <w:top w:w="60" w:type="dxa"/>
              <w:start w:w="85" w:type="dxa"/>
              <w:bottom w:w="60" w:type="dxa"/>
              <w:end w:w="85" w:type="dxa"/>
            </w:tcMar>
          </w:tcPr>
          <w:p>
            <w:pPr>
              <w:pStyle w:val="BodyText"/>
              <w:spacing w:before="0" w:after="0" w:line="220" w:lineRule="auto"/>
              <w:jc w:val="right"/>
            </w:pPr>
            <w:r>
              <w:t>80</w:t>
            </w:r>
          </w:p>
        </w:tc>
        <w:tc>
          <w:tcPr>
            <w:tcW w:w="950" w:type="dxa"/>
            <w:tcMar>
              <w:top w:w="60" w:type="dxa"/>
              <w:start w:w="85" w:type="dxa"/>
              <w:bottom w:w="60" w:type="dxa"/>
              <w:end w:w="85" w:type="dxa"/>
            </w:tcMar>
          </w:tcPr>
          <w:p>
            <w:pPr>
              <w:pStyle w:val="BodyText"/>
              <w:spacing w:before="0" w:after="0" w:line="220" w:lineRule="auto"/>
              <w:jc w:val="right"/>
            </w:pPr>
            <w:r>
              <w:t>100</w:t>
            </w:r>
          </w:p>
        </w:tc>
        <w:tc>
          <w:tcPr>
            <w:tcW w:w="950" w:type="dxa"/>
            <w:tcMar>
              <w:top w:w="60" w:type="dxa"/>
              <w:start w:w="85" w:type="dxa"/>
              <w:bottom w:w="60" w:type="dxa"/>
              <w:end w:w="85" w:type="dxa"/>
            </w:tcMar>
          </w:tcPr>
          <w:p>
            <w:pPr>
              <w:pStyle w:val="BodyText"/>
              <w:spacing w:before="0" w:after="0" w:line="220" w:lineRule="auto"/>
              <w:jc w:val="right"/>
            </w:pPr>
            <w:r>
              <w:t>70</w:t>
            </w:r>
          </w:p>
        </w:tc>
        <w:tc>
          <w:tcPr>
            <w:tcW w:w="1708" w:type="dxa"/>
            <w:tcMar>
              <w:top w:w="60" w:type="dxa"/>
              <w:start w:w="85" w:type="dxa"/>
              <w:bottom w:w="60" w:type="dxa"/>
              <w:end w:w="85" w:type="dxa"/>
            </w:tcMar>
          </w:tcPr>
          <w:p>
            <w:pPr>
              <w:pStyle w:val="BodyText"/>
              <w:spacing w:before="0" w:after="0" w:line="220" w:lineRule="auto"/>
            </w:pPr>
            <w:r>
              <w:t>小时/份</w:t>
            </w:r>
          </w:p>
        </w:tc>
      </w:tr>
      <w:tr>
        <w:trPr>
          <w:cantSplit/>
        </w:trPr>
        <w:tc>
          <w:tcPr>
            <w:tcW w:w="4392" w:type="dxa"/>
            <w:tcMar>
              <w:top w:w="60" w:type="dxa"/>
              <w:start w:w="85" w:type="dxa"/>
              <w:bottom w:w="60" w:type="dxa"/>
              <w:end w:w="85" w:type="dxa"/>
            </w:tcMar>
          </w:tcPr>
          <w:p>
            <w:pPr>
              <w:pStyle w:val="BodyText"/>
              <w:spacing w:before="0" w:after="0" w:line="220" w:lineRule="auto"/>
            </w:pPr>
            <w:r>
              <w:t>A06 交付内部工时预算</w:t>
              <w:br/>
              <w:t>依据：交付专项报酬；不与固定核心工作工时重叠</w:t>
            </w:r>
          </w:p>
        </w:tc>
        <w:tc>
          <w:tcPr>
            <w:tcW w:w="950" w:type="dxa"/>
            <w:tcMar>
              <w:top w:w="60" w:type="dxa"/>
              <w:start w:w="85" w:type="dxa"/>
              <w:bottom w:w="60" w:type="dxa"/>
              <w:end w:w="85" w:type="dxa"/>
            </w:tcMar>
          </w:tcPr>
          <w:p>
            <w:pPr>
              <w:pStyle w:val="BodyText"/>
              <w:spacing w:before="0" w:after="0" w:line="220" w:lineRule="auto"/>
              <w:jc w:val="right"/>
            </w:pPr>
            <w:r>
              <w:t>80</w:t>
            </w:r>
          </w:p>
        </w:tc>
        <w:tc>
          <w:tcPr>
            <w:tcW w:w="950" w:type="dxa"/>
            <w:tcMar>
              <w:top w:w="60" w:type="dxa"/>
              <w:start w:w="85" w:type="dxa"/>
              <w:bottom w:w="60" w:type="dxa"/>
              <w:end w:w="85" w:type="dxa"/>
            </w:tcMar>
          </w:tcPr>
          <w:p>
            <w:pPr>
              <w:pStyle w:val="BodyText"/>
              <w:spacing w:before="0" w:after="0" w:line="220" w:lineRule="auto"/>
              <w:jc w:val="right"/>
            </w:pPr>
            <w:r>
              <w:t>90</w:t>
            </w:r>
          </w:p>
        </w:tc>
        <w:tc>
          <w:tcPr>
            <w:tcW w:w="950" w:type="dxa"/>
            <w:tcMar>
              <w:top w:w="60" w:type="dxa"/>
              <w:start w:w="85" w:type="dxa"/>
              <w:bottom w:w="60" w:type="dxa"/>
              <w:end w:w="85" w:type="dxa"/>
            </w:tcMar>
          </w:tcPr>
          <w:p>
            <w:pPr>
              <w:pStyle w:val="BodyText"/>
              <w:spacing w:before="0" w:after="0" w:line="220" w:lineRule="auto"/>
              <w:jc w:val="right"/>
            </w:pPr>
            <w:r>
              <w:t>80</w:t>
            </w:r>
          </w:p>
        </w:tc>
        <w:tc>
          <w:tcPr>
            <w:tcW w:w="1708" w:type="dxa"/>
            <w:tcMar>
              <w:top w:w="60" w:type="dxa"/>
              <w:start w:w="85" w:type="dxa"/>
              <w:bottom w:w="60" w:type="dxa"/>
              <w:end w:w="85" w:type="dxa"/>
            </w:tcMar>
          </w:tcPr>
          <w:p>
            <w:pPr>
              <w:pStyle w:val="BodyText"/>
              <w:spacing w:before="0" w:after="0" w:line="220" w:lineRule="auto"/>
            </w:pPr>
            <w:r>
              <w:t>元/小时</w:t>
            </w:r>
          </w:p>
        </w:tc>
      </w:tr>
      <w:tr>
        <w:trPr>
          <w:cantSplit/>
        </w:trPr>
        <w:tc>
          <w:tcPr>
            <w:tcW w:w="4392" w:type="dxa"/>
            <w:tcMar>
              <w:top w:w="60" w:type="dxa"/>
              <w:start w:w="85" w:type="dxa"/>
              <w:bottom w:w="60" w:type="dxa"/>
              <w:end w:w="85" w:type="dxa"/>
            </w:tcMar>
          </w:tcPr>
          <w:p>
            <w:pPr>
              <w:pStyle w:val="BodyText"/>
              <w:spacing w:before="0" w:after="0" w:line="220" w:lineRule="auto"/>
            </w:pPr>
            <w:r>
              <w:t>A07 外部增援工时预算</w:t>
              <w:br/>
              <w:t>依据：超出学生团队交付工时的外包预算；尚未聘用</w:t>
            </w:r>
          </w:p>
        </w:tc>
        <w:tc>
          <w:tcPr>
            <w:tcW w:w="950" w:type="dxa"/>
            <w:tcMar>
              <w:top w:w="60" w:type="dxa"/>
              <w:start w:w="85" w:type="dxa"/>
              <w:bottom w:w="60" w:type="dxa"/>
              <w:end w:w="85" w:type="dxa"/>
            </w:tcMar>
          </w:tcPr>
          <w:p>
            <w:pPr>
              <w:pStyle w:val="BodyText"/>
              <w:spacing w:before="0" w:after="0" w:line="220" w:lineRule="auto"/>
              <w:jc w:val="right"/>
            </w:pPr>
            <w:r>
              <w:t>100</w:t>
            </w:r>
          </w:p>
        </w:tc>
        <w:tc>
          <w:tcPr>
            <w:tcW w:w="950" w:type="dxa"/>
            <w:tcMar>
              <w:top w:w="60" w:type="dxa"/>
              <w:start w:w="85" w:type="dxa"/>
              <w:bottom w:w="60" w:type="dxa"/>
              <w:end w:w="85" w:type="dxa"/>
            </w:tcMar>
          </w:tcPr>
          <w:p>
            <w:pPr>
              <w:pStyle w:val="BodyText"/>
              <w:spacing w:before="0" w:after="0" w:line="220" w:lineRule="auto"/>
              <w:jc w:val="right"/>
            </w:pPr>
            <w:r>
              <w:t>110</w:t>
            </w:r>
          </w:p>
        </w:tc>
        <w:tc>
          <w:tcPr>
            <w:tcW w:w="950" w:type="dxa"/>
            <w:tcMar>
              <w:top w:w="60" w:type="dxa"/>
              <w:start w:w="85" w:type="dxa"/>
              <w:bottom w:w="60" w:type="dxa"/>
              <w:end w:w="85" w:type="dxa"/>
            </w:tcMar>
          </w:tcPr>
          <w:p>
            <w:pPr>
              <w:pStyle w:val="BodyText"/>
              <w:spacing w:before="0" w:after="0" w:line="220" w:lineRule="auto"/>
              <w:jc w:val="right"/>
            </w:pPr>
            <w:r>
              <w:t>100</w:t>
            </w:r>
          </w:p>
        </w:tc>
        <w:tc>
          <w:tcPr>
            <w:tcW w:w="1708" w:type="dxa"/>
            <w:tcMar>
              <w:top w:w="60" w:type="dxa"/>
              <w:start w:w="85" w:type="dxa"/>
              <w:bottom w:w="60" w:type="dxa"/>
              <w:end w:w="85" w:type="dxa"/>
            </w:tcMar>
          </w:tcPr>
          <w:p>
            <w:pPr>
              <w:pStyle w:val="BodyText"/>
              <w:spacing w:before="0" w:after="0" w:line="220" w:lineRule="auto"/>
            </w:pPr>
            <w:r>
              <w:t>元/小时</w:t>
            </w:r>
          </w:p>
        </w:tc>
      </w:tr>
      <w:tr>
        <w:trPr>
          <w:cantSplit/>
        </w:trPr>
        <w:tc>
          <w:tcPr>
            <w:tcW w:w="4392" w:type="dxa"/>
            <w:tcMar>
              <w:top w:w="60" w:type="dxa"/>
              <w:start w:w="85" w:type="dxa"/>
              <w:bottom w:w="60" w:type="dxa"/>
              <w:end w:w="85" w:type="dxa"/>
            </w:tcMar>
          </w:tcPr>
          <w:p>
            <w:pPr>
              <w:pStyle w:val="BodyText"/>
              <w:spacing w:before="0" w:after="0" w:line="220" w:lineRule="auto"/>
            </w:pPr>
            <w:r>
              <w:t>A08 每合同输入Token</w:t>
              <w:br/>
              <w:t>依据：额度上限规划；没有整班实测</w:t>
            </w:r>
          </w:p>
        </w:tc>
        <w:tc>
          <w:tcPr>
            <w:tcW w:w="950" w:type="dxa"/>
            <w:tcMar>
              <w:top w:w="60" w:type="dxa"/>
              <w:start w:w="85" w:type="dxa"/>
              <w:bottom w:w="60" w:type="dxa"/>
              <w:end w:w="85" w:type="dxa"/>
            </w:tcMar>
          </w:tcPr>
          <w:p>
            <w:pPr>
              <w:pStyle w:val="BodyText"/>
              <w:spacing w:before="0" w:after="0" w:line="220" w:lineRule="auto"/>
              <w:jc w:val="right"/>
            </w:pPr>
            <w:r>
              <w:t>80</w:t>
            </w:r>
          </w:p>
        </w:tc>
        <w:tc>
          <w:tcPr>
            <w:tcW w:w="950" w:type="dxa"/>
            <w:tcMar>
              <w:top w:w="60" w:type="dxa"/>
              <w:start w:w="85" w:type="dxa"/>
              <w:bottom w:w="60" w:type="dxa"/>
              <w:end w:w="85" w:type="dxa"/>
            </w:tcMar>
          </w:tcPr>
          <w:p>
            <w:pPr>
              <w:pStyle w:val="BodyText"/>
              <w:spacing w:before="0" w:after="0" w:line="220" w:lineRule="auto"/>
              <w:jc w:val="right"/>
            </w:pPr>
            <w:r>
              <w:t>120</w:t>
            </w:r>
          </w:p>
        </w:tc>
        <w:tc>
          <w:tcPr>
            <w:tcW w:w="950" w:type="dxa"/>
            <w:tcMar>
              <w:top w:w="60" w:type="dxa"/>
              <w:start w:w="85" w:type="dxa"/>
              <w:bottom w:w="60" w:type="dxa"/>
              <w:end w:w="85" w:type="dxa"/>
            </w:tcMar>
          </w:tcPr>
          <w:p>
            <w:pPr>
              <w:pStyle w:val="BodyText"/>
              <w:spacing w:before="0" w:after="0" w:line="220" w:lineRule="auto"/>
              <w:jc w:val="right"/>
            </w:pPr>
            <w:r>
              <w:t>100</w:t>
            </w:r>
          </w:p>
        </w:tc>
        <w:tc>
          <w:tcPr>
            <w:tcW w:w="1708" w:type="dxa"/>
            <w:tcMar>
              <w:top w:w="60" w:type="dxa"/>
              <w:start w:w="85" w:type="dxa"/>
              <w:bottom w:w="60" w:type="dxa"/>
              <w:end w:w="85" w:type="dxa"/>
            </w:tcMar>
          </w:tcPr>
          <w:p>
            <w:pPr>
              <w:pStyle w:val="BodyText"/>
              <w:spacing w:before="0" w:after="0" w:line="220" w:lineRule="auto"/>
            </w:pPr>
            <w:r>
              <w:t>百万Token</w:t>
            </w:r>
          </w:p>
        </w:tc>
      </w:tr>
      <w:tr>
        <w:trPr>
          <w:cantSplit/>
        </w:trPr>
        <w:tc>
          <w:tcPr>
            <w:tcW w:w="4392" w:type="dxa"/>
            <w:tcMar>
              <w:top w:w="60" w:type="dxa"/>
              <w:start w:w="85" w:type="dxa"/>
              <w:bottom w:w="60" w:type="dxa"/>
              <w:end w:w="85" w:type="dxa"/>
            </w:tcMar>
          </w:tcPr>
          <w:p>
            <w:pPr>
              <w:pStyle w:val="BodyText"/>
              <w:spacing w:before="0" w:after="0" w:line="220" w:lineRule="auto"/>
            </w:pPr>
            <w:r>
              <w:t>A09 每合同输出Token</w:t>
              <w:br/>
              <w:t>依据：包含重试的预算假设，非实测消费</w:t>
            </w:r>
          </w:p>
        </w:tc>
        <w:tc>
          <w:tcPr>
            <w:tcW w:w="950" w:type="dxa"/>
            <w:tcMar>
              <w:top w:w="60" w:type="dxa"/>
              <w:start w:w="85" w:type="dxa"/>
              <w:bottom w:w="60" w:type="dxa"/>
              <w:end w:w="85" w:type="dxa"/>
            </w:tcMar>
          </w:tcPr>
          <w:p>
            <w:pPr>
              <w:pStyle w:val="BodyText"/>
              <w:spacing w:before="0" w:after="0" w:line="220" w:lineRule="auto"/>
              <w:jc w:val="right"/>
            </w:pPr>
            <w:r>
              <w:t>20</w:t>
            </w:r>
          </w:p>
        </w:tc>
        <w:tc>
          <w:tcPr>
            <w:tcW w:w="950" w:type="dxa"/>
            <w:tcMar>
              <w:top w:w="60" w:type="dxa"/>
              <w:start w:w="85" w:type="dxa"/>
              <w:bottom w:w="60" w:type="dxa"/>
              <w:end w:w="85" w:type="dxa"/>
            </w:tcMar>
          </w:tcPr>
          <w:p>
            <w:pPr>
              <w:pStyle w:val="BodyText"/>
              <w:spacing w:before="0" w:after="0" w:line="220" w:lineRule="auto"/>
              <w:jc w:val="right"/>
            </w:pPr>
            <w:r>
              <w:t>30</w:t>
            </w:r>
          </w:p>
        </w:tc>
        <w:tc>
          <w:tcPr>
            <w:tcW w:w="950" w:type="dxa"/>
            <w:tcMar>
              <w:top w:w="60" w:type="dxa"/>
              <w:start w:w="85" w:type="dxa"/>
              <w:bottom w:w="60" w:type="dxa"/>
              <w:end w:w="85" w:type="dxa"/>
            </w:tcMar>
          </w:tcPr>
          <w:p>
            <w:pPr>
              <w:pStyle w:val="BodyText"/>
              <w:spacing w:before="0" w:after="0" w:line="220" w:lineRule="auto"/>
              <w:jc w:val="right"/>
            </w:pPr>
            <w:r>
              <w:t>25</w:t>
            </w:r>
          </w:p>
        </w:tc>
        <w:tc>
          <w:tcPr>
            <w:tcW w:w="1708" w:type="dxa"/>
            <w:tcMar>
              <w:top w:w="60" w:type="dxa"/>
              <w:start w:w="85" w:type="dxa"/>
              <w:bottom w:w="60" w:type="dxa"/>
              <w:end w:w="85" w:type="dxa"/>
            </w:tcMar>
          </w:tcPr>
          <w:p>
            <w:pPr>
              <w:pStyle w:val="BodyText"/>
              <w:spacing w:before="0" w:after="0" w:line="220" w:lineRule="auto"/>
            </w:pPr>
            <w:r>
              <w:t>百万Token</w:t>
            </w:r>
          </w:p>
        </w:tc>
      </w:tr>
      <w:tr>
        <w:trPr>
          <w:cantSplit/>
        </w:trPr>
        <w:tc>
          <w:tcPr>
            <w:tcW w:w="4392" w:type="dxa"/>
            <w:tcMar>
              <w:top w:w="60" w:type="dxa"/>
              <w:start w:w="85" w:type="dxa"/>
              <w:bottom w:w="60" w:type="dxa"/>
              <w:end w:w="85" w:type="dxa"/>
            </w:tcMar>
          </w:tcPr>
          <w:p>
            <w:pPr>
              <w:pStyle w:val="BodyText"/>
              <w:spacing w:before="0" w:after="0" w:line="220" w:lineRule="auto"/>
            </w:pPr>
            <w:r>
              <w:t>A10 输入Token预算单价</w:t>
              <w:br/>
              <w:t>依据：保守预算假设，非供应商报价；需按实际模型替换</w:t>
            </w:r>
          </w:p>
        </w:tc>
        <w:tc>
          <w:tcPr>
            <w:tcW w:w="950" w:type="dxa"/>
            <w:tcMar>
              <w:top w:w="60" w:type="dxa"/>
              <w:start w:w="85" w:type="dxa"/>
              <w:bottom w:w="60" w:type="dxa"/>
              <w:end w:w="85" w:type="dxa"/>
            </w:tcMar>
          </w:tcPr>
          <w:p>
            <w:pPr>
              <w:pStyle w:val="BodyText"/>
              <w:spacing w:before="0" w:after="0" w:line="220" w:lineRule="auto"/>
              <w:jc w:val="right"/>
            </w:pPr>
            <w:r>
              <w:t>10</w:t>
            </w:r>
          </w:p>
        </w:tc>
        <w:tc>
          <w:tcPr>
            <w:tcW w:w="950" w:type="dxa"/>
            <w:tcMar>
              <w:top w:w="60" w:type="dxa"/>
              <w:start w:w="85" w:type="dxa"/>
              <w:bottom w:w="60" w:type="dxa"/>
              <w:end w:w="85" w:type="dxa"/>
            </w:tcMar>
          </w:tcPr>
          <w:p>
            <w:pPr>
              <w:pStyle w:val="BodyText"/>
              <w:spacing w:before="0" w:after="0" w:line="220" w:lineRule="auto"/>
              <w:jc w:val="right"/>
            </w:pPr>
            <w:r>
              <w:t>15</w:t>
            </w:r>
          </w:p>
        </w:tc>
        <w:tc>
          <w:tcPr>
            <w:tcW w:w="950" w:type="dxa"/>
            <w:tcMar>
              <w:top w:w="60" w:type="dxa"/>
              <w:start w:w="85" w:type="dxa"/>
              <w:bottom w:w="60" w:type="dxa"/>
              <w:end w:w="85" w:type="dxa"/>
            </w:tcMar>
          </w:tcPr>
          <w:p>
            <w:pPr>
              <w:pStyle w:val="BodyText"/>
              <w:spacing w:before="0" w:after="0" w:line="220" w:lineRule="auto"/>
              <w:jc w:val="right"/>
            </w:pPr>
            <w:r>
              <w:t>10</w:t>
            </w:r>
          </w:p>
        </w:tc>
        <w:tc>
          <w:tcPr>
            <w:tcW w:w="1708" w:type="dxa"/>
            <w:tcMar>
              <w:top w:w="60" w:type="dxa"/>
              <w:start w:w="85" w:type="dxa"/>
              <w:bottom w:w="60" w:type="dxa"/>
              <w:end w:w="85" w:type="dxa"/>
            </w:tcMar>
          </w:tcPr>
          <w:p>
            <w:pPr>
              <w:pStyle w:val="BodyText"/>
              <w:spacing w:before="0" w:after="0" w:line="220" w:lineRule="auto"/>
            </w:pPr>
            <w:r>
              <w:t>元/百万Token</w:t>
            </w:r>
          </w:p>
        </w:tc>
      </w:tr>
      <w:tr>
        <w:trPr>
          <w:cantSplit/>
        </w:trPr>
        <w:tc>
          <w:tcPr>
            <w:tcW w:w="4392" w:type="dxa"/>
            <w:tcMar>
              <w:top w:w="60" w:type="dxa"/>
              <w:start w:w="85" w:type="dxa"/>
              <w:bottom w:w="60" w:type="dxa"/>
              <w:end w:w="85" w:type="dxa"/>
            </w:tcMar>
          </w:tcPr>
          <w:p>
            <w:pPr>
              <w:pStyle w:val="BodyText"/>
              <w:spacing w:before="0" w:after="0" w:line="220" w:lineRule="auto"/>
            </w:pPr>
            <w:r>
              <w:t>A11 输出Token预算单价</w:t>
              <w:br/>
              <w:t>依据：预算假设；客户自带API时另行报价</w:t>
            </w:r>
          </w:p>
        </w:tc>
        <w:tc>
          <w:tcPr>
            <w:tcW w:w="950" w:type="dxa"/>
            <w:tcMar>
              <w:top w:w="60" w:type="dxa"/>
              <w:start w:w="85" w:type="dxa"/>
              <w:bottom w:w="60" w:type="dxa"/>
              <w:end w:w="85" w:type="dxa"/>
            </w:tcMar>
          </w:tcPr>
          <w:p>
            <w:pPr>
              <w:pStyle w:val="BodyText"/>
              <w:spacing w:before="0" w:after="0" w:line="220" w:lineRule="auto"/>
              <w:jc w:val="right"/>
            </w:pPr>
            <w:r>
              <w:t>30</w:t>
            </w:r>
          </w:p>
        </w:tc>
        <w:tc>
          <w:tcPr>
            <w:tcW w:w="950" w:type="dxa"/>
            <w:tcMar>
              <w:top w:w="60" w:type="dxa"/>
              <w:start w:w="85" w:type="dxa"/>
              <w:bottom w:w="60" w:type="dxa"/>
              <w:end w:w="85" w:type="dxa"/>
            </w:tcMar>
          </w:tcPr>
          <w:p>
            <w:pPr>
              <w:pStyle w:val="BodyText"/>
              <w:spacing w:before="0" w:after="0" w:line="220" w:lineRule="auto"/>
              <w:jc w:val="right"/>
            </w:pPr>
            <w:r>
              <w:t>45</w:t>
            </w:r>
          </w:p>
        </w:tc>
        <w:tc>
          <w:tcPr>
            <w:tcW w:w="950" w:type="dxa"/>
            <w:tcMar>
              <w:top w:w="60" w:type="dxa"/>
              <w:start w:w="85" w:type="dxa"/>
              <w:bottom w:w="60" w:type="dxa"/>
              <w:end w:w="85" w:type="dxa"/>
            </w:tcMar>
          </w:tcPr>
          <w:p>
            <w:pPr>
              <w:pStyle w:val="BodyText"/>
              <w:spacing w:before="0" w:after="0" w:line="220" w:lineRule="auto"/>
              <w:jc w:val="right"/>
            </w:pPr>
            <w:r>
              <w:t>30</w:t>
            </w:r>
          </w:p>
        </w:tc>
        <w:tc>
          <w:tcPr>
            <w:tcW w:w="1708" w:type="dxa"/>
            <w:tcMar>
              <w:top w:w="60" w:type="dxa"/>
              <w:start w:w="85" w:type="dxa"/>
              <w:bottom w:w="60" w:type="dxa"/>
              <w:end w:w="85" w:type="dxa"/>
            </w:tcMar>
          </w:tcPr>
          <w:p>
            <w:pPr>
              <w:pStyle w:val="BodyText"/>
              <w:spacing w:before="0" w:after="0" w:line="220" w:lineRule="auto"/>
            </w:pPr>
            <w:r>
              <w:t>元/百万Token</w:t>
            </w:r>
          </w:p>
        </w:tc>
      </w:tr>
      <w:tr>
        <w:trPr>
          <w:cantSplit/>
        </w:trPr>
        <w:tc>
          <w:tcPr>
            <w:tcW w:w="4392" w:type="dxa"/>
            <w:tcMar>
              <w:top w:w="60" w:type="dxa"/>
              <w:start w:w="85" w:type="dxa"/>
              <w:bottom w:w="60" w:type="dxa"/>
              <w:end w:w="85" w:type="dxa"/>
            </w:tcMar>
          </w:tcPr>
          <w:p>
            <w:pPr>
              <w:pStyle w:val="BodyText"/>
              <w:spacing w:before="0" w:after="0" w:line="220" w:lineRule="auto"/>
            </w:pPr>
            <w:r>
              <w:t>A12 每合同其他直接成本</w:t>
              <w:br/>
              <w:t>依据：交通、资料及现场配置耗材预算</w:t>
            </w:r>
          </w:p>
        </w:tc>
        <w:tc>
          <w:tcPr>
            <w:tcW w:w="950" w:type="dxa"/>
            <w:tcMar>
              <w:top w:w="60" w:type="dxa"/>
              <w:start w:w="85" w:type="dxa"/>
              <w:bottom w:w="60" w:type="dxa"/>
              <w:end w:w="85" w:type="dxa"/>
            </w:tcMar>
          </w:tcPr>
          <w:p>
            <w:pPr>
              <w:pStyle w:val="BodyText"/>
              <w:spacing w:before="0" w:after="0" w:line="220" w:lineRule="auto"/>
              <w:jc w:val="right"/>
            </w:pPr>
            <w:r>
              <w:t>600</w:t>
            </w:r>
          </w:p>
        </w:tc>
        <w:tc>
          <w:tcPr>
            <w:tcW w:w="950" w:type="dxa"/>
            <w:tcMar>
              <w:top w:w="60" w:type="dxa"/>
              <w:start w:w="85" w:type="dxa"/>
              <w:bottom w:w="60" w:type="dxa"/>
              <w:end w:w="85" w:type="dxa"/>
            </w:tcMar>
          </w:tcPr>
          <w:p>
            <w:pPr>
              <w:pStyle w:val="BodyText"/>
              <w:spacing w:before="0" w:after="0" w:line="220" w:lineRule="auto"/>
              <w:jc w:val="right"/>
            </w:pPr>
            <w:r>
              <w:t>800</w:t>
            </w:r>
          </w:p>
        </w:tc>
        <w:tc>
          <w:tcPr>
            <w:tcW w:w="950" w:type="dxa"/>
            <w:tcMar>
              <w:top w:w="60" w:type="dxa"/>
              <w:start w:w="85" w:type="dxa"/>
              <w:bottom w:w="60" w:type="dxa"/>
              <w:end w:w="85" w:type="dxa"/>
            </w:tcMar>
          </w:tcPr>
          <w:p>
            <w:pPr>
              <w:pStyle w:val="BodyText"/>
              <w:spacing w:before="0" w:after="0" w:line="220" w:lineRule="auto"/>
              <w:jc w:val="right"/>
            </w:pPr>
            <w:r>
              <w:t>700</w:t>
            </w:r>
          </w:p>
        </w:tc>
        <w:tc>
          <w:tcPr>
            <w:tcW w:w="1708" w:type="dxa"/>
            <w:tcMar>
              <w:top w:w="60" w:type="dxa"/>
              <w:start w:w="85" w:type="dxa"/>
              <w:bottom w:w="60" w:type="dxa"/>
              <w:end w:w="85" w:type="dxa"/>
            </w:tcMar>
          </w:tcPr>
          <w:p>
            <w:pPr>
              <w:pStyle w:val="BodyText"/>
              <w:spacing w:before="0" w:after="0" w:line="220" w:lineRule="auto"/>
            </w:pPr>
            <w:r>
              <w:t>元/份</w:t>
            </w:r>
          </w:p>
        </w:tc>
      </w:tr>
      <w:tr>
        <w:trPr>
          <w:cantSplit/>
        </w:trPr>
        <w:tc>
          <w:tcPr>
            <w:tcW w:w="4392" w:type="dxa"/>
            <w:tcMar>
              <w:top w:w="60" w:type="dxa"/>
              <w:start w:w="85" w:type="dxa"/>
              <w:bottom w:w="60" w:type="dxa"/>
              <w:end w:w="85" w:type="dxa"/>
            </w:tcMar>
          </w:tcPr>
          <w:p>
            <w:pPr>
              <w:pStyle w:val="BodyText"/>
              <w:spacing w:before="0" w:after="0" w:line="220" w:lineRule="auto"/>
            </w:pPr>
            <w:r>
              <w:t>A13 两人每月固定核心报酬</w:t>
              <w:br/>
              <w:t>依据：产品维护/教研通用素材/销售；未获用户确认，非既有工资</w:t>
            </w:r>
          </w:p>
        </w:tc>
        <w:tc>
          <w:tcPr>
            <w:tcW w:w="950" w:type="dxa"/>
            <w:tcMar>
              <w:top w:w="60" w:type="dxa"/>
              <w:start w:w="85" w:type="dxa"/>
              <w:bottom w:w="60" w:type="dxa"/>
              <w:end w:w="85" w:type="dxa"/>
            </w:tcMar>
          </w:tcPr>
          <w:p>
            <w:pPr>
              <w:pStyle w:val="BodyText"/>
              <w:spacing w:before="0" w:after="0" w:line="220" w:lineRule="auto"/>
              <w:jc w:val="right"/>
            </w:pPr>
            <w:r>
              <w:t>6,000</w:t>
            </w:r>
          </w:p>
        </w:tc>
        <w:tc>
          <w:tcPr>
            <w:tcW w:w="950" w:type="dxa"/>
            <w:tcMar>
              <w:top w:w="60" w:type="dxa"/>
              <w:start w:w="85" w:type="dxa"/>
              <w:bottom w:w="60" w:type="dxa"/>
              <w:end w:w="85" w:type="dxa"/>
            </w:tcMar>
          </w:tcPr>
          <w:p>
            <w:pPr>
              <w:pStyle w:val="BodyText"/>
              <w:spacing w:before="0" w:after="0" w:line="220" w:lineRule="auto"/>
              <w:jc w:val="right"/>
            </w:pPr>
            <w:r>
              <w:t>6,000</w:t>
            </w:r>
          </w:p>
        </w:tc>
        <w:tc>
          <w:tcPr>
            <w:tcW w:w="950" w:type="dxa"/>
            <w:tcMar>
              <w:top w:w="60" w:type="dxa"/>
              <w:start w:w="85" w:type="dxa"/>
              <w:bottom w:w="60" w:type="dxa"/>
              <w:end w:w="85" w:type="dxa"/>
            </w:tcMar>
          </w:tcPr>
          <w:p>
            <w:pPr>
              <w:pStyle w:val="BodyText"/>
              <w:spacing w:before="0" w:after="0" w:line="220" w:lineRule="auto"/>
              <w:jc w:val="right"/>
            </w:pPr>
            <w:r>
              <w:t>8,000</w:t>
            </w:r>
          </w:p>
        </w:tc>
        <w:tc>
          <w:tcPr>
            <w:tcW w:w="1708" w:type="dxa"/>
            <w:tcMar>
              <w:top w:w="60" w:type="dxa"/>
              <w:start w:w="85" w:type="dxa"/>
              <w:bottom w:w="60" w:type="dxa"/>
              <w:end w:w="85" w:type="dxa"/>
            </w:tcMar>
          </w:tcPr>
          <w:p>
            <w:pPr>
              <w:pStyle w:val="BodyText"/>
              <w:spacing w:before="0" w:after="0" w:line="220" w:lineRule="auto"/>
            </w:pPr>
            <w:r>
              <w:t>元/月</w:t>
            </w:r>
          </w:p>
        </w:tc>
      </w:tr>
      <w:tr>
        <w:trPr>
          <w:cantSplit/>
        </w:trPr>
        <w:tc>
          <w:tcPr>
            <w:tcW w:w="4392" w:type="dxa"/>
            <w:tcMar>
              <w:top w:w="60" w:type="dxa"/>
              <w:start w:w="85" w:type="dxa"/>
              <w:bottom w:w="60" w:type="dxa"/>
              <w:end w:w="85" w:type="dxa"/>
            </w:tcMar>
          </w:tcPr>
          <w:p>
            <w:pPr>
              <w:pStyle w:val="BodyText"/>
              <w:spacing w:before="0" w:after="0" w:line="220" w:lineRule="auto"/>
            </w:pPr>
            <w:r>
              <w:t>A14 每月固定运营费</w:t>
              <w:br/>
              <w:t>依据：研发模型、网络云服务、行政等预留；不含合同模型额度</w:t>
            </w:r>
          </w:p>
        </w:tc>
        <w:tc>
          <w:tcPr>
            <w:tcW w:w="950" w:type="dxa"/>
            <w:tcMar>
              <w:top w:w="60" w:type="dxa"/>
              <w:start w:w="85" w:type="dxa"/>
              <w:bottom w:w="60" w:type="dxa"/>
              <w:end w:w="85" w:type="dxa"/>
            </w:tcMar>
          </w:tcPr>
          <w:p>
            <w:pPr>
              <w:pStyle w:val="BodyText"/>
              <w:spacing w:before="0" w:after="0" w:line="220" w:lineRule="auto"/>
              <w:jc w:val="right"/>
            </w:pPr>
            <w:r>
              <w:t>1,800</w:t>
            </w:r>
          </w:p>
        </w:tc>
        <w:tc>
          <w:tcPr>
            <w:tcW w:w="950" w:type="dxa"/>
            <w:tcMar>
              <w:top w:w="60" w:type="dxa"/>
              <w:start w:w="85" w:type="dxa"/>
              <w:bottom w:w="60" w:type="dxa"/>
              <w:end w:w="85" w:type="dxa"/>
            </w:tcMar>
          </w:tcPr>
          <w:p>
            <w:pPr>
              <w:pStyle w:val="BodyText"/>
              <w:spacing w:before="0" w:after="0" w:line="220" w:lineRule="auto"/>
              <w:jc w:val="right"/>
            </w:pPr>
            <w:r>
              <w:t>1,800</w:t>
            </w:r>
          </w:p>
        </w:tc>
        <w:tc>
          <w:tcPr>
            <w:tcW w:w="950" w:type="dxa"/>
            <w:tcMar>
              <w:top w:w="60" w:type="dxa"/>
              <w:start w:w="85" w:type="dxa"/>
              <w:bottom w:w="60" w:type="dxa"/>
              <w:end w:w="85" w:type="dxa"/>
            </w:tcMar>
          </w:tcPr>
          <w:p>
            <w:pPr>
              <w:pStyle w:val="BodyText"/>
              <w:spacing w:before="0" w:after="0" w:line="220" w:lineRule="auto"/>
              <w:jc w:val="right"/>
            </w:pPr>
            <w:r>
              <w:t>2,500</w:t>
            </w:r>
          </w:p>
        </w:tc>
        <w:tc>
          <w:tcPr>
            <w:tcW w:w="1708" w:type="dxa"/>
            <w:tcMar>
              <w:top w:w="60" w:type="dxa"/>
              <w:start w:w="85" w:type="dxa"/>
              <w:bottom w:w="60" w:type="dxa"/>
              <w:end w:w="85" w:type="dxa"/>
            </w:tcMar>
          </w:tcPr>
          <w:p>
            <w:pPr>
              <w:pStyle w:val="BodyText"/>
              <w:spacing w:before="0" w:after="0" w:line="220" w:lineRule="auto"/>
            </w:pPr>
            <w:r>
              <w:t>元/月</w:t>
            </w:r>
          </w:p>
        </w:tc>
      </w:tr>
      <w:tr>
        <w:trPr>
          <w:cantSplit/>
        </w:trPr>
        <w:tc>
          <w:tcPr>
            <w:tcW w:w="4392" w:type="dxa"/>
            <w:tcMar>
              <w:top w:w="60" w:type="dxa"/>
              <w:start w:w="85" w:type="dxa"/>
              <w:bottom w:w="60" w:type="dxa"/>
              <w:end w:w="85" w:type="dxa"/>
            </w:tcMar>
          </w:tcPr>
          <w:p>
            <w:pPr>
              <w:pStyle w:val="BodyText"/>
              <w:spacing w:before="0" w:after="0" w:line="220" w:lineRule="auto"/>
            </w:pPr>
            <w:r>
              <w:t>A15 初期设备投入</w:t>
              <w:br/>
              <w:t>依据：2027年1月；未发生，非历史投入</w:t>
            </w:r>
          </w:p>
        </w:tc>
        <w:tc>
          <w:tcPr>
            <w:tcW w:w="950" w:type="dxa"/>
            <w:tcMar>
              <w:top w:w="60" w:type="dxa"/>
              <w:start w:w="85" w:type="dxa"/>
              <w:bottom w:w="60" w:type="dxa"/>
              <w:end w:w="85" w:type="dxa"/>
            </w:tcMar>
          </w:tcPr>
          <w:p>
            <w:pPr>
              <w:pStyle w:val="BodyText"/>
              <w:spacing w:before="0" w:after="0" w:line="220" w:lineRule="auto"/>
              <w:jc w:val="right"/>
            </w:pPr>
            <w:r>
              <w:t>12,000</w:t>
            </w:r>
          </w:p>
        </w:tc>
        <w:tc>
          <w:tcPr>
            <w:tcW w:w="950" w:type="dxa"/>
            <w:tcMar>
              <w:top w:w="60" w:type="dxa"/>
              <w:start w:w="85" w:type="dxa"/>
              <w:bottom w:w="60" w:type="dxa"/>
              <w:end w:w="85" w:type="dxa"/>
            </w:tcMar>
          </w:tcPr>
          <w:p>
            <w:pPr>
              <w:pStyle w:val="BodyText"/>
              <w:spacing w:before="0" w:after="0" w:line="220" w:lineRule="auto"/>
              <w:jc w:val="right"/>
            </w:pPr>
            <w:r>
              <w:t>12,000</w:t>
            </w:r>
          </w:p>
        </w:tc>
        <w:tc>
          <w:tcPr>
            <w:tcW w:w="950" w:type="dxa"/>
            <w:tcMar>
              <w:top w:w="60" w:type="dxa"/>
              <w:start w:w="85" w:type="dxa"/>
              <w:bottom w:w="60" w:type="dxa"/>
              <w:end w:w="85" w:type="dxa"/>
            </w:tcMar>
          </w:tcPr>
          <w:p>
            <w:pPr>
              <w:pStyle w:val="BodyText"/>
              <w:spacing w:before="0" w:after="0" w:line="220" w:lineRule="auto"/>
              <w:jc w:val="right"/>
            </w:pPr>
            <w:r>
              <w:t>12,000</w:t>
            </w:r>
          </w:p>
        </w:tc>
        <w:tc>
          <w:tcPr>
            <w:tcW w:w="1708" w:type="dxa"/>
            <w:tcMar>
              <w:top w:w="60" w:type="dxa"/>
              <w:start w:w="85" w:type="dxa"/>
              <w:bottom w:w="60" w:type="dxa"/>
              <w:end w:w="85" w:type="dxa"/>
            </w:tcMar>
          </w:tcPr>
          <w:p>
            <w:pPr>
              <w:pStyle w:val="BodyText"/>
              <w:spacing w:before="0" w:after="0" w:line="220" w:lineRule="auto"/>
            </w:pPr>
            <w:r>
              <w:t>元</w:t>
            </w:r>
          </w:p>
        </w:tc>
      </w:tr>
      <w:tr>
        <w:trPr>
          <w:cantSplit/>
        </w:trPr>
        <w:tc>
          <w:tcPr>
            <w:tcW w:w="4392" w:type="dxa"/>
            <w:tcMar>
              <w:top w:w="60" w:type="dxa"/>
              <w:start w:w="85" w:type="dxa"/>
              <w:bottom w:w="60" w:type="dxa"/>
              <w:end w:w="85" w:type="dxa"/>
            </w:tcMar>
          </w:tcPr>
          <w:p>
            <w:pPr>
              <w:pStyle w:val="BodyText"/>
              <w:spacing w:before="0" w:after="0" w:line="220" w:lineRule="auto"/>
            </w:pPr>
            <w:r>
              <w:t>A16 设备折旧期</w:t>
              <w:br/>
              <w:t>依据：零残值，直线法示例政策，非会计师确认</w:t>
            </w:r>
          </w:p>
        </w:tc>
        <w:tc>
          <w:tcPr>
            <w:tcW w:w="950" w:type="dxa"/>
            <w:tcMar>
              <w:top w:w="60" w:type="dxa"/>
              <w:start w:w="85" w:type="dxa"/>
              <w:bottom w:w="60" w:type="dxa"/>
              <w:end w:w="85" w:type="dxa"/>
            </w:tcMar>
          </w:tcPr>
          <w:p>
            <w:pPr>
              <w:pStyle w:val="BodyText"/>
              <w:spacing w:before="0" w:after="0" w:line="220" w:lineRule="auto"/>
              <w:jc w:val="right"/>
            </w:pPr>
            <w:r>
              <w:t>36</w:t>
            </w:r>
          </w:p>
        </w:tc>
        <w:tc>
          <w:tcPr>
            <w:tcW w:w="950" w:type="dxa"/>
            <w:tcMar>
              <w:top w:w="60" w:type="dxa"/>
              <w:start w:w="85" w:type="dxa"/>
              <w:bottom w:w="60" w:type="dxa"/>
              <w:end w:w="85" w:type="dxa"/>
            </w:tcMar>
          </w:tcPr>
          <w:p>
            <w:pPr>
              <w:pStyle w:val="BodyText"/>
              <w:spacing w:before="0" w:after="0" w:line="220" w:lineRule="auto"/>
              <w:jc w:val="right"/>
            </w:pPr>
            <w:r>
              <w:t>36</w:t>
            </w:r>
          </w:p>
        </w:tc>
        <w:tc>
          <w:tcPr>
            <w:tcW w:w="950" w:type="dxa"/>
            <w:tcMar>
              <w:top w:w="60" w:type="dxa"/>
              <w:start w:w="85" w:type="dxa"/>
              <w:bottom w:w="60" w:type="dxa"/>
              <w:end w:w="85" w:type="dxa"/>
            </w:tcMar>
          </w:tcPr>
          <w:p>
            <w:pPr>
              <w:pStyle w:val="BodyText"/>
              <w:spacing w:before="0" w:after="0" w:line="220" w:lineRule="auto"/>
              <w:jc w:val="right"/>
            </w:pPr>
            <w:r>
              <w:t>36</w:t>
            </w:r>
          </w:p>
        </w:tc>
        <w:tc>
          <w:tcPr>
            <w:tcW w:w="1708" w:type="dxa"/>
            <w:tcMar>
              <w:top w:w="60" w:type="dxa"/>
              <w:start w:w="85" w:type="dxa"/>
              <w:bottom w:w="60" w:type="dxa"/>
              <w:end w:w="85" w:type="dxa"/>
            </w:tcMar>
          </w:tcPr>
          <w:p>
            <w:pPr>
              <w:pStyle w:val="BodyText"/>
              <w:spacing w:before="0" w:after="0" w:line="220" w:lineRule="auto"/>
            </w:pPr>
            <w:r>
              <w:t>月</w:t>
            </w:r>
          </w:p>
        </w:tc>
      </w:tr>
      <w:tr>
        <w:trPr>
          <w:cantSplit/>
        </w:trPr>
        <w:tc>
          <w:tcPr>
            <w:tcW w:w="4392" w:type="dxa"/>
            <w:tcMar>
              <w:top w:w="60" w:type="dxa"/>
              <w:start w:w="85" w:type="dxa"/>
              <w:bottom w:w="60" w:type="dxa"/>
              <w:end w:w="85" w:type="dxa"/>
            </w:tcMar>
          </w:tcPr>
          <w:p>
            <w:pPr>
              <w:pStyle w:val="BodyText"/>
              <w:spacing w:before="0" w:after="0" w:line="220" w:lineRule="auto"/>
            </w:pPr>
            <w:r>
              <w:t>A17 期初自有资金</w:t>
              <w:br/>
              <w:t>依据：规划假设；未有真实承诺或到账</w:t>
            </w:r>
          </w:p>
        </w:tc>
        <w:tc>
          <w:tcPr>
            <w:tcW w:w="950" w:type="dxa"/>
            <w:tcMar>
              <w:top w:w="60" w:type="dxa"/>
              <w:start w:w="85" w:type="dxa"/>
              <w:bottom w:w="60" w:type="dxa"/>
              <w:end w:w="85" w:type="dxa"/>
            </w:tcMar>
          </w:tcPr>
          <w:p>
            <w:pPr>
              <w:pStyle w:val="BodyText"/>
              <w:spacing w:before="0" w:after="0" w:line="220" w:lineRule="auto"/>
              <w:jc w:val="right"/>
            </w:pPr>
            <w:r>
              <w:t>20,000</w:t>
            </w:r>
          </w:p>
        </w:tc>
        <w:tc>
          <w:tcPr>
            <w:tcW w:w="950" w:type="dxa"/>
            <w:tcMar>
              <w:top w:w="60" w:type="dxa"/>
              <w:start w:w="85" w:type="dxa"/>
              <w:bottom w:w="60" w:type="dxa"/>
              <w:end w:w="85" w:type="dxa"/>
            </w:tcMar>
          </w:tcPr>
          <w:p>
            <w:pPr>
              <w:pStyle w:val="BodyText"/>
              <w:spacing w:before="0" w:after="0" w:line="220" w:lineRule="auto"/>
              <w:jc w:val="right"/>
            </w:pPr>
            <w:r>
              <w:t>20,000</w:t>
            </w:r>
          </w:p>
        </w:tc>
        <w:tc>
          <w:tcPr>
            <w:tcW w:w="950" w:type="dxa"/>
            <w:tcMar>
              <w:top w:w="60" w:type="dxa"/>
              <w:start w:w="85" w:type="dxa"/>
              <w:bottom w:w="60" w:type="dxa"/>
              <w:end w:w="85" w:type="dxa"/>
            </w:tcMar>
          </w:tcPr>
          <w:p>
            <w:pPr>
              <w:pStyle w:val="BodyText"/>
              <w:spacing w:before="0" w:after="0" w:line="220" w:lineRule="auto"/>
              <w:jc w:val="right"/>
            </w:pPr>
            <w:r>
              <w:t>20,000</w:t>
            </w:r>
          </w:p>
        </w:tc>
        <w:tc>
          <w:tcPr>
            <w:tcW w:w="1708" w:type="dxa"/>
            <w:tcMar>
              <w:top w:w="60" w:type="dxa"/>
              <w:start w:w="85" w:type="dxa"/>
              <w:bottom w:w="60" w:type="dxa"/>
              <w:end w:w="85" w:type="dxa"/>
            </w:tcMar>
          </w:tcPr>
          <w:p>
            <w:pPr>
              <w:pStyle w:val="BodyText"/>
              <w:spacing w:before="0" w:after="0" w:line="220" w:lineRule="auto"/>
            </w:pPr>
            <w:r>
              <w:t>元</w:t>
            </w:r>
          </w:p>
        </w:tc>
      </w:tr>
      <w:tr>
        <w:trPr>
          <w:cantSplit/>
        </w:trPr>
        <w:tc>
          <w:tcPr>
            <w:tcW w:w="4392" w:type="dxa"/>
            <w:tcMar>
              <w:top w:w="60" w:type="dxa"/>
              <w:start w:w="85" w:type="dxa"/>
              <w:bottom w:w="60" w:type="dxa"/>
              <w:end w:w="85" w:type="dxa"/>
            </w:tcMar>
          </w:tcPr>
          <w:p>
            <w:pPr>
              <w:pStyle w:val="BodyText"/>
              <w:spacing w:before="0" w:after="0" w:line="220" w:lineRule="auto"/>
            </w:pPr>
            <w:r>
              <w:t>A18 最低现金储备</w:t>
              <w:br/>
              <w:t>依据：示例流动性目标；不是融资承诺</w:t>
            </w:r>
          </w:p>
        </w:tc>
        <w:tc>
          <w:tcPr>
            <w:tcW w:w="950" w:type="dxa"/>
            <w:tcMar>
              <w:top w:w="60" w:type="dxa"/>
              <w:start w:w="85" w:type="dxa"/>
              <w:bottom w:w="60" w:type="dxa"/>
              <w:end w:w="85" w:type="dxa"/>
            </w:tcMar>
          </w:tcPr>
          <w:p>
            <w:pPr>
              <w:pStyle w:val="BodyText"/>
              <w:spacing w:before="0" w:after="0" w:line="220" w:lineRule="auto"/>
              <w:jc w:val="right"/>
            </w:pPr>
            <w:r>
              <w:t>20,000</w:t>
            </w:r>
          </w:p>
        </w:tc>
        <w:tc>
          <w:tcPr>
            <w:tcW w:w="950" w:type="dxa"/>
            <w:tcMar>
              <w:top w:w="60" w:type="dxa"/>
              <w:start w:w="85" w:type="dxa"/>
              <w:bottom w:w="60" w:type="dxa"/>
              <w:end w:w="85" w:type="dxa"/>
            </w:tcMar>
          </w:tcPr>
          <w:p>
            <w:pPr>
              <w:pStyle w:val="BodyText"/>
              <w:spacing w:before="0" w:after="0" w:line="220" w:lineRule="auto"/>
              <w:jc w:val="right"/>
            </w:pPr>
            <w:r>
              <w:t>20,000</w:t>
            </w:r>
          </w:p>
        </w:tc>
        <w:tc>
          <w:tcPr>
            <w:tcW w:w="950" w:type="dxa"/>
            <w:tcMar>
              <w:top w:w="60" w:type="dxa"/>
              <w:start w:w="85" w:type="dxa"/>
              <w:bottom w:w="60" w:type="dxa"/>
              <w:end w:w="85" w:type="dxa"/>
            </w:tcMar>
          </w:tcPr>
          <w:p>
            <w:pPr>
              <w:pStyle w:val="BodyText"/>
              <w:spacing w:before="0" w:after="0" w:line="220" w:lineRule="auto"/>
              <w:jc w:val="right"/>
            </w:pPr>
            <w:r>
              <w:t>20,000</w:t>
            </w:r>
          </w:p>
        </w:tc>
        <w:tc>
          <w:tcPr>
            <w:tcW w:w="1708" w:type="dxa"/>
            <w:tcMar>
              <w:top w:w="60" w:type="dxa"/>
              <w:start w:w="85" w:type="dxa"/>
              <w:bottom w:w="60" w:type="dxa"/>
              <w:end w:w="85" w:type="dxa"/>
            </w:tcMar>
          </w:tcPr>
          <w:p>
            <w:pPr>
              <w:pStyle w:val="BodyText"/>
              <w:spacing w:before="0" w:after="0" w:line="220" w:lineRule="auto"/>
            </w:pPr>
            <w:r>
              <w:t>元</w:t>
            </w:r>
          </w:p>
        </w:tc>
      </w:tr>
      <w:tr>
        <w:trPr>
          <w:cantSplit/>
        </w:trPr>
        <w:tc>
          <w:tcPr>
            <w:tcW w:w="4392" w:type="dxa"/>
            <w:tcMar>
              <w:top w:w="60" w:type="dxa"/>
              <w:start w:w="85" w:type="dxa"/>
              <w:bottom w:w="60" w:type="dxa"/>
              <w:end w:w="85" w:type="dxa"/>
            </w:tcMar>
          </w:tcPr>
          <w:p>
            <w:pPr>
              <w:pStyle w:val="BodyText"/>
              <w:spacing w:before="0" w:after="0" w:line="220" w:lineRule="auto"/>
            </w:pPr>
            <w:r>
              <w:t>A19 当月收款比例</w:t>
              <w:br/>
              <w:t>依据：余款下一月收取；无坏账仅为简化；采购延期需另测</w:t>
            </w:r>
          </w:p>
        </w:tc>
        <w:tc>
          <w:tcPr>
            <w:tcW w:w="950" w:type="dxa"/>
            <w:tcMar>
              <w:top w:w="60" w:type="dxa"/>
              <w:start w:w="85" w:type="dxa"/>
              <w:bottom w:w="60" w:type="dxa"/>
              <w:end w:w="85" w:type="dxa"/>
            </w:tcMar>
          </w:tcPr>
          <w:p>
            <w:pPr>
              <w:pStyle w:val="BodyText"/>
              <w:spacing w:before="0" w:after="0" w:line="220" w:lineRule="auto"/>
              <w:jc w:val="right"/>
            </w:pPr>
            <w:r>
              <w:t>0.5</w:t>
            </w:r>
          </w:p>
        </w:tc>
        <w:tc>
          <w:tcPr>
            <w:tcW w:w="950" w:type="dxa"/>
            <w:tcMar>
              <w:top w:w="60" w:type="dxa"/>
              <w:start w:w="85" w:type="dxa"/>
              <w:bottom w:w="60" w:type="dxa"/>
              <w:end w:w="85" w:type="dxa"/>
            </w:tcMar>
          </w:tcPr>
          <w:p>
            <w:pPr>
              <w:pStyle w:val="BodyText"/>
              <w:spacing w:before="0" w:after="0" w:line="220" w:lineRule="auto"/>
              <w:jc w:val="right"/>
            </w:pPr>
            <w:r>
              <w:t>0.3</w:t>
            </w:r>
          </w:p>
        </w:tc>
        <w:tc>
          <w:tcPr>
            <w:tcW w:w="950" w:type="dxa"/>
            <w:tcMar>
              <w:top w:w="60" w:type="dxa"/>
              <w:start w:w="85" w:type="dxa"/>
              <w:bottom w:w="60" w:type="dxa"/>
              <w:end w:w="85" w:type="dxa"/>
            </w:tcMar>
          </w:tcPr>
          <w:p>
            <w:pPr>
              <w:pStyle w:val="BodyText"/>
              <w:spacing w:before="0" w:after="0" w:line="220" w:lineRule="auto"/>
              <w:jc w:val="right"/>
            </w:pPr>
            <w:r>
              <w:t>0.5</w:t>
            </w:r>
          </w:p>
        </w:tc>
        <w:tc>
          <w:tcPr>
            <w:tcW w:w="1708" w:type="dxa"/>
            <w:tcMar>
              <w:top w:w="60" w:type="dxa"/>
              <w:start w:w="85" w:type="dxa"/>
              <w:bottom w:w="60" w:type="dxa"/>
              <w:end w:w="85" w:type="dxa"/>
            </w:tcMar>
          </w:tcPr>
          <w:p>
            <w:pPr>
              <w:pStyle w:val="BodyText"/>
              <w:spacing w:before="0" w:after="0" w:line="220" w:lineRule="auto"/>
            </w:pPr>
            <w:r>
              <w:t>比例</w:t>
            </w:r>
          </w:p>
        </w:tc>
      </w:tr>
      <w:tr>
        <w:trPr>
          <w:cantSplit/>
        </w:trPr>
        <w:tc>
          <w:tcPr>
            <w:tcW w:w="4392" w:type="dxa"/>
            <w:tcMar>
              <w:top w:w="60" w:type="dxa"/>
              <w:start w:w="85" w:type="dxa"/>
              <w:bottom w:w="60" w:type="dxa"/>
              <w:end w:w="85" w:type="dxa"/>
            </w:tcMar>
          </w:tcPr>
          <w:p>
            <w:pPr>
              <w:pStyle w:val="BodyText"/>
              <w:spacing w:before="0" w:after="0" w:line="220" w:lineRule="auto"/>
            </w:pPr>
            <w:r>
              <w:t>A20 税费现金预算预留</w:t>
              <w:br/>
              <w:t>依据：管理预算，计费用及当月现金流；不是法定税率，不构成税务结论</w:t>
            </w:r>
          </w:p>
        </w:tc>
        <w:tc>
          <w:tcPr>
            <w:tcW w:w="950" w:type="dxa"/>
            <w:tcMar>
              <w:top w:w="60" w:type="dxa"/>
              <w:start w:w="85" w:type="dxa"/>
              <w:bottom w:w="60" w:type="dxa"/>
              <w:end w:w="85" w:type="dxa"/>
            </w:tcMar>
          </w:tcPr>
          <w:p>
            <w:pPr>
              <w:pStyle w:val="BodyText"/>
              <w:spacing w:before="0" w:after="0" w:line="220" w:lineRule="auto"/>
              <w:jc w:val="right"/>
            </w:pPr>
            <w:r>
              <w:t>0.02</w:t>
            </w:r>
          </w:p>
        </w:tc>
        <w:tc>
          <w:tcPr>
            <w:tcW w:w="950" w:type="dxa"/>
            <w:tcMar>
              <w:top w:w="60" w:type="dxa"/>
              <w:start w:w="85" w:type="dxa"/>
              <w:bottom w:w="60" w:type="dxa"/>
              <w:end w:w="85" w:type="dxa"/>
            </w:tcMar>
          </w:tcPr>
          <w:p>
            <w:pPr>
              <w:pStyle w:val="BodyText"/>
              <w:spacing w:before="0" w:after="0" w:line="220" w:lineRule="auto"/>
              <w:jc w:val="right"/>
            </w:pPr>
            <w:r>
              <w:t>0.03</w:t>
            </w:r>
          </w:p>
        </w:tc>
        <w:tc>
          <w:tcPr>
            <w:tcW w:w="950" w:type="dxa"/>
            <w:tcMar>
              <w:top w:w="60" w:type="dxa"/>
              <w:start w:w="85" w:type="dxa"/>
              <w:bottom w:w="60" w:type="dxa"/>
              <w:end w:w="85" w:type="dxa"/>
            </w:tcMar>
          </w:tcPr>
          <w:p>
            <w:pPr>
              <w:pStyle w:val="BodyText"/>
              <w:spacing w:before="0" w:after="0" w:line="220" w:lineRule="auto"/>
              <w:jc w:val="right"/>
            </w:pPr>
            <w:r>
              <w:t>0.02</w:t>
            </w:r>
          </w:p>
        </w:tc>
        <w:tc>
          <w:tcPr>
            <w:tcW w:w="1708" w:type="dxa"/>
            <w:tcMar>
              <w:top w:w="60" w:type="dxa"/>
              <w:start w:w="85" w:type="dxa"/>
              <w:bottom w:w="60" w:type="dxa"/>
              <w:end w:w="85" w:type="dxa"/>
            </w:tcMar>
          </w:tcPr>
          <w:p>
            <w:pPr>
              <w:pStyle w:val="BodyText"/>
              <w:spacing w:before="0" w:after="0" w:line="220" w:lineRule="auto"/>
            </w:pPr>
            <w:r>
              <w:t>收入比例</w:t>
            </w:r>
          </w:p>
        </w:tc>
      </w:tr>
      <w:tr>
        <w:trPr>
          <w:cantSplit/>
        </w:trPr>
        <w:tc>
          <w:tcPr>
            <w:tcW w:w="4392" w:type="dxa"/>
            <w:tcMar>
              <w:top w:w="60" w:type="dxa"/>
              <w:start w:w="85" w:type="dxa"/>
              <w:bottom w:w="60" w:type="dxa"/>
              <w:end w:w="85" w:type="dxa"/>
            </w:tcMar>
          </w:tcPr>
          <w:p>
            <w:pPr>
              <w:pStyle w:val="BodyText"/>
              <w:spacing w:before="0" w:after="0" w:line="220" w:lineRule="auto"/>
            </w:pPr>
            <w:r>
              <w:t>A21 两人每月可用工时合计</w:t>
              <w:br/>
              <w:t>依据：两名学生各120小时；须课程安排验证</w:t>
            </w:r>
          </w:p>
        </w:tc>
        <w:tc>
          <w:tcPr>
            <w:tcW w:w="950" w:type="dxa"/>
            <w:tcMar>
              <w:top w:w="60" w:type="dxa"/>
              <w:start w:w="85" w:type="dxa"/>
              <w:bottom w:w="60" w:type="dxa"/>
              <w:end w:w="85" w:type="dxa"/>
            </w:tcMar>
          </w:tcPr>
          <w:p>
            <w:pPr>
              <w:pStyle w:val="BodyText"/>
              <w:spacing w:before="0" w:after="0" w:line="220" w:lineRule="auto"/>
              <w:jc w:val="right"/>
            </w:pPr>
            <w:r>
              <w:t>240</w:t>
            </w:r>
          </w:p>
        </w:tc>
        <w:tc>
          <w:tcPr>
            <w:tcW w:w="950" w:type="dxa"/>
            <w:tcMar>
              <w:top w:w="60" w:type="dxa"/>
              <w:start w:w="85" w:type="dxa"/>
              <w:bottom w:w="60" w:type="dxa"/>
              <w:end w:w="85" w:type="dxa"/>
            </w:tcMar>
          </w:tcPr>
          <w:p>
            <w:pPr>
              <w:pStyle w:val="BodyText"/>
              <w:spacing w:before="0" w:after="0" w:line="220" w:lineRule="auto"/>
              <w:jc w:val="right"/>
            </w:pPr>
            <w:r>
              <w:t>240</w:t>
            </w:r>
          </w:p>
        </w:tc>
        <w:tc>
          <w:tcPr>
            <w:tcW w:w="950" w:type="dxa"/>
            <w:tcMar>
              <w:top w:w="60" w:type="dxa"/>
              <w:start w:w="85" w:type="dxa"/>
              <w:bottom w:w="60" w:type="dxa"/>
              <w:end w:w="85" w:type="dxa"/>
            </w:tcMar>
          </w:tcPr>
          <w:p>
            <w:pPr>
              <w:pStyle w:val="BodyText"/>
              <w:spacing w:before="0" w:after="0" w:line="220" w:lineRule="auto"/>
              <w:jc w:val="right"/>
            </w:pPr>
            <w:r>
              <w:t>240</w:t>
            </w:r>
          </w:p>
        </w:tc>
        <w:tc>
          <w:tcPr>
            <w:tcW w:w="1708" w:type="dxa"/>
            <w:tcMar>
              <w:top w:w="60" w:type="dxa"/>
              <w:start w:w="85" w:type="dxa"/>
              <w:bottom w:w="60" w:type="dxa"/>
              <w:end w:w="85" w:type="dxa"/>
            </w:tcMar>
          </w:tcPr>
          <w:p>
            <w:pPr>
              <w:pStyle w:val="BodyText"/>
              <w:spacing w:before="0" w:after="0" w:line="220" w:lineRule="auto"/>
            </w:pPr>
            <w:r>
              <w:t>小时/月</w:t>
            </w:r>
          </w:p>
        </w:tc>
      </w:tr>
      <w:tr>
        <w:trPr>
          <w:cantSplit/>
        </w:trPr>
        <w:tc>
          <w:tcPr>
            <w:tcW w:w="4392" w:type="dxa"/>
            <w:tcMar>
              <w:top w:w="60" w:type="dxa"/>
              <w:start w:w="85" w:type="dxa"/>
              <w:bottom w:w="60" w:type="dxa"/>
              <w:end w:w="85" w:type="dxa"/>
            </w:tcMar>
          </w:tcPr>
          <w:p>
            <w:pPr>
              <w:pStyle w:val="BodyText"/>
              <w:spacing w:before="0" w:after="0" w:line="220" w:lineRule="auto"/>
            </w:pPr>
            <w:r>
              <w:t>A22 固定核心工作工时合计</w:t>
              <w:br/>
              <w:t>依据：两人各80小时；对应固定核心报酬，独立于合同交付</w:t>
            </w:r>
          </w:p>
        </w:tc>
        <w:tc>
          <w:tcPr>
            <w:tcW w:w="950" w:type="dxa"/>
            <w:tcMar>
              <w:top w:w="60" w:type="dxa"/>
              <w:start w:w="85" w:type="dxa"/>
              <w:bottom w:w="60" w:type="dxa"/>
              <w:end w:w="85" w:type="dxa"/>
            </w:tcMar>
          </w:tcPr>
          <w:p>
            <w:pPr>
              <w:pStyle w:val="BodyText"/>
              <w:spacing w:before="0" w:after="0" w:line="220" w:lineRule="auto"/>
              <w:jc w:val="right"/>
            </w:pPr>
            <w:r>
              <w:t>160</w:t>
            </w:r>
          </w:p>
        </w:tc>
        <w:tc>
          <w:tcPr>
            <w:tcW w:w="950" w:type="dxa"/>
            <w:tcMar>
              <w:top w:w="60" w:type="dxa"/>
              <w:start w:w="85" w:type="dxa"/>
              <w:bottom w:w="60" w:type="dxa"/>
              <w:end w:w="85" w:type="dxa"/>
            </w:tcMar>
          </w:tcPr>
          <w:p>
            <w:pPr>
              <w:pStyle w:val="BodyText"/>
              <w:spacing w:before="0" w:after="0" w:line="220" w:lineRule="auto"/>
              <w:jc w:val="right"/>
            </w:pPr>
            <w:r>
              <w:t>160</w:t>
            </w:r>
          </w:p>
        </w:tc>
        <w:tc>
          <w:tcPr>
            <w:tcW w:w="950" w:type="dxa"/>
            <w:tcMar>
              <w:top w:w="60" w:type="dxa"/>
              <w:start w:w="85" w:type="dxa"/>
              <w:bottom w:w="60" w:type="dxa"/>
              <w:end w:w="85" w:type="dxa"/>
            </w:tcMar>
          </w:tcPr>
          <w:p>
            <w:pPr>
              <w:pStyle w:val="BodyText"/>
              <w:spacing w:before="0" w:after="0" w:line="220" w:lineRule="auto"/>
              <w:jc w:val="right"/>
            </w:pPr>
            <w:r>
              <w:t>160</w:t>
            </w:r>
          </w:p>
        </w:tc>
        <w:tc>
          <w:tcPr>
            <w:tcW w:w="1708" w:type="dxa"/>
            <w:tcMar>
              <w:top w:w="60" w:type="dxa"/>
              <w:start w:w="85" w:type="dxa"/>
              <w:bottom w:w="60" w:type="dxa"/>
              <w:end w:w="85" w:type="dxa"/>
            </w:tcMar>
          </w:tcPr>
          <w:p>
            <w:pPr>
              <w:pStyle w:val="BodyText"/>
              <w:spacing w:before="0" w:after="0" w:line="220" w:lineRule="auto"/>
            </w:pPr>
            <w:r>
              <w:t>小时/月</w:t>
            </w:r>
          </w:p>
        </w:tc>
      </w:tr>
      <w:tr>
        <w:trPr>
          <w:cantSplit/>
        </w:trPr>
        <w:tc>
          <w:tcPr>
            <w:tcW w:w="4392" w:type="dxa"/>
            <w:tcMar>
              <w:top w:w="60" w:type="dxa"/>
              <w:start w:w="85" w:type="dxa"/>
              <w:bottom w:w="60" w:type="dxa"/>
              <w:end w:w="85" w:type="dxa"/>
            </w:tcMar>
          </w:tcPr>
          <w:p>
            <w:pPr>
              <w:pStyle w:val="BodyText"/>
              <w:spacing w:before="0" w:after="0" w:line="220" w:lineRule="auto"/>
            </w:pPr>
            <w:r>
              <w:t>A23 每月外部增援上限</w:t>
              <w:br/>
              <w:t>依据：按项目招募预算，未聘用；超出则拒绝接单/改期</w:t>
            </w:r>
          </w:p>
        </w:tc>
        <w:tc>
          <w:tcPr>
            <w:tcW w:w="950" w:type="dxa"/>
            <w:tcMar>
              <w:top w:w="60" w:type="dxa"/>
              <w:start w:w="85" w:type="dxa"/>
              <w:bottom w:w="60" w:type="dxa"/>
              <w:end w:w="85" w:type="dxa"/>
            </w:tcMar>
          </w:tcPr>
          <w:p>
            <w:pPr>
              <w:pStyle w:val="BodyText"/>
              <w:spacing w:before="0" w:after="0" w:line="220" w:lineRule="auto"/>
              <w:jc w:val="right"/>
            </w:pPr>
            <w:r>
              <w:t>160</w:t>
            </w:r>
          </w:p>
        </w:tc>
        <w:tc>
          <w:tcPr>
            <w:tcW w:w="950" w:type="dxa"/>
            <w:tcMar>
              <w:top w:w="60" w:type="dxa"/>
              <w:start w:w="85" w:type="dxa"/>
              <w:bottom w:w="60" w:type="dxa"/>
              <w:end w:w="85" w:type="dxa"/>
            </w:tcMar>
          </w:tcPr>
          <w:p>
            <w:pPr>
              <w:pStyle w:val="BodyText"/>
              <w:spacing w:before="0" w:after="0" w:line="220" w:lineRule="auto"/>
              <w:jc w:val="right"/>
            </w:pPr>
            <w:r>
              <w:t>160</w:t>
            </w:r>
          </w:p>
        </w:tc>
        <w:tc>
          <w:tcPr>
            <w:tcW w:w="950" w:type="dxa"/>
            <w:tcMar>
              <w:top w:w="60" w:type="dxa"/>
              <w:start w:w="85" w:type="dxa"/>
              <w:bottom w:w="60" w:type="dxa"/>
              <w:end w:w="85" w:type="dxa"/>
            </w:tcMar>
          </w:tcPr>
          <w:p>
            <w:pPr>
              <w:pStyle w:val="BodyText"/>
              <w:spacing w:before="0" w:after="0" w:line="220" w:lineRule="auto"/>
              <w:jc w:val="right"/>
            </w:pPr>
            <w:r>
              <w:t>160</w:t>
            </w:r>
          </w:p>
        </w:tc>
        <w:tc>
          <w:tcPr>
            <w:tcW w:w="1708" w:type="dxa"/>
            <w:tcMar>
              <w:top w:w="60" w:type="dxa"/>
              <w:start w:w="85" w:type="dxa"/>
              <w:bottom w:w="60" w:type="dxa"/>
              <w:end w:w="85" w:type="dxa"/>
            </w:tcMar>
          </w:tcPr>
          <w:p>
            <w:pPr>
              <w:pStyle w:val="BodyText"/>
              <w:spacing w:before="0" w:after="0" w:line="220" w:lineRule="auto"/>
            </w:pPr>
            <w:r>
              <w:t>小时/月</w:t>
            </w:r>
          </w:p>
        </w:tc>
      </w:tr>
    </w:tbl>
    <w:p>
      <w:pPr>
        <w:pStyle w:val="BodyText"/>
      </w:pPr>
      <w:r>
        <w:t>优先确认的事项是对外合同主体、实际服务人员与可投入时间、首批机构名单、课程任务、报价范围、模型预算与学校准入要求。财务模型中的自有资金、追加资金和外部增援均未承诺。没有证据的项目保持未知，不将默认预算视为真实状态。 所有A01至A23均为低置信度、待确认的经营假设，影响收入、成本、产能和资金需求；计算结果可信不代表输入已成立。模型尚未计入坏账、采购延期超过一个月、价格大幅波动或突发重做；实际税务处理未定，签约前须按真实条款重算。</w:t>
      </w:r>
    </w:p>
    <w:p>
      <w:pPr>
        <w:pStyle w:val="Heading1"/>
        <w:pageBreakBefore/>
      </w:pPr>
      <w:bookmarkStart w:id="1020" w:name="_TocBlocky20"/>
      <w:r>
        <w:t>Appendix B. 资料来源</w:t>
      </w:r>
      <w:bookmarkEnd w:id="1020"/>
    </w:p>
    <w:p>
      <w:pPr>
        <w:pStyle w:val="BodyText"/>
      </w:pPr>
      <w:r>
        <w:t>竞品公开信息沿用交接时2026年10月3日的核对记录，本轮云端访问被网络策略拒绝，未重新核验变化，因此不采用动态用户数或价格。公开页面只证明产品公开描述，不能证明其教学效果。Blocky已实现范围由产品契约和普通包演示支持，本地分支实验不构成Windows故事课程或真人课堂证据。</w:t>
      </w:r>
    </w:p>
    <w:p>
      <w:pPr>
        <w:pStyle w:val="BodyText"/>
      </w:pPr>
      <w:r>
        <w:t>[P3] 产品公开说明：Blocky具备角色、上下文、条件、记忆、模型、受控工具和运行轨迹；这些技术能力不自动证明小学适用性。项目尚无真实学校合同、课程效果或收入证据。</w:t>
      </w:r>
    </w:p>
    <w:p>
      <w:pPr>
        <w:pStyle w:val="BodyText"/>
      </w:pPr>
      <w:r>
        <w:t>[S2] Scratch Foundation：《Starter Projects》。网页未标发布日期。访问日期：2026-10-03。https://scratchfoundation.org/learn/learning-library/starter-projects</w:t>
      </w:r>
    </w:p>
    <w:p>
      <w:pPr>
        <w:pStyle w:val="BodyText"/>
      </w:pPr>
      <w:r>
        <w:t>[S3] Blocks Builder AI：《Features》。网页未标发布日期。访问日期：2026-10-03。https://blocksbuilder.ai/features</w:t>
      </w:r>
    </w:p>
    <w:p>
      <w:pPr>
        <w:pStyle w:val="BodyText"/>
      </w:pPr>
      <w:r>
        <w:t>[S4] Blocks Builder AI：《Pricing》。网页未标发布日期。访问日期：2026-10-03。https://blocksbuilder.ai/pricing</w:t>
      </w:r>
    </w:p>
    <w:p>
      <w:pPr>
        <w:pStyle w:val="BodyText"/>
      </w:pPr>
      <w:r>
        <w:t>[S5] Dify：《Dify for Education》。网页未标发布日期。访问日期：2026-10-03。https://dify.ai/education</w:t>
      </w:r>
    </w:p>
    <w:p>
      <w:pPr>
        <w:pStyle w:val="BodyText"/>
      </w:pPr>
      <w:r>
        <w:t>[P1] Blocky Studio 0.8.0-chat：2026年10月3日团队使用合成水循环资料的Windows普通包演示。画布为本地原文整理；构建助手另行调用息壤deepseek-v4-pro，三次可读响应共7717Token。新稿制作未新增外部大模型请求。[P2] 本轮同源领域Runtime的故事条件实验，两次规则分支完成并返回不同结构化结果；没有调用生成式模型、Windows界面或学生参与。</w:t>
      </w:r>
    </w:p>
    <w:p>
      <w:pPr>
        <w:pStyle w:val="Heading1"/>
        <w:pageBreakBefore/>
      </w:pPr>
      <w:bookmarkStart w:id="1021" w:name="_TocBlocky21"/>
      <w:r>
        <w:t>Appendix C. 情景分析</w:t>
      </w:r>
      <w:bookmarkEnd w:id="1021"/>
    </w:p>
    <w:p>
      <w:pPr>
        <w:pStyle w:val="BodyText"/>
      </w:pPr>
      <w:r>
        <w:t>三种情景同时改变合同量、服务均价、交付工时、模型额度及预算单价，并调整固定费用和回款比例。悲观情景表示更少合同、更低价格、更重支持和更高模型支出；积极情景表示成交与复用改善，但增加核心投入和高峰增援。Table 7（表7）的金额直接提取配套工作簿计算结果，单位为万元。</w:t>
      </w:r>
    </w:p>
    <w:p>
      <w:pPr>
        <w:pStyle w:val="Tabletitle"/>
        <w:keepNext/>
      </w:pPr>
      <w:r>
        <w:t>Table 7. 三年情景测算</w:t>
      </w:r>
    </w:p>
    <w:tbl>
      <w:tblPr>
        <w:tblStyle w:val="TableGrid"/>
        <w:tblW w:w="8950" w:type="dxa"/>
        <w:tblInd w:w="85" w:type="dxa"/>
        <w:tblLayout w:type="fixed"/>
        <w:tblLook w:firstRow="1"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blPr>
      <w:tblGrid>
        <w:gridCol w:w="1181"/>
        <w:gridCol w:w="907"/>
        <w:gridCol w:w="1296"/>
        <w:gridCol w:w="1296"/>
        <w:gridCol w:w="1296"/>
        <w:gridCol w:w="2974"/>
      </w:tblGrid>
      <w:tr>
        <w:trPr>
          <w:cantSplit/>
          <w:tblHeader w:val="true"/>
        </w:trPr>
        <w:tc>
          <w:tcPr>
            <w:tcW w:w="1181" w:type="dxa"/>
            <w:tcMar>
              <w:top w:w="60" w:type="dxa"/>
              <w:start w:w="85" w:type="dxa"/>
              <w:bottom w:w="60" w:type="dxa"/>
              <w:end w:w="85" w:type="dxa"/>
            </w:tcMar>
          </w:tcPr>
          <w:p>
            <w:pPr>
              <w:pStyle w:val="BodyText"/>
              <w:spacing w:before="0" w:after="0" w:line="220" w:lineRule="auto"/>
            </w:pPr>
            <w:r>
              <w:t>情景</w:t>
            </w:r>
          </w:p>
        </w:tc>
        <w:tc>
          <w:tcPr>
            <w:tcW w:w="907" w:type="dxa"/>
            <w:tcMar>
              <w:top w:w="60" w:type="dxa"/>
              <w:start w:w="85" w:type="dxa"/>
              <w:bottom w:w="60" w:type="dxa"/>
              <w:end w:w="85" w:type="dxa"/>
            </w:tcMar>
          </w:tcPr>
          <w:p>
            <w:pPr>
              <w:pStyle w:val="BodyText"/>
              <w:spacing w:before="0" w:after="0" w:line="220" w:lineRule="auto"/>
            </w:pPr>
            <w:r>
              <w:t>年份</w:t>
            </w:r>
          </w:p>
        </w:tc>
        <w:tc>
          <w:tcPr>
            <w:tcW w:w="1296" w:type="dxa"/>
            <w:tcMar>
              <w:top w:w="60" w:type="dxa"/>
              <w:start w:w="85" w:type="dxa"/>
              <w:bottom w:w="60" w:type="dxa"/>
              <w:end w:w="85" w:type="dxa"/>
            </w:tcMar>
          </w:tcPr>
          <w:p>
            <w:pPr>
              <w:pStyle w:val="BodyText"/>
              <w:spacing w:before="0" w:after="0" w:line="220" w:lineRule="auto"/>
            </w:pPr>
            <w:r>
              <w:t>收入</w:t>
            </w:r>
          </w:p>
        </w:tc>
        <w:tc>
          <w:tcPr>
            <w:tcW w:w="1296" w:type="dxa"/>
            <w:tcMar>
              <w:top w:w="60" w:type="dxa"/>
              <w:start w:w="85" w:type="dxa"/>
              <w:bottom w:w="60" w:type="dxa"/>
              <w:end w:w="85" w:type="dxa"/>
            </w:tcMar>
          </w:tcPr>
          <w:p>
            <w:pPr>
              <w:pStyle w:val="BodyText"/>
              <w:spacing w:before="0" w:after="0" w:line="220" w:lineRule="auto"/>
            </w:pPr>
            <w:r>
              <w:t>费用</w:t>
            </w:r>
          </w:p>
        </w:tc>
        <w:tc>
          <w:tcPr>
            <w:tcW w:w="1296" w:type="dxa"/>
            <w:tcMar>
              <w:top w:w="60" w:type="dxa"/>
              <w:start w:w="85" w:type="dxa"/>
              <w:bottom w:w="60" w:type="dxa"/>
              <w:end w:w="85" w:type="dxa"/>
            </w:tcMar>
          </w:tcPr>
          <w:p>
            <w:pPr>
              <w:pStyle w:val="BodyText"/>
              <w:spacing w:before="0" w:after="0" w:line="220" w:lineRule="auto"/>
            </w:pPr>
            <w:r>
              <w:t>损益</w:t>
            </w:r>
          </w:p>
        </w:tc>
        <w:tc>
          <w:tcPr>
            <w:tcW w:w="2974" w:type="dxa"/>
            <w:tcMar>
              <w:top w:w="60" w:type="dxa"/>
              <w:start w:w="85" w:type="dxa"/>
              <w:bottom w:w="60" w:type="dxa"/>
              <w:end w:w="85" w:type="dxa"/>
            </w:tcMar>
          </w:tcPr>
          <w:p>
            <w:pPr>
              <w:pStyle w:val="BodyText"/>
              <w:spacing w:before="0" w:after="0" w:line="220" w:lineRule="auto"/>
            </w:pPr>
            <w:r>
              <w:t>未追加资金期末现金</w:t>
            </w:r>
          </w:p>
        </w:tc>
      </w:tr>
      <w:tr>
        <w:trPr>
          <w:cantSplit/>
        </w:trPr>
        <w:tc>
          <w:tcPr>
            <w:tcW w:w="1181" w:type="dxa"/>
            <w:tcMar>
              <w:top w:w="60" w:type="dxa"/>
              <w:start w:w="85" w:type="dxa"/>
              <w:bottom w:w="60" w:type="dxa"/>
              <w:end w:w="85" w:type="dxa"/>
            </w:tcMar>
          </w:tcPr>
          <w:p>
            <w:pPr>
              <w:pStyle w:val="BodyText"/>
              <w:spacing w:before="0" w:after="0" w:line="220" w:lineRule="auto"/>
            </w:pPr>
            <w:r>
              <w:t>基准</w:t>
            </w:r>
          </w:p>
        </w:tc>
        <w:tc>
          <w:tcPr>
            <w:tcW w:w="907" w:type="dxa"/>
            <w:tcMar>
              <w:top w:w="60" w:type="dxa"/>
              <w:start w:w="85" w:type="dxa"/>
              <w:bottom w:w="60" w:type="dxa"/>
              <w:end w:w="85" w:type="dxa"/>
            </w:tcMar>
          </w:tcPr>
          <w:p>
            <w:pPr>
              <w:pStyle w:val="BodyText"/>
              <w:spacing w:before="0" w:after="0" w:line="220" w:lineRule="auto"/>
              <w:jc w:val="right"/>
            </w:pPr>
            <w:r>
              <w:t>2027</w:t>
            </w:r>
          </w:p>
        </w:tc>
        <w:tc>
          <w:tcPr>
            <w:tcW w:w="1296" w:type="dxa"/>
            <w:tcMar>
              <w:top w:w="60" w:type="dxa"/>
              <w:start w:w="85" w:type="dxa"/>
              <w:bottom w:w="60" w:type="dxa"/>
              <w:end w:w="85" w:type="dxa"/>
            </w:tcMar>
          </w:tcPr>
          <w:p>
            <w:pPr>
              <w:pStyle w:val="BodyText"/>
              <w:spacing w:before="0" w:after="0" w:line="220" w:lineRule="auto"/>
              <w:jc w:val="right"/>
            </w:pPr>
            <w:r>
              <w:t>7.200</w:t>
            </w:r>
          </w:p>
        </w:tc>
        <w:tc>
          <w:tcPr>
            <w:tcW w:w="1296" w:type="dxa"/>
            <w:tcMar>
              <w:top w:w="60" w:type="dxa"/>
              <w:start w:w="85" w:type="dxa"/>
              <w:bottom w:w="60" w:type="dxa"/>
              <w:end w:w="85" w:type="dxa"/>
            </w:tcMar>
          </w:tcPr>
          <w:p>
            <w:pPr>
              <w:pStyle w:val="BodyText"/>
              <w:spacing w:before="0" w:after="0" w:line="220" w:lineRule="auto"/>
              <w:jc w:val="right"/>
            </w:pPr>
            <w:r>
              <w:t>13.264</w:t>
            </w:r>
          </w:p>
        </w:tc>
        <w:tc>
          <w:tcPr>
            <w:tcW w:w="1296" w:type="dxa"/>
            <w:tcMar>
              <w:top w:w="60" w:type="dxa"/>
              <w:start w:w="85" w:type="dxa"/>
              <w:bottom w:w="60" w:type="dxa"/>
              <w:end w:w="85" w:type="dxa"/>
            </w:tcMar>
          </w:tcPr>
          <w:p>
            <w:pPr>
              <w:pStyle w:val="BodyText"/>
              <w:spacing w:before="0" w:after="0" w:line="220" w:lineRule="auto"/>
              <w:jc w:val="right"/>
            </w:pPr>
            <w:r>
              <w:t>−6.064</w:t>
            </w:r>
          </w:p>
        </w:tc>
        <w:tc>
          <w:tcPr>
            <w:tcW w:w="2974" w:type="dxa"/>
            <w:tcMar>
              <w:top w:w="60" w:type="dxa"/>
              <w:start w:w="85" w:type="dxa"/>
              <w:bottom w:w="60" w:type="dxa"/>
              <w:end w:w="85" w:type="dxa"/>
            </w:tcMar>
          </w:tcPr>
          <w:p>
            <w:pPr>
              <w:pStyle w:val="BodyText"/>
              <w:spacing w:before="0" w:after="0" w:line="220" w:lineRule="auto"/>
              <w:jc w:val="right"/>
            </w:pPr>
            <w:r>
              <w:t>−4.864</w:t>
            </w:r>
          </w:p>
        </w:tc>
      </w:tr>
      <w:tr>
        <w:trPr>
          <w:cantSplit/>
        </w:trPr>
        <w:tc>
          <w:tcPr>
            <w:tcW w:w="1181" w:type="dxa"/>
            <w:tcMar>
              <w:top w:w="60" w:type="dxa"/>
              <w:start w:w="85" w:type="dxa"/>
              <w:bottom w:w="60" w:type="dxa"/>
              <w:end w:w="85" w:type="dxa"/>
            </w:tcMar>
          </w:tcPr>
          <w:p>
            <w:pPr>
              <w:pStyle w:val="BodyText"/>
              <w:spacing w:before="0" w:after="0" w:line="220" w:lineRule="auto"/>
            </w:pPr>
            <w:r>
              <w:t>基准</w:t>
            </w:r>
          </w:p>
        </w:tc>
        <w:tc>
          <w:tcPr>
            <w:tcW w:w="907" w:type="dxa"/>
            <w:tcMar>
              <w:top w:w="60" w:type="dxa"/>
              <w:start w:w="85" w:type="dxa"/>
              <w:bottom w:w="60" w:type="dxa"/>
              <w:end w:w="85" w:type="dxa"/>
            </w:tcMar>
          </w:tcPr>
          <w:p>
            <w:pPr>
              <w:pStyle w:val="BodyText"/>
              <w:spacing w:before="0" w:after="0" w:line="220" w:lineRule="auto"/>
              <w:jc w:val="right"/>
            </w:pPr>
            <w:r>
              <w:t>2028</w:t>
            </w:r>
          </w:p>
        </w:tc>
        <w:tc>
          <w:tcPr>
            <w:tcW w:w="1296" w:type="dxa"/>
            <w:tcMar>
              <w:top w:w="60" w:type="dxa"/>
              <w:start w:w="85" w:type="dxa"/>
              <w:bottom w:w="60" w:type="dxa"/>
              <w:end w:w="85" w:type="dxa"/>
            </w:tcMar>
          </w:tcPr>
          <w:p>
            <w:pPr>
              <w:pStyle w:val="BodyText"/>
              <w:spacing w:before="0" w:after="0" w:line="220" w:lineRule="auto"/>
              <w:jc w:val="right"/>
            </w:pPr>
            <w:r>
              <w:t>18.000</w:t>
            </w:r>
          </w:p>
        </w:tc>
        <w:tc>
          <w:tcPr>
            <w:tcW w:w="1296" w:type="dxa"/>
            <w:tcMar>
              <w:top w:w="60" w:type="dxa"/>
              <w:start w:w="85" w:type="dxa"/>
              <w:bottom w:w="60" w:type="dxa"/>
              <w:end w:w="85" w:type="dxa"/>
            </w:tcMar>
          </w:tcPr>
          <w:p>
            <w:pPr>
              <w:pStyle w:val="BodyText"/>
              <w:spacing w:before="0" w:after="0" w:line="220" w:lineRule="auto"/>
              <w:jc w:val="right"/>
            </w:pPr>
            <w:r>
              <w:t>18.840</w:t>
            </w:r>
          </w:p>
        </w:tc>
        <w:tc>
          <w:tcPr>
            <w:tcW w:w="1296" w:type="dxa"/>
            <w:tcMar>
              <w:top w:w="60" w:type="dxa"/>
              <w:start w:w="85" w:type="dxa"/>
              <w:bottom w:w="60" w:type="dxa"/>
              <w:end w:w="85" w:type="dxa"/>
            </w:tcMar>
          </w:tcPr>
          <w:p>
            <w:pPr>
              <w:pStyle w:val="BodyText"/>
              <w:spacing w:before="0" w:after="0" w:line="220" w:lineRule="auto"/>
              <w:jc w:val="right"/>
            </w:pPr>
            <w:r>
              <w:t>−0.840</w:t>
            </w:r>
          </w:p>
        </w:tc>
        <w:tc>
          <w:tcPr>
            <w:tcW w:w="2974" w:type="dxa"/>
            <w:tcMar>
              <w:top w:w="60" w:type="dxa"/>
              <w:start w:w="85" w:type="dxa"/>
              <w:bottom w:w="60" w:type="dxa"/>
              <w:end w:w="85" w:type="dxa"/>
            </w:tcMar>
          </w:tcPr>
          <w:p>
            <w:pPr>
              <w:pStyle w:val="BodyText"/>
              <w:spacing w:before="0" w:after="0" w:line="220" w:lineRule="auto"/>
              <w:jc w:val="right"/>
            </w:pPr>
            <w:r>
              <w:t>−6.204</w:t>
            </w:r>
          </w:p>
        </w:tc>
      </w:tr>
      <w:tr>
        <w:trPr>
          <w:cantSplit/>
        </w:trPr>
        <w:tc>
          <w:tcPr>
            <w:tcW w:w="1181" w:type="dxa"/>
            <w:tcMar>
              <w:top w:w="60" w:type="dxa"/>
              <w:start w:w="85" w:type="dxa"/>
              <w:bottom w:w="60" w:type="dxa"/>
              <w:end w:w="85" w:type="dxa"/>
            </w:tcMar>
          </w:tcPr>
          <w:p>
            <w:pPr>
              <w:pStyle w:val="BodyText"/>
              <w:spacing w:before="0" w:after="0" w:line="220" w:lineRule="auto"/>
            </w:pPr>
            <w:r>
              <w:t>基准</w:t>
            </w:r>
          </w:p>
        </w:tc>
        <w:tc>
          <w:tcPr>
            <w:tcW w:w="907" w:type="dxa"/>
            <w:tcMar>
              <w:top w:w="60" w:type="dxa"/>
              <w:start w:w="85" w:type="dxa"/>
              <w:bottom w:w="60" w:type="dxa"/>
              <w:end w:w="85" w:type="dxa"/>
            </w:tcMar>
          </w:tcPr>
          <w:p>
            <w:pPr>
              <w:pStyle w:val="BodyText"/>
              <w:spacing w:before="0" w:after="0" w:line="220" w:lineRule="auto"/>
              <w:jc w:val="right"/>
            </w:pPr>
            <w:r>
              <w:t>2029</w:t>
            </w:r>
          </w:p>
        </w:tc>
        <w:tc>
          <w:tcPr>
            <w:tcW w:w="1296" w:type="dxa"/>
            <w:tcMar>
              <w:top w:w="60" w:type="dxa"/>
              <w:start w:w="85" w:type="dxa"/>
              <w:bottom w:w="60" w:type="dxa"/>
              <w:end w:w="85" w:type="dxa"/>
            </w:tcMar>
          </w:tcPr>
          <w:p>
            <w:pPr>
              <w:pStyle w:val="BodyText"/>
              <w:spacing w:before="0" w:after="0" w:line="220" w:lineRule="auto"/>
              <w:jc w:val="right"/>
            </w:pPr>
            <w:r>
              <w:t>32.400</w:t>
            </w:r>
          </w:p>
        </w:tc>
        <w:tc>
          <w:tcPr>
            <w:tcW w:w="1296" w:type="dxa"/>
            <w:tcMar>
              <w:top w:w="60" w:type="dxa"/>
              <w:start w:w="85" w:type="dxa"/>
              <w:bottom w:w="60" w:type="dxa"/>
              <w:end w:w="85" w:type="dxa"/>
            </w:tcMar>
          </w:tcPr>
          <w:p>
            <w:pPr>
              <w:pStyle w:val="BodyText"/>
              <w:spacing w:before="0" w:after="0" w:line="220" w:lineRule="auto"/>
              <w:jc w:val="right"/>
            </w:pPr>
            <w:r>
              <w:t>26.968</w:t>
            </w:r>
          </w:p>
        </w:tc>
        <w:tc>
          <w:tcPr>
            <w:tcW w:w="1296" w:type="dxa"/>
            <w:tcMar>
              <w:top w:w="60" w:type="dxa"/>
              <w:start w:w="85" w:type="dxa"/>
              <w:bottom w:w="60" w:type="dxa"/>
              <w:end w:w="85" w:type="dxa"/>
            </w:tcMar>
          </w:tcPr>
          <w:p>
            <w:pPr>
              <w:pStyle w:val="BodyText"/>
              <w:spacing w:before="0" w:after="0" w:line="220" w:lineRule="auto"/>
              <w:jc w:val="right"/>
            </w:pPr>
            <w:r>
              <w:t>5.432</w:t>
            </w:r>
          </w:p>
        </w:tc>
        <w:tc>
          <w:tcPr>
            <w:tcW w:w="2974" w:type="dxa"/>
            <w:tcMar>
              <w:top w:w="60" w:type="dxa"/>
              <w:start w:w="85" w:type="dxa"/>
              <w:bottom w:w="60" w:type="dxa"/>
              <w:end w:w="85" w:type="dxa"/>
            </w:tcMar>
          </w:tcPr>
          <w:p>
            <w:pPr>
              <w:pStyle w:val="BodyText"/>
              <w:spacing w:before="0" w:after="0" w:line="220" w:lineRule="auto"/>
              <w:jc w:val="right"/>
            </w:pPr>
            <w:r>
              <w:t>−0.372</w:t>
            </w:r>
          </w:p>
        </w:tc>
      </w:tr>
      <w:tr>
        <w:trPr>
          <w:cantSplit/>
        </w:trPr>
        <w:tc>
          <w:tcPr>
            <w:tcW w:w="1181" w:type="dxa"/>
            <w:tcMar>
              <w:top w:w="60" w:type="dxa"/>
              <w:start w:w="85" w:type="dxa"/>
              <w:bottom w:w="60" w:type="dxa"/>
              <w:end w:w="85" w:type="dxa"/>
            </w:tcMar>
          </w:tcPr>
          <w:p>
            <w:pPr>
              <w:pStyle w:val="BodyText"/>
              <w:spacing w:before="0" w:after="0" w:line="220" w:lineRule="auto"/>
            </w:pPr>
            <w:r>
              <w:t>悲观</w:t>
            </w:r>
          </w:p>
        </w:tc>
        <w:tc>
          <w:tcPr>
            <w:tcW w:w="907" w:type="dxa"/>
            <w:tcMar>
              <w:top w:w="60" w:type="dxa"/>
              <w:start w:w="85" w:type="dxa"/>
              <w:bottom w:w="60" w:type="dxa"/>
              <w:end w:w="85" w:type="dxa"/>
            </w:tcMar>
          </w:tcPr>
          <w:p>
            <w:pPr>
              <w:pStyle w:val="BodyText"/>
              <w:spacing w:before="0" w:after="0" w:line="220" w:lineRule="auto"/>
              <w:jc w:val="right"/>
            </w:pPr>
            <w:r>
              <w:t>2027</w:t>
            </w:r>
          </w:p>
        </w:tc>
        <w:tc>
          <w:tcPr>
            <w:tcW w:w="1296" w:type="dxa"/>
            <w:tcMar>
              <w:top w:w="60" w:type="dxa"/>
              <w:start w:w="85" w:type="dxa"/>
              <w:bottom w:w="60" w:type="dxa"/>
              <w:end w:w="85" w:type="dxa"/>
            </w:tcMar>
          </w:tcPr>
          <w:p>
            <w:pPr>
              <w:pStyle w:val="BodyText"/>
              <w:spacing w:before="0" w:after="0" w:line="220" w:lineRule="auto"/>
              <w:jc w:val="right"/>
            </w:pPr>
            <w:r>
              <w:t>3.000</w:t>
            </w:r>
          </w:p>
        </w:tc>
        <w:tc>
          <w:tcPr>
            <w:tcW w:w="1296" w:type="dxa"/>
            <w:tcMar>
              <w:top w:w="60" w:type="dxa"/>
              <w:start w:w="85" w:type="dxa"/>
              <w:bottom w:w="60" w:type="dxa"/>
              <w:end w:w="85" w:type="dxa"/>
            </w:tcMar>
          </w:tcPr>
          <w:p>
            <w:pPr>
              <w:pStyle w:val="BodyText"/>
              <w:spacing w:before="0" w:after="0" w:line="220" w:lineRule="auto"/>
              <w:jc w:val="right"/>
            </w:pPr>
            <w:r>
              <w:t>12.520</w:t>
            </w:r>
          </w:p>
        </w:tc>
        <w:tc>
          <w:tcPr>
            <w:tcW w:w="1296" w:type="dxa"/>
            <w:tcMar>
              <w:top w:w="60" w:type="dxa"/>
              <w:start w:w="85" w:type="dxa"/>
              <w:bottom w:w="60" w:type="dxa"/>
              <w:end w:w="85" w:type="dxa"/>
            </w:tcMar>
          </w:tcPr>
          <w:p>
            <w:pPr>
              <w:pStyle w:val="BodyText"/>
              <w:spacing w:before="0" w:after="0" w:line="220" w:lineRule="auto"/>
              <w:jc w:val="right"/>
            </w:pPr>
            <w:r>
              <w:t>−9.520</w:t>
            </w:r>
          </w:p>
        </w:tc>
        <w:tc>
          <w:tcPr>
            <w:tcW w:w="2974" w:type="dxa"/>
            <w:tcMar>
              <w:top w:w="60" w:type="dxa"/>
              <w:start w:w="85" w:type="dxa"/>
              <w:bottom w:w="60" w:type="dxa"/>
              <w:end w:w="85" w:type="dxa"/>
            </w:tcMar>
          </w:tcPr>
          <w:p>
            <w:pPr>
              <w:pStyle w:val="BodyText"/>
              <w:spacing w:before="0" w:after="0" w:line="220" w:lineRule="auto"/>
              <w:jc w:val="right"/>
            </w:pPr>
            <w:r>
              <w:t>−8.320</w:t>
            </w:r>
          </w:p>
        </w:tc>
      </w:tr>
      <w:tr>
        <w:trPr>
          <w:cantSplit/>
        </w:trPr>
        <w:tc>
          <w:tcPr>
            <w:tcW w:w="1181" w:type="dxa"/>
            <w:tcMar>
              <w:top w:w="60" w:type="dxa"/>
              <w:start w:w="85" w:type="dxa"/>
              <w:bottom w:w="60" w:type="dxa"/>
              <w:end w:w="85" w:type="dxa"/>
            </w:tcMar>
          </w:tcPr>
          <w:p>
            <w:pPr>
              <w:pStyle w:val="BodyText"/>
              <w:spacing w:before="0" w:after="0" w:line="220" w:lineRule="auto"/>
            </w:pPr>
            <w:r>
              <w:t>悲观</w:t>
            </w:r>
          </w:p>
        </w:tc>
        <w:tc>
          <w:tcPr>
            <w:tcW w:w="907" w:type="dxa"/>
            <w:tcMar>
              <w:top w:w="60" w:type="dxa"/>
              <w:start w:w="85" w:type="dxa"/>
              <w:bottom w:w="60" w:type="dxa"/>
              <w:end w:w="85" w:type="dxa"/>
            </w:tcMar>
          </w:tcPr>
          <w:p>
            <w:pPr>
              <w:pStyle w:val="BodyText"/>
              <w:spacing w:before="0" w:after="0" w:line="220" w:lineRule="auto"/>
              <w:jc w:val="right"/>
            </w:pPr>
            <w:r>
              <w:t>2028</w:t>
            </w:r>
          </w:p>
        </w:tc>
        <w:tc>
          <w:tcPr>
            <w:tcW w:w="1296" w:type="dxa"/>
            <w:tcMar>
              <w:top w:w="60" w:type="dxa"/>
              <w:start w:w="85" w:type="dxa"/>
              <w:bottom w:w="60" w:type="dxa"/>
              <w:end w:w="85" w:type="dxa"/>
            </w:tcMar>
          </w:tcPr>
          <w:p>
            <w:pPr>
              <w:pStyle w:val="BodyText"/>
              <w:spacing w:before="0" w:after="0" w:line="220" w:lineRule="auto"/>
              <w:jc w:val="right"/>
            </w:pPr>
            <w:r>
              <w:t>6.000</w:t>
            </w:r>
          </w:p>
        </w:tc>
        <w:tc>
          <w:tcPr>
            <w:tcW w:w="1296" w:type="dxa"/>
            <w:tcMar>
              <w:top w:w="60" w:type="dxa"/>
              <w:start w:w="85" w:type="dxa"/>
              <w:bottom w:w="60" w:type="dxa"/>
              <w:end w:w="85" w:type="dxa"/>
            </w:tcMar>
          </w:tcPr>
          <w:p>
            <w:pPr>
              <w:pStyle w:val="BodyText"/>
              <w:spacing w:before="0" w:after="0" w:line="220" w:lineRule="auto"/>
              <w:jc w:val="right"/>
            </w:pPr>
            <w:r>
              <w:t>15.280</w:t>
            </w:r>
          </w:p>
        </w:tc>
        <w:tc>
          <w:tcPr>
            <w:tcW w:w="1296" w:type="dxa"/>
            <w:tcMar>
              <w:top w:w="60" w:type="dxa"/>
              <w:start w:w="85" w:type="dxa"/>
              <w:bottom w:w="60" w:type="dxa"/>
              <w:end w:w="85" w:type="dxa"/>
            </w:tcMar>
          </w:tcPr>
          <w:p>
            <w:pPr>
              <w:pStyle w:val="BodyText"/>
              <w:spacing w:before="0" w:after="0" w:line="220" w:lineRule="auto"/>
              <w:jc w:val="right"/>
            </w:pPr>
            <w:r>
              <w:t>−9.280</w:t>
            </w:r>
          </w:p>
        </w:tc>
        <w:tc>
          <w:tcPr>
            <w:tcW w:w="2974" w:type="dxa"/>
            <w:tcMar>
              <w:top w:w="60" w:type="dxa"/>
              <w:start w:w="85" w:type="dxa"/>
              <w:bottom w:w="60" w:type="dxa"/>
              <w:end w:w="85" w:type="dxa"/>
            </w:tcMar>
          </w:tcPr>
          <w:p>
            <w:pPr>
              <w:pStyle w:val="BodyText"/>
              <w:spacing w:before="0" w:after="0" w:line="220" w:lineRule="auto"/>
              <w:jc w:val="right"/>
            </w:pPr>
            <w:r>
              <w:t>−17.200</w:t>
            </w:r>
          </w:p>
        </w:tc>
      </w:tr>
      <w:tr>
        <w:trPr>
          <w:cantSplit/>
        </w:trPr>
        <w:tc>
          <w:tcPr>
            <w:tcW w:w="1181" w:type="dxa"/>
            <w:tcMar>
              <w:top w:w="60" w:type="dxa"/>
              <w:start w:w="85" w:type="dxa"/>
              <w:bottom w:w="60" w:type="dxa"/>
              <w:end w:w="85" w:type="dxa"/>
            </w:tcMar>
          </w:tcPr>
          <w:p>
            <w:pPr>
              <w:pStyle w:val="BodyText"/>
              <w:spacing w:before="0" w:after="0" w:line="220" w:lineRule="auto"/>
            </w:pPr>
            <w:r>
              <w:t>悲观</w:t>
            </w:r>
          </w:p>
        </w:tc>
        <w:tc>
          <w:tcPr>
            <w:tcW w:w="907" w:type="dxa"/>
            <w:tcMar>
              <w:top w:w="60" w:type="dxa"/>
              <w:start w:w="85" w:type="dxa"/>
              <w:bottom w:w="60" w:type="dxa"/>
              <w:end w:w="85" w:type="dxa"/>
            </w:tcMar>
          </w:tcPr>
          <w:p>
            <w:pPr>
              <w:pStyle w:val="BodyText"/>
              <w:spacing w:before="0" w:after="0" w:line="220" w:lineRule="auto"/>
              <w:jc w:val="right"/>
            </w:pPr>
            <w:r>
              <w:t>2029</w:t>
            </w:r>
          </w:p>
        </w:tc>
        <w:tc>
          <w:tcPr>
            <w:tcW w:w="1296" w:type="dxa"/>
            <w:tcMar>
              <w:top w:w="60" w:type="dxa"/>
              <w:start w:w="85" w:type="dxa"/>
              <w:bottom w:w="60" w:type="dxa"/>
              <w:end w:w="85" w:type="dxa"/>
            </w:tcMar>
          </w:tcPr>
          <w:p>
            <w:pPr>
              <w:pStyle w:val="BodyText"/>
              <w:spacing w:before="0" w:after="0" w:line="220" w:lineRule="auto"/>
              <w:jc w:val="right"/>
            </w:pPr>
            <w:r>
              <w:t>9.000</w:t>
            </w:r>
          </w:p>
        </w:tc>
        <w:tc>
          <w:tcPr>
            <w:tcW w:w="1296" w:type="dxa"/>
            <w:tcMar>
              <w:top w:w="60" w:type="dxa"/>
              <w:start w:w="85" w:type="dxa"/>
              <w:bottom w:w="60" w:type="dxa"/>
              <w:end w:w="85" w:type="dxa"/>
            </w:tcMar>
          </w:tcPr>
          <w:p>
            <w:pPr>
              <w:pStyle w:val="BodyText"/>
              <w:spacing w:before="0" w:after="0" w:line="220" w:lineRule="auto"/>
              <w:jc w:val="right"/>
            </w:pPr>
            <w:r>
              <w:t>18.040</w:t>
            </w:r>
          </w:p>
        </w:tc>
        <w:tc>
          <w:tcPr>
            <w:tcW w:w="1296" w:type="dxa"/>
            <w:tcMar>
              <w:top w:w="60" w:type="dxa"/>
              <w:start w:w="85" w:type="dxa"/>
              <w:bottom w:w="60" w:type="dxa"/>
              <w:end w:w="85" w:type="dxa"/>
            </w:tcMar>
          </w:tcPr>
          <w:p>
            <w:pPr>
              <w:pStyle w:val="BodyText"/>
              <w:spacing w:before="0" w:after="0" w:line="220" w:lineRule="auto"/>
              <w:jc w:val="right"/>
            </w:pPr>
            <w:r>
              <w:t>−9.040</w:t>
            </w:r>
          </w:p>
        </w:tc>
        <w:tc>
          <w:tcPr>
            <w:tcW w:w="2974" w:type="dxa"/>
            <w:tcMar>
              <w:top w:w="60" w:type="dxa"/>
              <w:start w:w="85" w:type="dxa"/>
              <w:bottom w:w="60" w:type="dxa"/>
              <w:end w:w="85" w:type="dxa"/>
            </w:tcMar>
          </w:tcPr>
          <w:p>
            <w:pPr>
              <w:pStyle w:val="BodyText"/>
              <w:spacing w:before="0" w:after="0" w:line="220" w:lineRule="auto"/>
              <w:jc w:val="right"/>
            </w:pPr>
            <w:r>
              <w:t>−25.840</w:t>
            </w:r>
          </w:p>
        </w:tc>
      </w:tr>
      <w:tr>
        <w:trPr>
          <w:cantSplit/>
        </w:trPr>
        <w:tc>
          <w:tcPr>
            <w:tcW w:w="1181" w:type="dxa"/>
            <w:tcMar>
              <w:top w:w="60" w:type="dxa"/>
              <w:start w:w="85" w:type="dxa"/>
              <w:bottom w:w="60" w:type="dxa"/>
              <w:end w:w="85" w:type="dxa"/>
            </w:tcMar>
          </w:tcPr>
          <w:p>
            <w:pPr>
              <w:pStyle w:val="BodyText"/>
              <w:spacing w:before="0" w:after="0" w:line="220" w:lineRule="auto"/>
            </w:pPr>
            <w:r>
              <w:t>积极</w:t>
            </w:r>
          </w:p>
        </w:tc>
        <w:tc>
          <w:tcPr>
            <w:tcW w:w="907" w:type="dxa"/>
            <w:tcMar>
              <w:top w:w="60" w:type="dxa"/>
              <w:start w:w="85" w:type="dxa"/>
              <w:bottom w:w="60" w:type="dxa"/>
              <w:end w:w="85" w:type="dxa"/>
            </w:tcMar>
          </w:tcPr>
          <w:p>
            <w:pPr>
              <w:pStyle w:val="BodyText"/>
              <w:spacing w:before="0" w:after="0" w:line="220" w:lineRule="auto"/>
              <w:jc w:val="right"/>
            </w:pPr>
            <w:r>
              <w:t>2027</w:t>
            </w:r>
          </w:p>
        </w:tc>
        <w:tc>
          <w:tcPr>
            <w:tcW w:w="1296" w:type="dxa"/>
            <w:tcMar>
              <w:top w:w="60" w:type="dxa"/>
              <w:start w:w="85" w:type="dxa"/>
              <w:bottom w:w="60" w:type="dxa"/>
              <w:end w:w="85" w:type="dxa"/>
            </w:tcMar>
          </w:tcPr>
          <w:p>
            <w:pPr>
              <w:pStyle w:val="BodyText"/>
              <w:spacing w:before="0" w:after="0" w:line="220" w:lineRule="auto"/>
              <w:jc w:val="right"/>
            </w:pPr>
            <w:r>
              <w:t>13.200</w:t>
            </w:r>
          </w:p>
        </w:tc>
        <w:tc>
          <w:tcPr>
            <w:tcW w:w="1296" w:type="dxa"/>
            <w:tcMar>
              <w:top w:w="60" w:type="dxa"/>
              <w:start w:w="85" w:type="dxa"/>
              <w:bottom w:w="60" w:type="dxa"/>
              <w:end w:w="85" w:type="dxa"/>
            </w:tcMar>
          </w:tcPr>
          <w:p>
            <w:pPr>
              <w:pStyle w:val="BodyText"/>
              <w:spacing w:before="0" w:after="0" w:line="220" w:lineRule="auto"/>
              <w:jc w:val="right"/>
            </w:pPr>
            <w:r>
              <w:t>18.094</w:t>
            </w:r>
          </w:p>
        </w:tc>
        <w:tc>
          <w:tcPr>
            <w:tcW w:w="1296" w:type="dxa"/>
            <w:tcMar>
              <w:top w:w="60" w:type="dxa"/>
              <w:start w:w="85" w:type="dxa"/>
              <w:bottom w:w="60" w:type="dxa"/>
              <w:end w:w="85" w:type="dxa"/>
            </w:tcMar>
          </w:tcPr>
          <w:p>
            <w:pPr>
              <w:pStyle w:val="BodyText"/>
              <w:spacing w:before="0" w:after="0" w:line="220" w:lineRule="auto"/>
              <w:jc w:val="right"/>
            </w:pPr>
            <w:r>
              <w:t>−4.894</w:t>
            </w:r>
          </w:p>
        </w:tc>
        <w:tc>
          <w:tcPr>
            <w:tcW w:w="2974" w:type="dxa"/>
            <w:tcMar>
              <w:top w:w="60" w:type="dxa"/>
              <w:start w:w="85" w:type="dxa"/>
              <w:bottom w:w="60" w:type="dxa"/>
              <w:end w:w="85" w:type="dxa"/>
            </w:tcMar>
          </w:tcPr>
          <w:p>
            <w:pPr>
              <w:pStyle w:val="BodyText"/>
              <w:spacing w:before="0" w:after="0" w:line="220" w:lineRule="auto"/>
              <w:jc w:val="right"/>
            </w:pPr>
            <w:r>
              <w:t>−3.694</w:t>
            </w:r>
          </w:p>
        </w:tc>
      </w:tr>
      <w:tr>
        <w:trPr>
          <w:cantSplit/>
        </w:trPr>
        <w:tc>
          <w:tcPr>
            <w:tcW w:w="1181" w:type="dxa"/>
            <w:tcMar>
              <w:top w:w="60" w:type="dxa"/>
              <w:start w:w="85" w:type="dxa"/>
              <w:bottom w:w="60" w:type="dxa"/>
              <w:end w:w="85" w:type="dxa"/>
            </w:tcMar>
          </w:tcPr>
          <w:p>
            <w:pPr>
              <w:pStyle w:val="BodyText"/>
              <w:spacing w:before="0" w:after="0" w:line="220" w:lineRule="auto"/>
            </w:pPr>
            <w:r>
              <w:t>积极</w:t>
            </w:r>
          </w:p>
        </w:tc>
        <w:tc>
          <w:tcPr>
            <w:tcW w:w="907" w:type="dxa"/>
            <w:tcMar>
              <w:top w:w="60" w:type="dxa"/>
              <w:start w:w="85" w:type="dxa"/>
              <w:bottom w:w="60" w:type="dxa"/>
              <w:end w:w="85" w:type="dxa"/>
            </w:tcMar>
          </w:tcPr>
          <w:p>
            <w:pPr>
              <w:pStyle w:val="BodyText"/>
              <w:spacing w:before="0" w:after="0" w:line="220" w:lineRule="auto"/>
              <w:jc w:val="right"/>
            </w:pPr>
            <w:r>
              <w:t>2028</w:t>
            </w:r>
          </w:p>
        </w:tc>
        <w:tc>
          <w:tcPr>
            <w:tcW w:w="1296" w:type="dxa"/>
            <w:tcMar>
              <w:top w:w="60" w:type="dxa"/>
              <w:start w:w="85" w:type="dxa"/>
              <w:bottom w:w="60" w:type="dxa"/>
              <w:end w:w="85" w:type="dxa"/>
            </w:tcMar>
          </w:tcPr>
          <w:p>
            <w:pPr>
              <w:pStyle w:val="BodyText"/>
              <w:spacing w:before="0" w:after="0" w:line="220" w:lineRule="auto"/>
              <w:jc w:val="right"/>
            </w:pPr>
            <w:r>
              <w:t>30.800</w:t>
            </w:r>
          </w:p>
        </w:tc>
        <w:tc>
          <w:tcPr>
            <w:tcW w:w="1296" w:type="dxa"/>
            <w:tcMar>
              <w:top w:w="60" w:type="dxa"/>
              <w:start w:w="85" w:type="dxa"/>
              <w:bottom w:w="60" w:type="dxa"/>
              <w:end w:w="85" w:type="dxa"/>
            </w:tcMar>
          </w:tcPr>
          <w:p>
            <w:pPr>
              <w:pStyle w:val="BodyText"/>
              <w:spacing w:before="0" w:after="0" w:line="220" w:lineRule="auto"/>
              <w:jc w:val="right"/>
            </w:pPr>
            <w:r>
              <w:t>25.486</w:t>
            </w:r>
          </w:p>
        </w:tc>
        <w:tc>
          <w:tcPr>
            <w:tcW w:w="1296" w:type="dxa"/>
            <w:tcMar>
              <w:top w:w="60" w:type="dxa"/>
              <w:start w:w="85" w:type="dxa"/>
              <w:bottom w:w="60" w:type="dxa"/>
              <w:end w:w="85" w:type="dxa"/>
            </w:tcMar>
          </w:tcPr>
          <w:p>
            <w:pPr>
              <w:pStyle w:val="BodyText"/>
              <w:spacing w:before="0" w:after="0" w:line="220" w:lineRule="auto"/>
              <w:jc w:val="right"/>
            </w:pPr>
            <w:r>
              <w:t>5.314</w:t>
            </w:r>
          </w:p>
        </w:tc>
        <w:tc>
          <w:tcPr>
            <w:tcW w:w="2974" w:type="dxa"/>
            <w:tcMar>
              <w:top w:w="60" w:type="dxa"/>
              <w:start w:w="85" w:type="dxa"/>
              <w:bottom w:w="60" w:type="dxa"/>
              <w:end w:w="85" w:type="dxa"/>
            </w:tcMar>
          </w:tcPr>
          <w:p>
            <w:pPr>
              <w:pStyle w:val="BodyText"/>
              <w:spacing w:before="0" w:after="0" w:line="220" w:lineRule="auto"/>
              <w:jc w:val="right"/>
            </w:pPr>
            <w:r>
              <w:t>0.920</w:t>
            </w:r>
          </w:p>
        </w:tc>
      </w:tr>
      <w:tr>
        <w:trPr>
          <w:cantSplit/>
        </w:trPr>
        <w:tc>
          <w:tcPr>
            <w:tcW w:w="1181" w:type="dxa"/>
            <w:tcMar>
              <w:top w:w="60" w:type="dxa"/>
              <w:start w:w="85" w:type="dxa"/>
              <w:bottom w:w="60" w:type="dxa"/>
              <w:end w:w="85" w:type="dxa"/>
            </w:tcMar>
          </w:tcPr>
          <w:p>
            <w:pPr>
              <w:pStyle w:val="BodyText"/>
              <w:spacing w:before="0" w:after="0" w:line="220" w:lineRule="auto"/>
            </w:pPr>
            <w:r>
              <w:t>积极</w:t>
            </w:r>
          </w:p>
        </w:tc>
        <w:tc>
          <w:tcPr>
            <w:tcW w:w="907" w:type="dxa"/>
            <w:tcMar>
              <w:top w:w="60" w:type="dxa"/>
              <w:start w:w="85" w:type="dxa"/>
              <w:bottom w:w="60" w:type="dxa"/>
              <w:end w:w="85" w:type="dxa"/>
            </w:tcMar>
          </w:tcPr>
          <w:p>
            <w:pPr>
              <w:pStyle w:val="BodyText"/>
              <w:spacing w:before="0" w:after="0" w:line="220" w:lineRule="auto"/>
              <w:jc w:val="right"/>
            </w:pPr>
            <w:r>
              <w:t>2029</w:t>
            </w:r>
          </w:p>
        </w:tc>
        <w:tc>
          <w:tcPr>
            <w:tcW w:w="1296" w:type="dxa"/>
            <w:tcMar>
              <w:top w:w="60" w:type="dxa"/>
              <w:start w:w="85" w:type="dxa"/>
              <w:bottom w:w="60" w:type="dxa"/>
              <w:end w:w="85" w:type="dxa"/>
            </w:tcMar>
          </w:tcPr>
          <w:p>
            <w:pPr>
              <w:pStyle w:val="BodyText"/>
              <w:spacing w:before="0" w:after="0" w:line="220" w:lineRule="auto"/>
              <w:jc w:val="right"/>
            </w:pPr>
            <w:r>
              <w:t>52.800</w:t>
            </w:r>
          </w:p>
        </w:tc>
        <w:tc>
          <w:tcPr>
            <w:tcW w:w="1296" w:type="dxa"/>
            <w:tcMar>
              <w:top w:w="60" w:type="dxa"/>
              <w:start w:w="85" w:type="dxa"/>
              <w:bottom w:w="60" w:type="dxa"/>
              <w:end w:w="85" w:type="dxa"/>
            </w:tcMar>
          </w:tcPr>
          <w:p>
            <w:pPr>
              <w:pStyle w:val="BodyText"/>
              <w:spacing w:before="0" w:after="0" w:line="220" w:lineRule="auto"/>
              <w:jc w:val="right"/>
            </w:pPr>
            <w:r>
              <w:t>35.176</w:t>
            </w:r>
          </w:p>
        </w:tc>
        <w:tc>
          <w:tcPr>
            <w:tcW w:w="1296" w:type="dxa"/>
            <w:tcMar>
              <w:top w:w="60" w:type="dxa"/>
              <w:start w:w="85" w:type="dxa"/>
              <w:bottom w:w="60" w:type="dxa"/>
              <w:end w:w="85" w:type="dxa"/>
            </w:tcMar>
          </w:tcPr>
          <w:p>
            <w:pPr>
              <w:pStyle w:val="BodyText"/>
              <w:spacing w:before="0" w:after="0" w:line="220" w:lineRule="auto"/>
              <w:jc w:val="right"/>
            </w:pPr>
            <w:r>
              <w:t>17.624</w:t>
            </w:r>
          </w:p>
        </w:tc>
        <w:tc>
          <w:tcPr>
            <w:tcW w:w="2974" w:type="dxa"/>
            <w:tcMar>
              <w:top w:w="60" w:type="dxa"/>
              <w:start w:w="85" w:type="dxa"/>
              <w:bottom w:w="60" w:type="dxa"/>
              <w:end w:w="85" w:type="dxa"/>
            </w:tcMar>
          </w:tcPr>
          <w:p>
            <w:pPr>
              <w:pStyle w:val="BodyText"/>
              <w:spacing w:before="0" w:after="0" w:line="220" w:lineRule="auto"/>
              <w:jc w:val="right"/>
            </w:pPr>
            <w:r>
              <w:t>17.844</w:t>
            </w:r>
          </w:p>
        </w:tc>
      </w:tr>
    </w:tbl>
    <w:p>
      <w:pPr>
        <w:pStyle w:val="BodyText"/>
      </w:pPr>
      <w:r>
        <w:t>现金缺口已计入假设的2万元期初自有资金；未追加资金的负现金表示资金不足，不能作为可持续经营状态。Table 8（表8）另列峰值缺口及储备需求。为了勾稽，工作簿也展示假设在2027年1月补足所需资金后的现金路径，这仅是融资敏感性演算。</w:t>
      </w:r>
    </w:p>
    <w:p>
      <w:pPr>
        <w:pStyle w:val="Tabletitle"/>
        <w:keepNext/>
      </w:pPr>
      <w:r>
        <w:t>Table 8. 追加资金需求</w:t>
      </w:r>
    </w:p>
    <w:tbl>
      <w:tblPr>
        <w:tblStyle w:val="TableGrid"/>
        <w:tblW w:w="8950" w:type="dxa"/>
        <w:tblInd w:w="85" w:type="dxa"/>
        <w:tblLayout w:type="fixed"/>
        <w:tblLook w:firstRow="1"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blPr>
      <w:tblGrid>
        <w:gridCol w:w="1325"/>
        <w:gridCol w:w="2448"/>
        <w:gridCol w:w="2304"/>
        <w:gridCol w:w="2873"/>
      </w:tblGrid>
      <w:tr>
        <w:trPr>
          <w:cantSplit/>
          <w:tblHeader w:val="true"/>
        </w:trPr>
        <w:tc>
          <w:tcPr>
            <w:tcW w:w="1325" w:type="dxa"/>
            <w:tcMar>
              <w:top w:w="60" w:type="dxa"/>
              <w:start w:w="85" w:type="dxa"/>
              <w:bottom w:w="60" w:type="dxa"/>
              <w:end w:w="85" w:type="dxa"/>
            </w:tcMar>
          </w:tcPr>
          <w:p>
            <w:pPr>
              <w:pStyle w:val="BodyText"/>
              <w:spacing w:before="0" w:after="0" w:line="220" w:lineRule="auto"/>
            </w:pPr>
            <w:r>
              <w:t>情景</w:t>
            </w:r>
          </w:p>
        </w:tc>
        <w:tc>
          <w:tcPr>
            <w:tcW w:w="2448" w:type="dxa"/>
            <w:tcMar>
              <w:top w:w="60" w:type="dxa"/>
              <w:start w:w="85" w:type="dxa"/>
              <w:bottom w:w="60" w:type="dxa"/>
              <w:end w:w="85" w:type="dxa"/>
            </w:tcMar>
          </w:tcPr>
          <w:p>
            <w:pPr>
              <w:pStyle w:val="BodyText"/>
              <w:spacing w:before="0" w:after="0" w:line="220" w:lineRule="auto"/>
            </w:pPr>
            <w:r>
              <w:t>峰值缺口（万元）</w:t>
            </w:r>
          </w:p>
        </w:tc>
        <w:tc>
          <w:tcPr>
            <w:tcW w:w="2304" w:type="dxa"/>
            <w:tcMar>
              <w:top w:w="60" w:type="dxa"/>
              <w:start w:w="85" w:type="dxa"/>
              <w:bottom w:w="60" w:type="dxa"/>
              <w:end w:w="85" w:type="dxa"/>
            </w:tcMar>
          </w:tcPr>
          <w:p>
            <w:pPr>
              <w:pStyle w:val="BodyText"/>
              <w:spacing w:before="0" w:after="0" w:line="220" w:lineRule="auto"/>
            </w:pPr>
            <w:r>
              <w:t>发生月份</w:t>
            </w:r>
          </w:p>
        </w:tc>
        <w:tc>
          <w:tcPr>
            <w:tcW w:w="2873" w:type="dxa"/>
            <w:tcMar>
              <w:top w:w="60" w:type="dxa"/>
              <w:start w:w="85" w:type="dxa"/>
              <w:bottom w:w="60" w:type="dxa"/>
              <w:end w:w="85" w:type="dxa"/>
            </w:tcMar>
          </w:tcPr>
          <w:p>
            <w:pPr>
              <w:pStyle w:val="BodyText"/>
              <w:spacing w:before="0" w:after="0" w:line="220" w:lineRule="auto"/>
            </w:pPr>
            <w:r>
              <w:t>含2万元储备（万元）</w:t>
            </w:r>
          </w:p>
        </w:tc>
      </w:tr>
      <w:tr>
        <w:trPr>
          <w:cantSplit/>
        </w:trPr>
        <w:tc>
          <w:tcPr>
            <w:tcW w:w="1325" w:type="dxa"/>
            <w:tcMar>
              <w:top w:w="60" w:type="dxa"/>
              <w:start w:w="85" w:type="dxa"/>
              <w:bottom w:w="60" w:type="dxa"/>
              <w:end w:w="85" w:type="dxa"/>
            </w:tcMar>
          </w:tcPr>
          <w:p>
            <w:pPr>
              <w:pStyle w:val="BodyText"/>
              <w:spacing w:before="0" w:after="0" w:line="220" w:lineRule="auto"/>
            </w:pPr>
            <w:r>
              <w:t>基准</w:t>
            </w:r>
          </w:p>
        </w:tc>
        <w:tc>
          <w:tcPr>
            <w:tcW w:w="2448" w:type="dxa"/>
            <w:tcMar>
              <w:top w:w="60" w:type="dxa"/>
              <w:start w:w="85" w:type="dxa"/>
              <w:bottom w:w="60" w:type="dxa"/>
              <w:end w:w="85" w:type="dxa"/>
            </w:tcMar>
          </w:tcPr>
          <w:p>
            <w:pPr>
              <w:pStyle w:val="BodyText"/>
              <w:spacing w:before="0" w:after="0" w:line="220" w:lineRule="auto"/>
              <w:jc w:val="right"/>
            </w:pPr>
            <w:r>
              <w:t>8.300</w:t>
            </w:r>
          </w:p>
        </w:tc>
        <w:tc>
          <w:tcPr>
            <w:tcW w:w="2304" w:type="dxa"/>
            <w:tcMar>
              <w:top w:w="60" w:type="dxa"/>
              <w:start w:w="85" w:type="dxa"/>
              <w:bottom w:w="60" w:type="dxa"/>
              <w:end w:w="85" w:type="dxa"/>
            </w:tcMar>
          </w:tcPr>
          <w:p>
            <w:pPr>
              <w:pStyle w:val="BodyText"/>
              <w:spacing w:before="0" w:after="0" w:line="220" w:lineRule="auto"/>
            </w:pPr>
            <w:r>
              <w:t>2028-09</w:t>
            </w:r>
          </w:p>
        </w:tc>
        <w:tc>
          <w:tcPr>
            <w:tcW w:w="2873" w:type="dxa"/>
            <w:tcMar>
              <w:top w:w="60" w:type="dxa"/>
              <w:start w:w="85" w:type="dxa"/>
              <w:bottom w:w="60" w:type="dxa"/>
              <w:end w:w="85" w:type="dxa"/>
            </w:tcMar>
          </w:tcPr>
          <w:p>
            <w:pPr>
              <w:pStyle w:val="BodyText"/>
              <w:spacing w:before="0" w:after="0" w:line="220" w:lineRule="auto"/>
              <w:jc w:val="right"/>
            </w:pPr>
            <w:r>
              <w:t>10.300</w:t>
            </w:r>
          </w:p>
        </w:tc>
      </w:tr>
      <w:tr>
        <w:trPr>
          <w:cantSplit/>
        </w:trPr>
        <w:tc>
          <w:tcPr>
            <w:tcW w:w="1325" w:type="dxa"/>
            <w:tcMar>
              <w:top w:w="60" w:type="dxa"/>
              <w:start w:w="85" w:type="dxa"/>
              <w:bottom w:w="60" w:type="dxa"/>
              <w:end w:w="85" w:type="dxa"/>
            </w:tcMar>
          </w:tcPr>
          <w:p>
            <w:pPr>
              <w:pStyle w:val="BodyText"/>
              <w:spacing w:before="0" w:after="0" w:line="220" w:lineRule="auto"/>
            </w:pPr>
            <w:r>
              <w:t>悲观</w:t>
            </w:r>
          </w:p>
        </w:tc>
        <w:tc>
          <w:tcPr>
            <w:tcW w:w="2448" w:type="dxa"/>
            <w:tcMar>
              <w:top w:w="60" w:type="dxa"/>
              <w:start w:w="85" w:type="dxa"/>
              <w:bottom w:w="60" w:type="dxa"/>
              <w:end w:w="85" w:type="dxa"/>
            </w:tcMar>
          </w:tcPr>
          <w:p>
            <w:pPr>
              <w:pStyle w:val="BodyText"/>
              <w:spacing w:before="0" w:after="0" w:line="220" w:lineRule="auto"/>
              <w:jc w:val="right"/>
            </w:pPr>
            <w:r>
              <w:t>26.110</w:t>
            </w:r>
          </w:p>
        </w:tc>
        <w:tc>
          <w:tcPr>
            <w:tcW w:w="2304" w:type="dxa"/>
            <w:tcMar>
              <w:top w:w="60" w:type="dxa"/>
              <w:start w:w="85" w:type="dxa"/>
              <w:bottom w:w="60" w:type="dxa"/>
              <w:end w:w="85" w:type="dxa"/>
            </w:tcMar>
          </w:tcPr>
          <w:p>
            <w:pPr>
              <w:pStyle w:val="BodyText"/>
              <w:spacing w:before="0" w:after="0" w:line="220" w:lineRule="auto"/>
            </w:pPr>
            <w:r>
              <w:t>2029-11</w:t>
            </w:r>
          </w:p>
        </w:tc>
        <w:tc>
          <w:tcPr>
            <w:tcW w:w="2873" w:type="dxa"/>
            <w:tcMar>
              <w:top w:w="60" w:type="dxa"/>
              <w:start w:w="85" w:type="dxa"/>
              <w:bottom w:w="60" w:type="dxa"/>
              <w:end w:w="85" w:type="dxa"/>
            </w:tcMar>
          </w:tcPr>
          <w:p>
            <w:pPr>
              <w:pStyle w:val="BodyText"/>
              <w:spacing w:before="0" w:after="0" w:line="220" w:lineRule="auto"/>
              <w:jc w:val="right"/>
            </w:pPr>
            <w:r>
              <w:t>28.110</w:t>
            </w:r>
          </w:p>
        </w:tc>
      </w:tr>
      <w:tr>
        <w:trPr>
          <w:cantSplit/>
        </w:trPr>
        <w:tc>
          <w:tcPr>
            <w:tcW w:w="1325" w:type="dxa"/>
            <w:tcMar>
              <w:top w:w="60" w:type="dxa"/>
              <w:start w:w="85" w:type="dxa"/>
              <w:bottom w:w="60" w:type="dxa"/>
              <w:end w:w="85" w:type="dxa"/>
            </w:tcMar>
          </w:tcPr>
          <w:p>
            <w:pPr>
              <w:pStyle w:val="BodyText"/>
              <w:spacing w:before="0" w:after="0" w:line="220" w:lineRule="auto"/>
            </w:pPr>
            <w:r>
              <w:t>积极</w:t>
            </w:r>
          </w:p>
        </w:tc>
        <w:tc>
          <w:tcPr>
            <w:tcW w:w="2448" w:type="dxa"/>
            <w:tcMar>
              <w:top w:w="60" w:type="dxa"/>
              <w:start w:w="85" w:type="dxa"/>
              <w:bottom w:w="60" w:type="dxa"/>
              <w:end w:w="85" w:type="dxa"/>
            </w:tcMar>
          </w:tcPr>
          <w:p>
            <w:pPr>
              <w:pStyle w:val="BodyText"/>
              <w:spacing w:before="0" w:after="0" w:line="220" w:lineRule="auto"/>
              <w:jc w:val="right"/>
            </w:pPr>
            <w:r>
              <w:t>5.543</w:t>
            </w:r>
          </w:p>
        </w:tc>
        <w:tc>
          <w:tcPr>
            <w:tcW w:w="2304" w:type="dxa"/>
            <w:tcMar>
              <w:top w:w="60" w:type="dxa"/>
              <w:start w:w="85" w:type="dxa"/>
              <w:bottom w:w="60" w:type="dxa"/>
              <w:end w:w="85" w:type="dxa"/>
            </w:tcMar>
          </w:tcPr>
          <w:p>
            <w:pPr>
              <w:pStyle w:val="BodyText"/>
              <w:spacing w:before="0" w:after="0" w:line="220" w:lineRule="auto"/>
            </w:pPr>
            <w:r>
              <w:t>2028-02</w:t>
            </w:r>
          </w:p>
        </w:tc>
        <w:tc>
          <w:tcPr>
            <w:tcW w:w="2873" w:type="dxa"/>
            <w:tcMar>
              <w:top w:w="60" w:type="dxa"/>
              <w:start w:w="85" w:type="dxa"/>
              <w:bottom w:w="60" w:type="dxa"/>
              <w:end w:w="85" w:type="dxa"/>
            </w:tcMar>
          </w:tcPr>
          <w:p>
            <w:pPr>
              <w:pStyle w:val="BodyText"/>
              <w:spacing w:before="0" w:after="0" w:line="220" w:lineRule="auto"/>
              <w:jc w:val="right"/>
            </w:pPr>
            <w:r>
              <w:t>7.543</w:t>
            </w:r>
          </w:p>
        </w:tc>
      </w:tr>
    </w:tbl>
    <w:p>
      <w:pPr>
        <w:pStyle w:val="BodyText"/>
      </w:pPr>
      <w:r>
        <w:t>悲观情景持续亏损，不能通过一次补足基准资金预算解决。其预警信号来自Table 5（表5）的教师复用、报价反馈、交付工时和现金检查，应触发收缩费用或重新定位。积极情景也依赖尚未落实的销售与外部增援，不能据此提前承担固定招聘或长期租赁承诺。</w:t>
      </w:r>
    </w:p>
    <w:sectPr w:rsidR="00262744" w:rsidSect="00282B95">
      <w:headerReference w:type="default" r:id="rId21"/>
      <w:footerReference w:type="default" r:id="rId22"/>
      <w:pgSz w:w="11906" w:h="16838" w:code="119"/>
      <w:pgMar w:top="1440" w:right="1440" w:bottom="1440" w:left="1440" w:header="720" w:footer="720" w:gutter="0"/>
      <w:cols w:space="708"/>
      <w:docGrid w:linePitch="360"/>
      <w:vAlign w:val="top"/>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EBE98" w14:textId="77777777" w:rsidR="000C5FB0" w:rsidRDefault="000C5FB0" w:rsidP="00EE566F">
      <w:pPr>
        <w:spacing w:after="0" w:line="240" w:lineRule="auto"/>
      </w:pPr>
      <w:r>
        <w:separator/>
      </w:r>
    </w:p>
  </w:endnote>
  <w:endnote w:type="continuationSeparator" w:id="0">
    <w:p w14:paraId="42B7B3D8" w14:textId="77777777" w:rsidR="000C5FB0" w:rsidRDefault="000C5FB0" w:rsidP="00EE5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imes New Roman (Titres CS)">
    <w:altName w:val="Times New Roman"/>
    <w:charset w:val="00"/>
    <w:family w:val="roman"/>
    <w:pitch w:val="default"/>
  </w:font>
  <w:font w:name="Times New Roman (Corp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w:t>
      <w:tab/>
      <w:t xml:space="preserve">Page </w:t>
    </w:r>
    <w:r>
      <w:fldChar w:fldCharType="begin" w:dirty="true"/>
      <w:instrText xml:space="preserve"> PAGE </w:instrText>
      <w:fldChar w:fldCharType="separate"/>
      <w:t>1</w:t>
      <w:fldChar w:fldCharType="end"/>
    </w:r>
    <w:r>
      <w:t xml:space="preserve"> of </w:t>
    </w:r>
    <w:r>
      <w:fldChar w:fldCharType="begin" w:dirty="true"/>
      <w:instrText xml:space="preserve"> NUMPAGES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CC849" w14:textId="77777777" w:rsidR="000C5FB0" w:rsidRDefault="000C5FB0" w:rsidP="00073EED">
      <w:pPr>
        <w:spacing w:after="0" w:line="240" w:lineRule="auto"/>
      </w:pPr>
      <w:r>
        <w:separator/>
      </w:r>
    </w:p>
  </w:footnote>
  <w:footnote w:type="continuationSeparator" w:id="0">
    <w:p w14:paraId="1103FCD2" w14:textId="77777777" w:rsidR="000C5FB0" w:rsidRDefault="000C5FB0" w:rsidP="00EE566F">
      <w:pPr>
        <w:spacing w:after="0" w:line="240" w:lineRule="auto"/>
      </w:pPr>
      <w:r>
        <w:continuationSeparator/>
      </w:r>
    </w:p>
  </w:footnote>
  <w:footnote w:type="continuationNotice" w:id="1">
    <w:p w14:paraId="5A71241D" w14:textId="77777777" w:rsidR="000C5FB0" w:rsidRDefault="000C5F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Blocky Studio 商业计划书</w:t>
      <w:tab/>
      <w:t>Blocky 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08F34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3AE12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965E06"/>
    <w:lvl w:ilvl="0">
      <w:start w:val="1"/>
      <w:numFmt w:val="decimal"/>
      <w:lvlText w:val="%1."/>
      <w:lvlJc w:val="left"/>
      <w:pPr>
        <w:tabs>
          <w:tab w:val="num" w:pos="926"/>
        </w:tabs>
        <w:ind w:left="926" w:hanging="360"/>
      </w:pPr>
    </w:lvl>
  </w:abstractNum>
  <w:abstractNum w:abstractNumId="3" w15:restartNumberingAfterBreak="0">
    <w:nsid w:val="FFFFFF80"/>
    <w:multiLevelType w:val="singleLevel"/>
    <w:tmpl w:val="1F22E004"/>
    <w:lvl w:ilvl="0">
      <w:start w:val="1"/>
      <w:numFmt w:val="bullet"/>
      <w:pStyle w:val="ListBullet5"/>
      <w:lvlText w:val="&gt;"/>
      <w:lvlJc w:val="left"/>
      <w:pPr>
        <w:ind w:left="1680" w:hanging="360"/>
      </w:pPr>
      <w:rPr>
        <w:rFonts w:ascii="Arial" w:hAnsi="Arial" w:hint="default" w:eastAsia="Arial" w:cs="Arial"/>
      </w:rPr>
    </w:lvl>
  </w:abstractNum>
  <w:abstractNum w:abstractNumId="4" w15:restartNumberingAfterBreak="0">
    <w:nsid w:val="FFFFFF81"/>
    <w:multiLevelType w:val="singleLevel"/>
    <w:tmpl w:val="2EEA221E"/>
    <w:lvl w:ilvl="0">
      <w:start w:val="1"/>
      <w:numFmt w:val="bullet"/>
      <w:pStyle w:val="ListBullet4"/>
      <w:lvlText w:val=""/>
      <w:lvlJc w:val="left"/>
      <w:pPr>
        <w:ind w:left="1200" w:hanging="360"/>
      </w:pPr>
      <w:rPr>
        <w:rFonts w:ascii="Arial" w:hAnsi="Arial" w:hint="default" w:eastAsia="Arial" w:cs="Arial"/>
      </w:rPr>
    </w:lvl>
  </w:abstractNum>
  <w:abstractNum w:abstractNumId="5" w15:restartNumberingAfterBreak="0">
    <w:nsid w:val="FFFFFF82"/>
    <w:multiLevelType w:val="singleLevel"/>
    <w:tmpl w:val="62001A14"/>
    <w:lvl w:ilvl="0">
      <w:start w:val="1"/>
      <w:numFmt w:val="bullet"/>
      <w:pStyle w:val="ListBullet3"/>
      <w:lvlText w:val="—"/>
      <w:lvlJc w:val="left"/>
      <w:pPr>
        <w:ind w:left="1080" w:hanging="360"/>
      </w:pPr>
      <w:rPr>
        <w:rFonts w:ascii="Arial" w:hAnsi="Arial" w:hint="default" w:eastAsia="Arial" w:cs="Arial"/>
      </w:rPr>
    </w:lvl>
  </w:abstractNum>
  <w:abstractNum w:abstractNumId="6" w15:restartNumberingAfterBreak="0">
    <w:nsid w:val="FFFFFF83"/>
    <w:multiLevelType w:val="singleLevel"/>
    <w:tmpl w:val="62968040"/>
    <w:lvl w:ilvl="0">
      <w:start w:val="1"/>
      <w:numFmt w:val="bullet"/>
      <w:pStyle w:val="ListBullet2"/>
      <w:lvlText w:val=""/>
      <w:lvlJc w:val="left"/>
      <w:pPr>
        <w:ind w:left="720" w:hanging="360"/>
      </w:pPr>
      <w:rPr>
        <w:rFonts w:ascii="Arial" w:hAnsi="Arial" w:hint="default" w:eastAsia="Arial" w:cs="Arial"/>
      </w:rPr>
    </w:lvl>
  </w:abstractNum>
  <w:abstractNum w:abstractNumId="7" w15:restartNumberingAfterBreak="0">
    <w:nsid w:val="FFFFFF89"/>
    <w:multiLevelType w:val="singleLevel"/>
    <w:tmpl w:val="57B6658E"/>
    <w:lvl w:ilvl="0">
      <w:start w:val="1"/>
      <w:numFmt w:val="bullet"/>
      <w:pStyle w:val="ListBullet"/>
      <w:lvlText w:val=""/>
      <w:lvlJc w:val="left"/>
      <w:pPr>
        <w:ind w:left="360" w:hanging="360"/>
      </w:pPr>
      <w:rPr>
        <w:rFonts w:ascii="Arial" w:hAnsi="Arial" w:hint="default" w:eastAsia="Arial" w:cs="Arial"/>
      </w:rPr>
    </w:lvl>
  </w:abstractNum>
  <w:abstractNum w:abstractNumId="8" w15:restartNumberingAfterBreak="0">
    <w:nsid w:val="05BE6823"/>
    <w:multiLevelType w:val="hybridMultilevel"/>
    <w:tmpl w:val="CD6C3174"/>
    <w:lvl w:ilvl="0" w:tplc="0C0C000F">
      <w:start w:val="1"/>
      <w:numFmt w:val="decimal"/>
      <w:lvlText w:val="%1."/>
      <w:lvlJc w:val="left"/>
      <w:pPr>
        <w:ind w:left="720" w:hanging="360"/>
      </w:pPr>
      <w:rPr>
        <w:rFonts w:hint="default" w:ascii="Arial" w:hAnsi="Arial" w:eastAsia="Arial" w:cs="Arial"/>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7090EE8"/>
    <w:multiLevelType w:val="multilevel"/>
    <w:tmpl w:val="381298E0"/>
    <w:lvl w:ilvl="0">
      <w:start w:val="1"/>
      <w:numFmt w:val="bullet"/>
      <w:lvlText w:val=""/>
      <w:lvlJc w:val="left"/>
      <w:pPr>
        <w:tabs>
          <w:tab w:val="num" w:pos="720"/>
        </w:tabs>
        <w:ind w:left="720" w:hanging="360"/>
      </w:pPr>
      <w:rPr>
        <w:rFonts w:ascii="Arial" w:hAnsi="Arial" w:hint="default" w:eastAsia="Arial" w:cs="Arial"/>
        <w:sz w:val="20"/>
      </w:rPr>
    </w:lvl>
    <w:lvl w:ilvl="1" w:tentative="1">
      <w:start w:val="1"/>
      <w:numFmt w:val="bullet"/>
      <w:lvlText w:val="o"/>
      <w:lvlJc w:val="left"/>
      <w:pPr>
        <w:tabs>
          <w:tab w:val="num" w:pos="1440"/>
        </w:tabs>
        <w:ind w:left="1440" w:hanging="360"/>
      </w:pPr>
      <w:rPr>
        <w:rFonts w:ascii="Arial" w:hAnsi="Arial" w:hint="default" w:eastAsia="Arial" w:cs="Arial"/>
        <w:sz w:val="20"/>
      </w:rPr>
    </w:lvl>
    <w:lvl w:ilvl="2" w:tentative="1">
      <w:start w:val="1"/>
      <w:numFmt w:val="bullet"/>
      <w:lvlText w:val=""/>
      <w:lvlJc w:val="left"/>
      <w:pPr>
        <w:tabs>
          <w:tab w:val="num" w:pos="2160"/>
        </w:tabs>
        <w:ind w:left="2160" w:hanging="360"/>
      </w:pPr>
      <w:rPr>
        <w:rFonts w:ascii="Arial" w:hAnsi="Arial" w:hint="default" w:eastAsia="Arial" w:cs="Arial"/>
        <w:sz w:val="20"/>
      </w:rPr>
    </w:lvl>
    <w:lvl w:ilvl="3" w:tentative="1">
      <w:start w:val="1"/>
      <w:numFmt w:val="bullet"/>
      <w:lvlText w:val=""/>
      <w:lvlJc w:val="left"/>
      <w:pPr>
        <w:tabs>
          <w:tab w:val="num" w:pos="2880"/>
        </w:tabs>
        <w:ind w:left="2880" w:hanging="360"/>
      </w:pPr>
      <w:rPr>
        <w:rFonts w:ascii="Arial" w:hAnsi="Arial" w:hint="default" w:eastAsia="Arial" w:cs="Arial"/>
        <w:sz w:val="20"/>
      </w:rPr>
    </w:lvl>
    <w:lvl w:ilvl="4" w:tentative="1">
      <w:start w:val="1"/>
      <w:numFmt w:val="bullet"/>
      <w:lvlText w:val=""/>
      <w:lvlJc w:val="left"/>
      <w:pPr>
        <w:tabs>
          <w:tab w:val="num" w:pos="3600"/>
        </w:tabs>
        <w:ind w:left="3600" w:hanging="360"/>
      </w:pPr>
      <w:rPr>
        <w:rFonts w:ascii="Arial" w:hAnsi="Arial" w:hint="default" w:eastAsia="Arial" w:cs="Arial"/>
        <w:sz w:val="20"/>
      </w:rPr>
    </w:lvl>
    <w:lvl w:ilvl="5" w:tentative="1">
      <w:start w:val="1"/>
      <w:numFmt w:val="bullet"/>
      <w:lvlText w:val=""/>
      <w:lvlJc w:val="left"/>
      <w:pPr>
        <w:tabs>
          <w:tab w:val="num" w:pos="4320"/>
        </w:tabs>
        <w:ind w:left="4320" w:hanging="360"/>
      </w:pPr>
      <w:rPr>
        <w:rFonts w:ascii="Arial" w:hAnsi="Arial" w:hint="default" w:eastAsia="Arial" w:cs="Arial"/>
        <w:sz w:val="20"/>
      </w:rPr>
    </w:lvl>
    <w:lvl w:ilvl="6" w:tentative="1">
      <w:start w:val="1"/>
      <w:numFmt w:val="bullet"/>
      <w:lvlText w:val=""/>
      <w:lvlJc w:val="left"/>
      <w:pPr>
        <w:tabs>
          <w:tab w:val="num" w:pos="5040"/>
        </w:tabs>
        <w:ind w:left="5040" w:hanging="360"/>
      </w:pPr>
      <w:rPr>
        <w:rFonts w:ascii="Arial" w:hAnsi="Arial" w:hint="default" w:eastAsia="Arial" w:cs="Arial"/>
        <w:sz w:val="20"/>
      </w:rPr>
    </w:lvl>
    <w:lvl w:ilvl="7" w:tentative="1">
      <w:start w:val="1"/>
      <w:numFmt w:val="bullet"/>
      <w:lvlText w:val=""/>
      <w:lvlJc w:val="left"/>
      <w:pPr>
        <w:tabs>
          <w:tab w:val="num" w:pos="5760"/>
        </w:tabs>
        <w:ind w:left="5760" w:hanging="360"/>
      </w:pPr>
      <w:rPr>
        <w:rFonts w:ascii="Arial" w:hAnsi="Arial" w:hint="default" w:eastAsia="Arial" w:cs="Arial"/>
        <w:sz w:val="20"/>
      </w:rPr>
    </w:lvl>
    <w:lvl w:ilvl="8" w:tentative="1">
      <w:start w:val="1"/>
      <w:numFmt w:val="bullet"/>
      <w:lvlText w:val=""/>
      <w:lvlJc w:val="left"/>
      <w:pPr>
        <w:tabs>
          <w:tab w:val="num" w:pos="6480"/>
        </w:tabs>
        <w:ind w:left="6480" w:hanging="360"/>
      </w:pPr>
      <w:rPr>
        <w:rFonts w:ascii="Arial" w:hAnsi="Arial" w:hint="default" w:eastAsia="Arial" w:cs="Arial"/>
        <w:sz w:val="20"/>
      </w:rPr>
    </w:lvl>
  </w:abstractNum>
  <w:abstractNum w:abstractNumId="10" w15:restartNumberingAfterBreak="0">
    <w:nsid w:val="08683BAE"/>
    <w:multiLevelType w:val="hybridMultilevel"/>
    <w:tmpl w:val="77A8F5C0"/>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11" w15:restartNumberingAfterBreak="0">
    <w:nsid w:val="0A56275A"/>
    <w:multiLevelType w:val="hybridMultilevel"/>
    <w:tmpl w:val="D9562FCC"/>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12" w15:restartNumberingAfterBreak="0">
    <w:nsid w:val="0C5F44D4"/>
    <w:multiLevelType w:val="hybridMultilevel"/>
    <w:tmpl w:val="7710320C"/>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13" w15:restartNumberingAfterBreak="0">
    <w:nsid w:val="15C548C0"/>
    <w:multiLevelType w:val="multilevel"/>
    <w:tmpl w:val="5452691C"/>
    <w:lvl w:ilvl="0">
      <w:start w:val="1"/>
      <w:numFmt w:val="bullet"/>
      <w:lvlText w:val=""/>
      <w:lvlJc w:val="left"/>
      <w:pPr>
        <w:tabs>
          <w:tab w:val="num" w:pos="720"/>
        </w:tabs>
        <w:ind w:left="720" w:hanging="360"/>
      </w:pPr>
      <w:rPr>
        <w:rFonts w:ascii="Arial" w:hAnsi="Arial" w:hint="default" w:eastAsia="Arial" w:cs="Arial"/>
        <w:sz w:val="20"/>
      </w:rPr>
    </w:lvl>
    <w:lvl w:ilvl="1" w:tentative="1">
      <w:start w:val="1"/>
      <w:numFmt w:val="bullet"/>
      <w:lvlText w:val="o"/>
      <w:lvlJc w:val="left"/>
      <w:pPr>
        <w:tabs>
          <w:tab w:val="num" w:pos="1440"/>
        </w:tabs>
        <w:ind w:left="1440" w:hanging="360"/>
      </w:pPr>
      <w:rPr>
        <w:rFonts w:ascii="Arial" w:hAnsi="Arial" w:hint="default" w:eastAsia="Arial" w:cs="Arial"/>
        <w:sz w:val="20"/>
      </w:rPr>
    </w:lvl>
    <w:lvl w:ilvl="2" w:tentative="1">
      <w:start w:val="1"/>
      <w:numFmt w:val="bullet"/>
      <w:lvlText w:val=""/>
      <w:lvlJc w:val="left"/>
      <w:pPr>
        <w:tabs>
          <w:tab w:val="num" w:pos="2160"/>
        </w:tabs>
        <w:ind w:left="2160" w:hanging="360"/>
      </w:pPr>
      <w:rPr>
        <w:rFonts w:ascii="Arial" w:hAnsi="Arial" w:hint="default" w:eastAsia="Arial" w:cs="Arial"/>
        <w:sz w:val="20"/>
      </w:rPr>
    </w:lvl>
    <w:lvl w:ilvl="3" w:tentative="1">
      <w:start w:val="1"/>
      <w:numFmt w:val="bullet"/>
      <w:lvlText w:val=""/>
      <w:lvlJc w:val="left"/>
      <w:pPr>
        <w:tabs>
          <w:tab w:val="num" w:pos="2880"/>
        </w:tabs>
        <w:ind w:left="2880" w:hanging="360"/>
      </w:pPr>
      <w:rPr>
        <w:rFonts w:ascii="Arial" w:hAnsi="Arial" w:hint="default" w:eastAsia="Arial" w:cs="Arial"/>
        <w:sz w:val="20"/>
      </w:rPr>
    </w:lvl>
    <w:lvl w:ilvl="4" w:tentative="1">
      <w:start w:val="1"/>
      <w:numFmt w:val="bullet"/>
      <w:lvlText w:val=""/>
      <w:lvlJc w:val="left"/>
      <w:pPr>
        <w:tabs>
          <w:tab w:val="num" w:pos="3600"/>
        </w:tabs>
        <w:ind w:left="3600" w:hanging="360"/>
      </w:pPr>
      <w:rPr>
        <w:rFonts w:ascii="Arial" w:hAnsi="Arial" w:hint="default" w:eastAsia="Arial" w:cs="Arial"/>
        <w:sz w:val="20"/>
      </w:rPr>
    </w:lvl>
    <w:lvl w:ilvl="5" w:tentative="1">
      <w:start w:val="1"/>
      <w:numFmt w:val="bullet"/>
      <w:lvlText w:val=""/>
      <w:lvlJc w:val="left"/>
      <w:pPr>
        <w:tabs>
          <w:tab w:val="num" w:pos="4320"/>
        </w:tabs>
        <w:ind w:left="4320" w:hanging="360"/>
      </w:pPr>
      <w:rPr>
        <w:rFonts w:ascii="Arial" w:hAnsi="Arial" w:hint="default" w:eastAsia="Arial" w:cs="Arial"/>
        <w:sz w:val="20"/>
      </w:rPr>
    </w:lvl>
    <w:lvl w:ilvl="6" w:tentative="1">
      <w:start w:val="1"/>
      <w:numFmt w:val="bullet"/>
      <w:lvlText w:val=""/>
      <w:lvlJc w:val="left"/>
      <w:pPr>
        <w:tabs>
          <w:tab w:val="num" w:pos="5040"/>
        </w:tabs>
        <w:ind w:left="5040" w:hanging="360"/>
      </w:pPr>
      <w:rPr>
        <w:rFonts w:ascii="Arial" w:hAnsi="Arial" w:hint="default" w:eastAsia="Arial" w:cs="Arial"/>
        <w:sz w:val="20"/>
      </w:rPr>
    </w:lvl>
    <w:lvl w:ilvl="7" w:tentative="1">
      <w:start w:val="1"/>
      <w:numFmt w:val="bullet"/>
      <w:lvlText w:val=""/>
      <w:lvlJc w:val="left"/>
      <w:pPr>
        <w:tabs>
          <w:tab w:val="num" w:pos="5760"/>
        </w:tabs>
        <w:ind w:left="5760" w:hanging="360"/>
      </w:pPr>
      <w:rPr>
        <w:rFonts w:ascii="Arial" w:hAnsi="Arial" w:hint="default" w:eastAsia="Arial" w:cs="Arial"/>
        <w:sz w:val="20"/>
      </w:rPr>
    </w:lvl>
    <w:lvl w:ilvl="8" w:tentative="1">
      <w:start w:val="1"/>
      <w:numFmt w:val="bullet"/>
      <w:lvlText w:val=""/>
      <w:lvlJc w:val="left"/>
      <w:pPr>
        <w:tabs>
          <w:tab w:val="num" w:pos="6480"/>
        </w:tabs>
        <w:ind w:left="6480" w:hanging="360"/>
      </w:pPr>
      <w:rPr>
        <w:rFonts w:ascii="Arial" w:hAnsi="Arial" w:hint="default" w:eastAsia="Arial" w:cs="Arial"/>
        <w:sz w:val="20"/>
      </w:rPr>
    </w:lvl>
  </w:abstractNum>
  <w:abstractNum w:abstractNumId="14" w15:restartNumberingAfterBreak="0">
    <w:nsid w:val="19A50147"/>
    <w:multiLevelType w:val="hybridMultilevel"/>
    <w:tmpl w:val="3A38E7BA"/>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15" w15:restartNumberingAfterBreak="0">
    <w:nsid w:val="21D35815"/>
    <w:multiLevelType w:val="hybridMultilevel"/>
    <w:tmpl w:val="E23CA978"/>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16" w15:restartNumberingAfterBreak="0">
    <w:nsid w:val="22292F65"/>
    <w:multiLevelType w:val="hybridMultilevel"/>
    <w:tmpl w:val="0806205A"/>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17" w15:restartNumberingAfterBreak="0">
    <w:nsid w:val="2707661E"/>
    <w:multiLevelType w:val="hybridMultilevel"/>
    <w:tmpl w:val="CB68DC30"/>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18" w15:restartNumberingAfterBreak="0">
    <w:nsid w:val="28725F57"/>
    <w:multiLevelType w:val="multilevel"/>
    <w:tmpl w:val="0C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C15693D"/>
    <w:multiLevelType w:val="hybridMultilevel"/>
    <w:tmpl w:val="3CC60978"/>
    <w:lvl w:ilvl="0" w:tplc="0C0C0001">
      <w:start w:val="1"/>
      <w:numFmt w:val="bullet"/>
      <w:lvlText w:val=""/>
      <w:lvlJc w:val="left"/>
      <w:pPr>
        <w:ind w:left="720" w:hanging="360"/>
      </w:pPr>
      <w:rPr>
        <w:rFonts w:ascii="Arial" w:hAnsi="Arial" w:hint="default" w:eastAsia="Arial" w:cs="Arial"/>
      </w:rPr>
    </w:lvl>
    <w:lvl w:ilvl="1" w:tplc="0C0C0003" w:tentative="1">
      <w:start w:val="1"/>
      <w:numFmt w:val="bullet"/>
      <w:lvlText w:val="o"/>
      <w:lvlJc w:val="left"/>
      <w:pPr>
        <w:ind w:left="1440" w:hanging="360"/>
      </w:pPr>
      <w:rPr>
        <w:rFonts w:ascii="Arial" w:hAnsi="Arial" w:cs="Arial" w:hint="default" w:eastAsia="Arial"/>
      </w:rPr>
    </w:lvl>
    <w:lvl w:ilvl="2" w:tplc="0C0C0005" w:tentative="1">
      <w:start w:val="1"/>
      <w:numFmt w:val="bullet"/>
      <w:lvlText w:val=""/>
      <w:lvlJc w:val="left"/>
      <w:pPr>
        <w:ind w:left="2160" w:hanging="360"/>
      </w:pPr>
      <w:rPr>
        <w:rFonts w:ascii="Arial" w:hAnsi="Arial" w:hint="default" w:eastAsia="Arial" w:cs="Arial"/>
      </w:rPr>
    </w:lvl>
    <w:lvl w:ilvl="3" w:tplc="0C0C0001" w:tentative="1">
      <w:start w:val="1"/>
      <w:numFmt w:val="bullet"/>
      <w:lvlText w:val=""/>
      <w:lvlJc w:val="left"/>
      <w:pPr>
        <w:ind w:left="2880" w:hanging="360"/>
      </w:pPr>
      <w:rPr>
        <w:rFonts w:ascii="Arial" w:hAnsi="Arial" w:hint="default" w:eastAsia="Arial" w:cs="Arial"/>
      </w:rPr>
    </w:lvl>
    <w:lvl w:ilvl="4" w:tplc="0C0C0003" w:tentative="1">
      <w:start w:val="1"/>
      <w:numFmt w:val="bullet"/>
      <w:lvlText w:val="o"/>
      <w:lvlJc w:val="left"/>
      <w:pPr>
        <w:ind w:left="3600" w:hanging="360"/>
      </w:pPr>
      <w:rPr>
        <w:rFonts w:ascii="Arial" w:hAnsi="Arial" w:cs="Arial" w:hint="default" w:eastAsia="Arial"/>
      </w:rPr>
    </w:lvl>
    <w:lvl w:ilvl="5" w:tplc="0C0C0005" w:tentative="1">
      <w:start w:val="1"/>
      <w:numFmt w:val="bullet"/>
      <w:lvlText w:val=""/>
      <w:lvlJc w:val="left"/>
      <w:pPr>
        <w:ind w:left="4320" w:hanging="360"/>
      </w:pPr>
      <w:rPr>
        <w:rFonts w:ascii="Arial" w:hAnsi="Arial" w:hint="default" w:eastAsia="Arial" w:cs="Arial"/>
      </w:rPr>
    </w:lvl>
    <w:lvl w:ilvl="6" w:tplc="0C0C0001" w:tentative="1">
      <w:start w:val="1"/>
      <w:numFmt w:val="bullet"/>
      <w:lvlText w:val=""/>
      <w:lvlJc w:val="left"/>
      <w:pPr>
        <w:ind w:left="5040" w:hanging="360"/>
      </w:pPr>
      <w:rPr>
        <w:rFonts w:ascii="Arial" w:hAnsi="Arial" w:hint="default" w:eastAsia="Arial" w:cs="Arial"/>
      </w:rPr>
    </w:lvl>
    <w:lvl w:ilvl="7" w:tplc="0C0C0003" w:tentative="1">
      <w:start w:val="1"/>
      <w:numFmt w:val="bullet"/>
      <w:lvlText w:val="o"/>
      <w:lvlJc w:val="left"/>
      <w:pPr>
        <w:ind w:left="5760" w:hanging="360"/>
      </w:pPr>
      <w:rPr>
        <w:rFonts w:ascii="Arial" w:hAnsi="Arial" w:cs="Arial" w:hint="default" w:eastAsia="Arial"/>
      </w:rPr>
    </w:lvl>
    <w:lvl w:ilvl="8" w:tplc="0C0C0005" w:tentative="1">
      <w:start w:val="1"/>
      <w:numFmt w:val="bullet"/>
      <w:lvlText w:val=""/>
      <w:lvlJc w:val="left"/>
      <w:pPr>
        <w:ind w:left="6480" w:hanging="360"/>
      </w:pPr>
      <w:rPr>
        <w:rFonts w:ascii="Arial" w:hAnsi="Arial" w:hint="default" w:eastAsia="Arial" w:cs="Arial"/>
      </w:rPr>
    </w:lvl>
  </w:abstractNum>
  <w:abstractNum w:abstractNumId="20" w15:restartNumberingAfterBreak="0">
    <w:nsid w:val="301976A5"/>
    <w:multiLevelType w:val="multilevel"/>
    <w:tmpl w:val="AF782DA6"/>
    <w:lvl w:ilvl="0">
      <w:start w:val="1"/>
      <w:numFmt w:val="bullet"/>
      <w:lvlText w:val=""/>
      <w:lvlJc w:val="left"/>
      <w:pPr>
        <w:tabs>
          <w:tab w:val="num" w:pos="720"/>
        </w:tabs>
        <w:ind w:left="720" w:hanging="360"/>
      </w:pPr>
      <w:rPr>
        <w:rFonts w:ascii="Arial" w:hAnsi="Arial" w:hint="default" w:eastAsia="Arial" w:cs="Arial"/>
        <w:sz w:val="20"/>
      </w:rPr>
    </w:lvl>
    <w:lvl w:ilvl="1" w:tentative="1">
      <w:start w:val="1"/>
      <w:numFmt w:val="bullet"/>
      <w:lvlText w:val="o"/>
      <w:lvlJc w:val="left"/>
      <w:pPr>
        <w:tabs>
          <w:tab w:val="num" w:pos="1440"/>
        </w:tabs>
        <w:ind w:left="1440" w:hanging="360"/>
      </w:pPr>
      <w:rPr>
        <w:rFonts w:ascii="Arial" w:hAnsi="Arial" w:hint="default" w:eastAsia="Arial" w:cs="Arial"/>
        <w:sz w:val="20"/>
      </w:rPr>
    </w:lvl>
    <w:lvl w:ilvl="2" w:tentative="1">
      <w:start w:val="1"/>
      <w:numFmt w:val="bullet"/>
      <w:lvlText w:val=""/>
      <w:lvlJc w:val="left"/>
      <w:pPr>
        <w:tabs>
          <w:tab w:val="num" w:pos="2160"/>
        </w:tabs>
        <w:ind w:left="2160" w:hanging="360"/>
      </w:pPr>
      <w:rPr>
        <w:rFonts w:ascii="Arial" w:hAnsi="Arial" w:hint="default" w:eastAsia="Arial" w:cs="Arial"/>
        <w:sz w:val="20"/>
      </w:rPr>
    </w:lvl>
    <w:lvl w:ilvl="3" w:tentative="1">
      <w:start w:val="1"/>
      <w:numFmt w:val="bullet"/>
      <w:lvlText w:val=""/>
      <w:lvlJc w:val="left"/>
      <w:pPr>
        <w:tabs>
          <w:tab w:val="num" w:pos="2880"/>
        </w:tabs>
        <w:ind w:left="2880" w:hanging="360"/>
      </w:pPr>
      <w:rPr>
        <w:rFonts w:ascii="Arial" w:hAnsi="Arial" w:hint="default" w:eastAsia="Arial" w:cs="Arial"/>
        <w:sz w:val="20"/>
      </w:rPr>
    </w:lvl>
    <w:lvl w:ilvl="4" w:tentative="1">
      <w:start w:val="1"/>
      <w:numFmt w:val="bullet"/>
      <w:lvlText w:val=""/>
      <w:lvlJc w:val="left"/>
      <w:pPr>
        <w:tabs>
          <w:tab w:val="num" w:pos="3600"/>
        </w:tabs>
        <w:ind w:left="3600" w:hanging="360"/>
      </w:pPr>
      <w:rPr>
        <w:rFonts w:ascii="Arial" w:hAnsi="Arial" w:hint="default" w:eastAsia="Arial" w:cs="Arial"/>
        <w:sz w:val="20"/>
      </w:rPr>
    </w:lvl>
    <w:lvl w:ilvl="5" w:tentative="1">
      <w:start w:val="1"/>
      <w:numFmt w:val="bullet"/>
      <w:lvlText w:val=""/>
      <w:lvlJc w:val="left"/>
      <w:pPr>
        <w:tabs>
          <w:tab w:val="num" w:pos="4320"/>
        </w:tabs>
        <w:ind w:left="4320" w:hanging="360"/>
      </w:pPr>
      <w:rPr>
        <w:rFonts w:ascii="Arial" w:hAnsi="Arial" w:hint="default" w:eastAsia="Arial" w:cs="Arial"/>
        <w:sz w:val="20"/>
      </w:rPr>
    </w:lvl>
    <w:lvl w:ilvl="6" w:tentative="1">
      <w:start w:val="1"/>
      <w:numFmt w:val="bullet"/>
      <w:lvlText w:val=""/>
      <w:lvlJc w:val="left"/>
      <w:pPr>
        <w:tabs>
          <w:tab w:val="num" w:pos="5040"/>
        </w:tabs>
        <w:ind w:left="5040" w:hanging="360"/>
      </w:pPr>
      <w:rPr>
        <w:rFonts w:ascii="Arial" w:hAnsi="Arial" w:hint="default" w:eastAsia="Arial" w:cs="Arial"/>
        <w:sz w:val="20"/>
      </w:rPr>
    </w:lvl>
    <w:lvl w:ilvl="7" w:tentative="1">
      <w:start w:val="1"/>
      <w:numFmt w:val="bullet"/>
      <w:lvlText w:val=""/>
      <w:lvlJc w:val="left"/>
      <w:pPr>
        <w:tabs>
          <w:tab w:val="num" w:pos="5760"/>
        </w:tabs>
        <w:ind w:left="5760" w:hanging="360"/>
      </w:pPr>
      <w:rPr>
        <w:rFonts w:ascii="Arial" w:hAnsi="Arial" w:hint="default" w:eastAsia="Arial" w:cs="Arial"/>
        <w:sz w:val="20"/>
      </w:rPr>
    </w:lvl>
    <w:lvl w:ilvl="8" w:tentative="1">
      <w:start w:val="1"/>
      <w:numFmt w:val="bullet"/>
      <w:lvlText w:val=""/>
      <w:lvlJc w:val="left"/>
      <w:pPr>
        <w:tabs>
          <w:tab w:val="num" w:pos="6480"/>
        </w:tabs>
        <w:ind w:left="6480" w:hanging="360"/>
      </w:pPr>
      <w:rPr>
        <w:rFonts w:ascii="Arial" w:hAnsi="Arial" w:hint="default" w:eastAsia="Arial" w:cs="Arial"/>
        <w:sz w:val="20"/>
      </w:rPr>
    </w:lvl>
  </w:abstractNum>
  <w:abstractNum w:abstractNumId="21" w15:restartNumberingAfterBreak="0">
    <w:nsid w:val="32D559ED"/>
    <w:multiLevelType w:val="multilevel"/>
    <w:tmpl w:val="50D46C04"/>
    <w:lvl w:ilvl="0">
      <w:start w:val="1"/>
      <w:numFmt w:val="bullet"/>
      <w:lvlText w:val=""/>
      <w:lvlJc w:val="left"/>
      <w:pPr>
        <w:tabs>
          <w:tab w:val="num" w:pos="720"/>
        </w:tabs>
        <w:ind w:left="720" w:hanging="360"/>
      </w:pPr>
      <w:rPr>
        <w:rFonts w:ascii="Arial" w:hAnsi="Arial" w:hint="default" w:eastAsia="Arial" w:cs="Arial"/>
        <w:sz w:val="20"/>
      </w:rPr>
    </w:lvl>
    <w:lvl w:ilvl="1" w:tentative="1">
      <w:start w:val="1"/>
      <w:numFmt w:val="bullet"/>
      <w:lvlText w:val="o"/>
      <w:lvlJc w:val="left"/>
      <w:pPr>
        <w:tabs>
          <w:tab w:val="num" w:pos="1440"/>
        </w:tabs>
        <w:ind w:left="1440" w:hanging="360"/>
      </w:pPr>
      <w:rPr>
        <w:rFonts w:ascii="Arial" w:hAnsi="Arial" w:hint="default" w:eastAsia="Arial" w:cs="Arial"/>
        <w:sz w:val="20"/>
      </w:rPr>
    </w:lvl>
    <w:lvl w:ilvl="2" w:tentative="1">
      <w:start w:val="1"/>
      <w:numFmt w:val="bullet"/>
      <w:lvlText w:val=""/>
      <w:lvlJc w:val="left"/>
      <w:pPr>
        <w:tabs>
          <w:tab w:val="num" w:pos="2160"/>
        </w:tabs>
        <w:ind w:left="2160" w:hanging="360"/>
      </w:pPr>
      <w:rPr>
        <w:rFonts w:ascii="Arial" w:hAnsi="Arial" w:hint="default" w:eastAsia="Arial" w:cs="Arial"/>
        <w:sz w:val="20"/>
      </w:rPr>
    </w:lvl>
    <w:lvl w:ilvl="3" w:tentative="1">
      <w:start w:val="1"/>
      <w:numFmt w:val="bullet"/>
      <w:lvlText w:val=""/>
      <w:lvlJc w:val="left"/>
      <w:pPr>
        <w:tabs>
          <w:tab w:val="num" w:pos="2880"/>
        </w:tabs>
        <w:ind w:left="2880" w:hanging="360"/>
      </w:pPr>
      <w:rPr>
        <w:rFonts w:ascii="Arial" w:hAnsi="Arial" w:hint="default" w:eastAsia="Arial" w:cs="Arial"/>
        <w:sz w:val="20"/>
      </w:rPr>
    </w:lvl>
    <w:lvl w:ilvl="4" w:tentative="1">
      <w:start w:val="1"/>
      <w:numFmt w:val="bullet"/>
      <w:lvlText w:val=""/>
      <w:lvlJc w:val="left"/>
      <w:pPr>
        <w:tabs>
          <w:tab w:val="num" w:pos="3600"/>
        </w:tabs>
        <w:ind w:left="3600" w:hanging="360"/>
      </w:pPr>
      <w:rPr>
        <w:rFonts w:ascii="Arial" w:hAnsi="Arial" w:hint="default" w:eastAsia="Arial" w:cs="Arial"/>
        <w:sz w:val="20"/>
      </w:rPr>
    </w:lvl>
    <w:lvl w:ilvl="5" w:tentative="1">
      <w:start w:val="1"/>
      <w:numFmt w:val="bullet"/>
      <w:lvlText w:val=""/>
      <w:lvlJc w:val="left"/>
      <w:pPr>
        <w:tabs>
          <w:tab w:val="num" w:pos="4320"/>
        </w:tabs>
        <w:ind w:left="4320" w:hanging="360"/>
      </w:pPr>
      <w:rPr>
        <w:rFonts w:ascii="Arial" w:hAnsi="Arial" w:hint="default" w:eastAsia="Arial" w:cs="Arial"/>
        <w:sz w:val="20"/>
      </w:rPr>
    </w:lvl>
    <w:lvl w:ilvl="6" w:tentative="1">
      <w:start w:val="1"/>
      <w:numFmt w:val="bullet"/>
      <w:lvlText w:val=""/>
      <w:lvlJc w:val="left"/>
      <w:pPr>
        <w:tabs>
          <w:tab w:val="num" w:pos="5040"/>
        </w:tabs>
        <w:ind w:left="5040" w:hanging="360"/>
      </w:pPr>
      <w:rPr>
        <w:rFonts w:ascii="Arial" w:hAnsi="Arial" w:hint="default" w:eastAsia="Arial" w:cs="Arial"/>
        <w:sz w:val="20"/>
      </w:rPr>
    </w:lvl>
    <w:lvl w:ilvl="7" w:tentative="1">
      <w:start w:val="1"/>
      <w:numFmt w:val="bullet"/>
      <w:lvlText w:val=""/>
      <w:lvlJc w:val="left"/>
      <w:pPr>
        <w:tabs>
          <w:tab w:val="num" w:pos="5760"/>
        </w:tabs>
        <w:ind w:left="5760" w:hanging="360"/>
      </w:pPr>
      <w:rPr>
        <w:rFonts w:ascii="Arial" w:hAnsi="Arial" w:hint="default" w:eastAsia="Arial" w:cs="Arial"/>
        <w:sz w:val="20"/>
      </w:rPr>
    </w:lvl>
    <w:lvl w:ilvl="8" w:tentative="1">
      <w:start w:val="1"/>
      <w:numFmt w:val="bullet"/>
      <w:lvlText w:val=""/>
      <w:lvlJc w:val="left"/>
      <w:pPr>
        <w:tabs>
          <w:tab w:val="num" w:pos="6480"/>
        </w:tabs>
        <w:ind w:left="6480" w:hanging="360"/>
      </w:pPr>
      <w:rPr>
        <w:rFonts w:ascii="Arial" w:hAnsi="Arial" w:hint="default" w:eastAsia="Arial" w:cs="Arial"/>
        <w:sz w:val="20"/>
      </w:rPr>
    </w:lvl>
  </w:abstractNum>
  <w:abstractNum w:abstractNumId="22" w15:restartNumberingAfterBreak="0">
    <w:nsid w:val="34525CF3"/>
    <w:multiLevelType w:val="multilevel"/>
    <w:tmpl w:val="47C02034"/>
    <w:lvl w:ilvl="0">
      <w:start w:val="1"/>
      <w:numFmt w:val="bullet"/>
      <w:lvlText w:val=""/>
      <w:lvlJc w:val="left"/>
      <w:pPr>
        <w:tabs>
          <w:tab w:val="num" w:pos="720"/>
        </w:tabs>
        <w:ind w:left="720" w:hanging="360"/>
      </w:pPr>
      <w:rPr>
        <w:rFonts w:ascii="Arial" w:hAnsi="Arial" w:hint="default" w:eastAsia="Arial" w:cs="Arial"/>
        <w:sz w:val="20"/>
      </w:rPr>
    </w:lvl>
    <w:lvl w:ilvl="1" w:tentative="1">
      <w:start w:val="1"/>
      <w:numFmt w:val="bullet"/>
      <w:lvlText w:val="o"/>
      <w:lvlJc w:val="left"/>
      <w:pPr>
        <w:tabs>
          <w:tab w:val="num" w:pos="1440"/>
        </w:tabs>
        <w:ind w:left="1440" w:hanging="360"/>
      </w:pPr>
      <w:rPr>
        <w:rFonts w:ascii="Arial" w:hAnsi="Arial" w:hint="default" w:eastAsia="Arial" w:cs="Arial"/>
        <w:sz w:val="20"/>
      </w:rPr>
    </w:lvl>
    <w:lvl w:ilvl="2" w:tentative="1">
      <w:start w:val="1"/>
      <w:numFmt w:val="bullet"/>
      <w:lvlText w:val=""/>
      <w:lvlJc w:val="left"/>
      <w:pPr>
        <w:tabs>
          <w:tab w:val="num" w:pos="2160"/>
        </w:tabs>
        <w:ind w:left="2160" w:hanging="360"/>
      </w:pPr>
      <w:rPr>
        <w:rFonts w:ascii="Arial" w:hAnsi="Arial" w:hint="default" w:eastAsia="Arial" w:cs="Arial"/>
        <w:sz w:val="20"/>
      </w:rPr>
    </w:lvl>
    <w:lvl w:ilvl="3" w:tentative="1">
      <w:start w:val="1"/>
      <w:numFmt w:val="bullet"/>
      <w:lvlText w:val=""/>
      <w:lvlJc w:val="left"/>
      <w:pPr>
        <w:tabs>
          <w:tab w:val="num" w:pos="2880"/>
        </w:tabs>
        <w:ind w:left="2880" w:hanging="360"/>
      </w:pPr>
      <w:rPr>
        <w:rFonts w:ascii="Arial" w:hAnsi="Arial" w:hint="default" w:eastAsia="Arial" w:cs="Arial"/>
        <w:sz w:val="20"/>
      </w:rPr>
    </w:lvl>
    <w:lvl w:ilvl="4" w:tentative="1">
      <w:start w:val="1"/>
      <w:numFmt w:val="bullet"/>
      <w:lvlText w:val=""/>
      <w:lvlJc w:val="left"/>
      <w:pPr>
        <w:tabs>
          <w:tab w:val="num" w:pos="3600"/>
        </w:tabs>
        <w:ind w:left="3600" w:hanging="360"/>
      </w:pPr>
      <w:rPr>
        <w:rFonts w:ascii="Arial" w:hAnsi="Arial" w:hint="default" w:eastAsia="Arial" w:cs="Arial"/>
        <w:sz w:val="20"/>
      </w:rPr>
    </w:lvl>
    <w:lvl w:ilvl="5" w:tentative="1">
      <w:start w:val="1"/>
      <w:numFmt w:val="bullet"/>
      <w:lvlText w:val=""/>
      <w:lvlJc w:val="left"/>
      <w:pPr>
        <w:tabs>
          <w:tab w:val="num" w:pos="4320"/>
        </w:tabs>
        <w:ind w:left="4320" w:hanging="360"/>
      </w:pPr>
      <w:rPr>
        <w:rFonts w:ascii="Arial" w:hAnsi="Arial" w:hint="default" w:eastAsia="Arial" w:cs="Arial"/>
        <w:sz w:val="20"/>
      </w:rPr>
    </w:lvl>
    <w:lvl w:ilvl="6" w:tentative="1">
      <w:start w:val="1"/>
      <w:numFmt w:val="bullet"/>
      <w:lvlText w:val=""/>
      <w:lvlJc w:val="left"/>
      <w:pPr>
        <w:tabs>
          <w:tab w:val="num" w:pos="5040"/>
        </w:tabs>
        <w:ind w:left="5040" w:hanging="360"/>
      </w:pPr>
      <w:rPr>
        <w:rFonts w:ascii="Arial" w:hAnsi="Arial" w:hint="default" w:eastAsia="Arial" w:cs="Arial"/>
        <w:sz w:val="20"/>
      </w:rPr>
    </w:lvl>
    <w:lvl w:ilvl="7" w:tentative="1">
      <w:start w:val="1"/>
      <w:numFmt w:val="bullet"/>
      <w:lvlText w:val=""/>
      <w:lvlJc w:val="left"/>
      <w:pPr>
        <w:tabs>
          <w:tab w:val="num" w:pos="5760"/>
        </w:tabs>
        <w:ind w:left="5760" w:hanging="360"/>
      </w:pPr>
      <w:rPr>
        <w:rFonts w:ascii="Arial" w:hAnsi="Arial" w:hint="default" w:eastAsia="Arial" w:cs="Arial"/>
        <w:sz w:val="20"/>
      </w:rPr>
    </w:lvl>
    <w:lvl w:ilvl="8" w:tentative="1">
      <w:start w:val="1"/>
      <w:numFmt w:val="bullet"/>
      <w:lvlText w:val=""/>
      <w:lvlJc w:val="left"/>
      <w:pPr>
        <w:tabs>
          <w:tab w:val="num" w:pos="6480"/>
        </w:tabs>
        <w:ind w:left="6480" w:hanging="360"/>
      </w:pPr>
      <w:rPr>
        <w:rFonts w:ascii="Arial" w:hAnsi="Arial" w:hint="default" w:eastAsia="Arial" w:cs="Arial"/>
        <w:sz w:val="20"/>
      </w:rPr>
    </w:lvl>
  </w:abstractNum>
  <w:abstractNum w:abstractNumId="23" w15:restartNumberingAfterBreak="0">
    <w:nsid w:val="387D4998"/>
    <w:multiLevelType w:val="hybridMultilevel"/>
    <w:tmpl w:val="1A407A82"/>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24" w15:restartNumberingAfterBreak="0">
    <w:nsid w:val="398279B3"/>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F1227E"/>
    <w:multiLevelType w:val="hybridMultilevel"/>
    <w:tmpl w:val="A05467C0"/>
    <w:lvl w:ilvl="0" w:tplc="10090001">
      <w:start w:val="1"/>
      <w:numFmt w:val="bullet"/>
      <w:lvlText w:val=""/>
      <w:lvlJc w:val="left"/>
      <w:pPr>
        <w:ind w:left="720" w:hanging="360"/>
      </w:pPr>
      <w:rPr>
        <w:rFonts w:ascii="Arial" w:hAnsi="Arial" w:hint="default" w:eastAsia="Arial" w:cs="Arial"/>
      </w:rPr>
    </w:lvl>
    <w:lvl w:ilvl="1" w:tplc="10090003">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26" w15:restartNumberingAfterBreak="0">
    <w:nsid w:val="411333B3"/>
    <w:multiLevelType w:val="multilevel"/>
    <w:tmpl w:val="0AA47778"/>
    <w:lvl w:ilvl="0">
      <w:start w:val="1"/>
      <w:numFmt w:val="bullet"/>
      <w:lvlText w:val=""/>
      <w:lvlJc w:val="left"/>
      <w:pPr>
        <w:tabs>
          <w:tab w:val="num" w:pos="720"/>
        </w:tabs>
        <w:ind w:left="720" w:hanging="360"/>
      </w:pPr>
      <w:rPr>
        <w:rFonts w:ascii="Arial" w:hAnsi="Arial" w:hint="default" w:eastAsia="Arial" w:cs="Arial"/>
        <w:sz w:val="20"/>
      </w:rPr>
    </w:lvl>
    <w:lvl w:ilvl="1" w:tentative="1">
      <w:start w:val="1"/>
      <w:numFmt w:val="bullet"/>
      <w:lvlText w:val="o"/>
      <w:lvlJc w:val="left"/>
      <w:pPr>
        <w:tabs>
          <w:tab w:val="num" w:pos="1440"/>
        </w:tabs>
        <w:ind w:left="1440" w:hanging="360"/>
      </w:pPr>
      <w:rPr>
        <w:rFonts w:ascii="Arial" w:hAnsi="Arial" w:hint="default" w:eastAsia="Arial" w:cs="Arial"/>
        <w:sz w:val="20"/>
      </w:rPr>
    </w:lvl>
    <w:lvl w:ilvl="2" w:tentative="1">
      <w:start w:val="1"/>
      <w:numFmt w:val="bullet"/>
      <w:lvlText w:val=""/>
      <w:lvlJc w:val="left"/>
      <w:pPr>
        <w:tabs>
          <w:tab w:val="num" w:pos="2160"/>
        </w:tabs>
        <w:ind w:left="2160" w:hanging="360"/>
      </w:pPr>
      <w:rPr>
        <w:rFonts w:ascii="Arial" w:hAnsi="Arial" w:hint="default" w:eastAsia="Arial" w:cs="Arial"/>
        <w:sz w:val="20"/>
      </w:rPr>
    </w:lvl>
    <w:lvl w:ilvl="3" w:tentative="1">
      <w:start w:val="1"/>
      <w:numFmt w:val="bullet"/>
      <w:lvlText w:val=""/>
      <w:lvlJc w:val="left"/>
      <w:pPr>
        <w:tabs>
          <w:tab w:val="num" w:pos="2880"/>
        </w:tabs>
        <w:ind w:left="2880" w:hanging="360"/>
      </w:pPr>
      <w:rPr>
        <w:rFonts w:ascii="Arial" w:hAnsi="Arial" w:hint="default" w:eastAsia="Arial" w:cs="Arial"/>
        <w:sz w:val="20"/>
      </w:rPr>
    </w:lvl>
    <w:lvl w:ilvl="4" w:tentative="1">
      <w:start w:val="1"/>
      <w:numFmt w:val="bullet"/>
      <w:lvlText w:val=""/>
      <w:lvlJc w:val="left"/>
      <w:pPr>
        <w:tabs>
          <w:tab w:val="num" w:pos="3600"/>
        </w:tabs>
        <w:ind w:left="3600" w:hanging="360"/>
      </w:pPr>
      <w:rPr>
        <w:rFonts w:ascii="Arial" w:hAnsi="Arial" w:hint="default" w:eastAsia="Arial" w:cs="Arial"/>
        <w:sz w:val="20"/>
      </w:rPr>
    </w:lvl>
    <w:lvl w:ilvl="5" w:tentative="1">
      <w:start w:val="1"/>
      <w:numFmt w:val="bullet"/>
      <w:lvlText w:val=""/>
      <w:lvlJc w:val="left"/>
      <w:pPr>
        <w:tabs>
          <w:tab w:val="num" w:pos="4320"/>
        </w:tabs>
        <w:ind w:left="4320" w:hanging="360"/>
      </w:pPr>
      <w:rPr>
        <w:rFonts w:ascii="Arial" w:hAnsi="Arial" w:hint="default" w:eastAsia="Arial" w:cs="Arial"/>
        <w:sz w:val="20"/>
      </w:rPr>
    </w:lvl>
    <w:lvl w:ilvl="6" w:tentative="1">
      <w:start w:val="1"/>
      <w:numFmt w:val="bullet"/>
      <w:lvlText w:val=""/>
      <w:lvlJc w:val="left"/>
      <w:pPr>
        <w:tabs>
          <w:tab w:val="num" w:pos="5040"/>
        </w:tabs>
        <w:ind w:left="5040" w:hanging="360"/>
      </w:pPr>
      <w:rPr>
        <w:rFonts w:ascii="Arial" w:hAnsi="Arial" w:hint="default" w:eastAsia="Arial" w:cs="Arial"/>
        <w:sz w:val="20"/>
      </w:rPr>
    </w:lvl>
    <w:lvl w:ilvl="7" w:tentative="1">
      <w:start w:val="1"/>
      <w:numFmt w:val="bullet"/>
      <w:lvlText w:val=""/>
      <w:lvlJc w:val="left"/>
      <w:pPr>
        <w:tabs>
          <w:tab w:val="num" w:pos="5760"/>
        </w:tabs>
        <w:ind w:left="5760" w:hanging="360"/>
      </w:pPr>
      <w:rPr>
        <w:rFonts w:ascii="Arial" w:hAnsi="Arial" w:hint="default" w:eastAsia="Arial" w:cs="Arial"/>
        <w:sz w:val="20"/>
      </w:rPr>
    </w:lvl>
    <w:lvl w:ilvl="8" w:tentative="1">
      <w:start w:val="1"/>
      <w:numFmt w:val="bullet"/>
      <w:lvlText w:val=""/>
      <w:lvlJc w:val="left"/>
      <w:pPr>
        <w:tabs>
          <w:tab w:val="num" w:pos="6480"/>
        </w:tabs>
        <w:ind w:left="6480" w:hanging="360"/>
      </w:pPr>
      <w:rPr>
        <w:rFonts w:ascii="Arial" w:hAnsi="Arial" w:hint="default" w:eastAsia="Arial" w:cs="Arial"/>
        <w:sz w:val="20"/>
      </w:rPr>
    </w:lvl>
  </w:abstractNum>
  <w:abstractNum w:abstractNumId="27" w15:restartNumberingAfterBreak="0">
    <w:nsid w:val="455043B3"/>
    <w:multiLevelType w:val="hybridMultilevel"/>
    <w:tmpl w:val="E5FCB492"/>
    <w:lvl w:ilvl="0" w:tplc="10090001">
      <w:start w:val="1"/>
      <w:numFmt w:val="bullet"/>
      <w:lvlText w:val=""/>
      <w:lvlJc w:val="left"/>
      <w:pPr>
        <w:ind w:left="720" w:hanging="360"/>
      </w:pPr>
      <w:rPr>
        <w:rFonts w:ascii="Arial" w:hAnsi="Arial" w:hint="default" w:eastAsia="Arial" w:cs="Arial"/>
      </w:rPr>
    </w:lvl>
    <w:lvl w:ilvl="1" w:tplc="10090003">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28" w15:restartNumberingAfterBreak="0">
    <w:nsid w:val="49046329"/>
    <w:multiLevelType w:val="hybridMultilevel"/>
    <w:tmpl w:val="C6F6424C"/>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29" w15:restartNumberingAfterBreak="0">
    <w:nsid w:val="4DB56325"/>
    <w:multiLevelType w:val="hybridMultilevel"/>
    <w:tmpl w:val="BDAC28D2"/>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30" w15:restartNumberingAfterBreak="0">
    <w:nsid w:val="533F6E04"/>
    <w:multiLevelType w:val="hybridMultilevel"/>
    <w:tmpl w:val="A2DC4DB4"/>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31" w15:restartNumberingAfterBreak="0">
    <w:nsid w:val="54DF4358"/>
    <w:multiLevelType w:val="hybridMultilevel"/>
    <w:tmpl w:val="AAE45700"/>
    <w:lvl w:ilvl="0" w:tplc="326CC1A8">
      <w:start w:val="1"/>
      <w:numFmt w:val="bullet"/>
      <w:lvlText w:val=""/>
      <w:lvlJc w:val="left"/>
      <w:pPr>
        <w:ind w:left="720" w:hanging="360"/>
      </w:pPr>
      <w:rPr>
        <w:rFonts w:ascii="Arial" w:hAnsi="Arial" w:hint="default" w:eastAsia="Arial" w:cs="Arial"/>
      </w:rPr>
    </w:lvl>
    <w:lvl w:ilvl="1" w:tplc="BD061A38" w:tentative="1">
      <w:start w:val="1"/>
      <w:numFmt w:val="bullet"/>
      <w:lvlText w:val="o"/>
      <w:lvlJc w:val="left"/>
      <w:pPr>
        <w:ind w:left="1440" w:hanging="360"/>
      </w:pPr>
      <w:rPr>
        <w:rFonts w:ascii="Arial" w:hAnsi="Arial" w:cs="Arial" w:hint="default" w:eastAsia="Arial"/>
      </w:rPr>
    </w:lvl>
    <w:lvl w:ilvl="2" w:tplc="52FE4A46" w:tentative="1">
      <w:start w:val="1"/>
      <w:numFmt w:val="bullet"/>
      <w:lvlText w:val=""/>
      <w:lvlJc w:val="left"/>
      <w:pPr>
        <w:ind w:left="2160" w:hanging="360"/>
      </w:pPr>
      <w:rPr>
        <w:rFonts w:ascii="Arial" w:hAnsi="Arial" w:hint="default" w:eastAsia="Arial" w:cs="Arial"/>
      </w:rPr>
    </w:lvl>
    <w:lvl w:ilvl="3" w:tplc="DE3AE390" w:tentative="1">
      <w:start w:val="1"/>
      <w:numFmt w:val="bullet"/>
      <w:lvlText w:val=""/>
      <w:lvlJc w:val="left"/>
      <w:pPr>
        <w:ind w:left="2880" w:hanging="360"/>
      </w:pPr>
      <w:rPr>
        <w:rFonts w:ascii="Arial" w:hAnsi="Arial" w:hint="default" w:eastAsia="Arial" w:cs="Arial"/>
      </w:rPr>
    </w:lvl>
    <w:lvl w:ilvl="4" w:tplc="AD6CA7FC" w:tentative="1">
      <w:start w:val="1"/>
      <w:numFmt w:val="bullet"/>
      <w:lvlText w:val="o"/>
      <w:lvlJc w:val="left"/>
      <w:pPr>
        <w:ind w:left="3600" w:hanging="360"/>
      </w:pPr>
      <w:rPr>
        <w:rFonts w:ascii="Arial" w:hAnsi="Arial" w:cs="Arial" w:hint="default" w:eastAsia="Arial"/>
      </w:rPr>
    </w:lvl>
    <w:lvl w:ilvl="5" w:tplc="F920DC96" w:tentative="1">
      <w:start w:val="1"/>
      <w:numFmt w:val="bullet"/>
      <w:lvlText w:val=""/>
      <w:lvlJc w:val="left"/>
      <w:pPr>
        <w:ind w:left="4320" w:hanging="360"/>
      </w:pPr>
      <w:rPr>
        <w:rFonts w:ascii="Arial" w:hAnsi="Arial" w:hint="default" w:eastAsia="Arial" w:cs="Arial"/>
      </w:rPr>
    </w:lvl>
    <w:lvl w:ilvl="6" w:tplc="EA009F46" w:tentative="1">
      <w:start w:val="1"/>
      <w:numFmt w:val="bullet"/>
      <w:lvlText w:val=""/>
      <w:lvlJc w:val="left"/>
      <w:pPr>
        <w:ind w:left="5040" w:hanging="360"/>
      </w:pPr>
      <w:rPr>
        <w:rFonts w:ascii="Arial" w:hAnsi="Arial" w:hint="default" w:eastAsia="Arial" w:cs="Arial"/>
      </w:rPr>
    </w:lvl>
    <w:lvl w:ilvl="7" w:tplc="A6E89774" w:tentative="1">
      <w:start w:val="1"/>
      <w:numFmt w:val="bullet"/>
      <w:lvlText w:val="o"/>
      <w:lvlJc w:val="left"/>
      <w:pPr>
        <w:ind w:left="5760" w:hanging="360"/>
      </w:pPr>
      <w:rPr>
        <w:rFonts w:ascii="Arial" w:hAnsi="Arial" w:cs="Arial" w:hint="default" w:eastAsia="Arial"/>
      </w:rPr>
    </w:lvl>
    <w:lvl w:ilvl="8" w:tplc="BDBC6C52" w:tentative="1">
      <w:start w:val="1"/>
      <w:numFmt w:val="bullet"/>
      <w:lvlText w:val=""/>
      <w:lvlJc w:val="left"/>
      <w:pPr>
        <w:ind w:left="6480" w:hanging="360"/>
      </w:pPr>
      <w:rPr>
        <w:rFonts w:ascii="Arial" w:hAnsi="Arial" w:hint="default" w:eastAsia="Arial" w:cs="Arial"/>
      </w:rPr>
    </w:lvl>
  </w:abstractNum>
  <w:abstractNum w:abstractNumId="32" w15:restartNumberingAfterBreak="0">
    <w:nsid w:val="55B6778A"/>
    <w:multiLevelType w:val="multilevel"/>
    <w:tmpl w:val="0444E1B2"/>
    <w:name w:val="BDC numbered list"/>
    <w:lvl w:ilvl="0">
      <w:start w:val="1"/>
      <w:numFmt w:val="decimal"/>
      <w:pStyle w:val="ListNumber"/>
      <w:lvlText w:val="%1."/>
      <w:lvlJc w:val="left"/>
      <w:pPr>
        <w:tabs>
          <w:tab w:val="num" w:pos="360"/>
        </w:tabs>
        <w:ind w:left="360" w:hanging="360"/>
      </w:pPr>
      <w:rPr>
        <w:rFonts w:hint="default" w:ascii="Arial" w:hAnsi="Arial" w:eastAsia="Arial" w:cs="Arial"/>
        <w:b/>
        <w:i w:val="0"/>
      </w:rPr>
    </w:lvl>
    <w:lvl w:ilvl="1">
      <w:start w:val="1"/>
      <w:numFmt w:val="decimal"/>
      <w:pStyle w:val="ListNumber2"/>
      <w:lvlText w:val="%1.%2."/>
      <w:lvlJc w:val="left"/>
      <w:pPr>
        <w:tabs>
          <w:tab w:val="num" w:pos="840"/>
        </w:tabs>
        <w:ind w:left="840" w:hanging="480"/>
      </w:pPr>
      <w:rPr>
        <w:rFonts w:hint="default" w:ascii="Arial" w:hAnsi="Arial" w:eastAsia="Arial" w:cs="Arial"/>
      </w:rPr>
    </w:lvl>
    <w:lvl w:ilvl="2">
      <w:start w:val="1"/>
      <w:numFmt w:val="decimal"/>
      <w:pStyle w:val="ListNumber3"/>
      <w:lvlText w:val="%1.%2.%3."/>
      <w:lvlJc w:val="left"/>
      <w:pPr>
        <w:tabs>
          <w:tab w:val="num" w:pos="1440"/>
        </w:tabs>
        <w:ind w:left="1440" w:hanging="600"/>
      </w:pPr>
      <w:rPr>
        <w:rFonts w:hint="default" w:ascii="Arial" w:hAnsi="Arial" w:eastAsia="Arial" w:cs="Arial"/>
      </w:rPr>
    </w:lvl>
    <w:lvl w:ilvl="3">
      <w:start w:val="1"/>
      <w:numFmt w:val="decimal"/>
      <w:pStyle w:val="ListNumber4"/>
      <w:lvlText w:val="%1.%2.%3.%4."/>
      <w:lvlJc w:val="left"/>
      <w:pPr>
        <w:tabs>
          <w:tab w:val="num" w:pos="2220"/>
        </w:tabs>
        <w:ind w:left="2220" w:hanging="780"/>
      </w:pPr>
      <w:rPr>
        <w:rFonts w:hint="default" w:ascii="Arial" w:hAnsi="Arial" w:eastAsia="Arial" w:cs="Arial"/>
      </w:rPr>
    </w:lvl>
    <w:lvl w:ilvl="4">
      <w:start w:val="1"/>
      <w:numFmt w:val="decimal"/>
      <w:lvlText w:val="%1.%2.%3.%4.%5."/>
      <w:lvlJc w:val="left"/>
      <w:pPr>
        <w:ind w:left="1800" w:hanging="360"/>
      </w:pPr>
      <w:rPr>
        <w:rFonts w:hint="default" w:ascii="Arial" w:hAnsi="Arial" w:eastAsia="Arial" w:cs="Arial"/>
      </w:rPr>
    </w:lvl>
    <w:lvl w:ilvl="5">
      <w:start w:val="1"/>
      <w:numFmt w:val="decimal"/>
      <w:lvlText w:val="%1.%2.%3.%4.%5.%6."/>
      <w:lvlJc w:val="left"/>
      <w:pPr>
        <w:ind w:left="2160" w:hanging="360"/>
      </w:pPr>
      <w:rPr>
        <w:rFonts w:hint="default" w:ascii="Arial" w:hAnsi="Arial" w:eastAsia="Arial" w:cs="Arial"/>
      </w:rPr>
    </w:lvl>
    <w:lvl w:ilvl="6">
      <w:start w:val="1"/>
      <w:numFmt w:val="decimal"/>
      <w:lvlText w:val="%1.%2.%3.%4.%5.%6.%7."/>
      <w:lvlJc w:val="left"/>
      <w:pPr>
        <w:ind w:left="2520" w:hanging="360"/>
      </w:pPr>
      <w:rPr>
        <w:rFonts w:hint="default" w:ascii="Arial" w:hAnsi="Arial" w:eastAsia="Arial" w:cs="Arial"/>
      </w:rPr>
    </w:lvl>
    <w:lvl w:ilvl="7">
      <w:start w:val="1"/>
      <w:numFmt w:val="decimal"/>
      <w:lvlText w:val="%1.%2.%3.%4.%5.%6.%7.%8."/>
      <w:lvlJc w:val="left"/>
      <w:pPr>
        <w:ind w:left="2880" w:hanging="360"/>
      </w:pPr>
      <w:rPr>
        <w:rFonts w:hint="default" w:ascii="Arial" w:hAnsi="Arial" w:eastAsia="Arial" w:cs="Arial"/>
      </w:rPr>
    </w:lvl>
    <w:lvl w:ilvl="8">
      <w:start w:val="1"/>
      <w:numFmt w:val="decimal"/>
      <w:lvlText w:val="%1.%2.%3.%4.%5.%6.%7.%8.%9."/>
      <w:lvlJc w:val="left"/>
      <w:pPr>
        <w:ind w:left="3240" w:hanging="360"/>
      </w:pPr>
      <w:rPr>
        <w:rFonts w:hint="default" w:ascii="Arial" w:hAnsi="Arial" w:eastAsia="Arial" w:cs="Arial"/>
      </w:rPr>
    </w:lvl>
  </w:abstractNum>
  <w:abstractNum w:abstractNumId="33" w15:restartNumberingAfterBreak="0">
    <w:nsid w:val="67B00D43"/>
    <w:multiLevelType w:val="hybridMultilevel"/>
    <w:tmpl w:val="879E2ABC"/>
    <w:lvl w:ilvl="0" w:tplc="10090001">
      <w:start w:val="1"/>
      <w:numFmt w:val="bullet"/>
      <w:lvlText w:val=""/>
      <w:lvlJc w:val="left"/>
      <w:pPr>
        <w:ind w:left="720" w:hanging="360"/>
      </w:pPr>
      <w:rPr>
        <w:rFonts w:ascii="Arial" w:hAnsi="Arial" w:hint="default" w:eastAsia="Arial" w:cs="Arial"/>
      </w:rPr>
    </w:lvl>
    <w:lvl w:ilvl="1" w:tplc="10090003">
      <w:start w:val="1"/>
      <w:numFmt w:val="bullet"/>
      <w:lvlText w:val="o"/>
      <w:lvlJc w:val="left"/>
      <w:pPr>
        <w:ind w:left="1440" w:hanging="360"/>
      </w:pPr>
      <w:rPr>
        <w:rFonts w:ascii="Arial" w:hAnsi="Arial" w:cs="Arial" w:hint="default" w:eastAsia="Arial"/>
      </w:rPr>
    </w:lvl>
    <w:lvl w:ilvl="2" w:tplc="10090005">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34" w15:restartNumberingAfterBreak="0">
    <w:nsid w:val="6A533DB0"/>
    <w:multiLevelType w:val="multilevel"/>
    <w:tmpl w:val="E7AC55C6"/>
    <w:lvl w:ilvl="0">
      <w:start w:val="1"/>
      <w:numFmt w:val="decimal"/>
      <w:lvlText w:val="%1."/>
      <w:lvlJc w:val="left"/>
      <w:pPr>
        <w:ind w:left="360" w:hanging="360"/>
      </w:pPr>
      <w:rPr>
        <w:rFonts w:hint="default" w:ascii="Arial" w:hAnsi="Arial" w:eastAsia="Arial" w:cs="Arial"/>
        <w:b/>
        <w:i w:val="0"/>
      </w:rPr>
    </w:lvl>
    <w:lvl w:ilvl="1">
      <w:start w:val="1"/>
      <w:numFmt w:val="decimal"/>
      <w:lvlText w:val="%1.%2."/>
      <w:lvlJc w:val="left"/>
      <w:pPr>
        <w:ind w:left="720" w:hanging="360"/>
      </w:pPr>
      <w:rPr>
        <w:rFonts w:hint="default" w:ascii="Arial" w:hAnsi="Arial" w:eastAsia="Arial" w:cs="Arial"/>
      </w:rPr>
    </w:lvl>
    <w:lvl w:ilvl="2">
      <w:start w:val="1"/>
      <w:numFmt w:val="decimal"/>
      <w:lvlText w:val="%1.%2.%3."/>
      <w:lvlJc w:val="left"/>
      <w:pPr>
        <w:ind w:left="1080" w:hanging="360"/>
      </w:pPr>
      <w:rPr>
        <w:rFonts w:hint="default" w:ascii="Arial" w:hAnsi="Arial" w:eastAsia="Arial" w:cs="Arial"/>
      </w:rPr>
    </w:lvl>
    <w:lvl w:ilvl="3">
      <w:start w:val="1"/>
      <w:numFmt w:val="decimal"/>
      <w:lvlText w:val="%1.%2.%3.%4."/>
      <w:lvlJc w:val="left"/>
      <w:pPr>
        <w:ind w:left="1440" w:hanging="360"/>
      </w:pPr>
      <w:rPr>
        <w:rFonts w:hint="default" w:ascii="Arial" w:hAnsi="Arial" w:eastAsia="Arial" w:cs="Arial"/>
      </w:rPr>
    </w:lvl>
    <w:lvl w:ilvl="4">
      <w:start w:val="1"/>
      <w:numFmt w:val="decimal"/>
      <w:lvlText w:val="%1.%2.%3.%4.%5."/>
      <w:lvlJc w:val="left"/>
      <w:pPr>
        <w:ind w:left="1800" w:hanging="360"/>
      </w:pPr>
      <w:rPr>
        <w:rFonts w:hint="default" w:ascii="Arial" w:hAnsi="Arial" w:eastAsia="Arial" w:cs="Arial"/>
      </w:rPr>
    </w:lvl>
    <w:lvl w:ilvl="5">
      <w:start w:val="1"/>
      <w:numFmt w:val="decimal"/>
      <w:lvlText w:val="%1.%2.%3.%4.%5.%6."/>
      <w:lvlJc w:val="left"/>
      <w:pPr>
        <w:ind w:left="2160" w:hanging="360"/>
      </w:pPr>
      <w:rPr>
        <w:rFonts w:hint="default" w:ascii="Arial" w:hAnsi="Arial" w:eastAsia="Arial" w:cs="Arial"/>
      </w:rPr>
    </w:lvl>
    <w:lvl w:ilvl="6">
      <w:start w:val="1"/>
      <w:numFmt w:val="decimal"/>
      <w:lvlText w:val="%1.%2.%3.%4.%5.%6.%7."/>
      <w:lvlJc w:val="left"/>
      <w:pPr>
        <w:ind w:left="2520" w:hanging="360"/>
      </w:pPr>
      <w:rPr>
        <w:rFonts w:hint="default" w:ascii="Arial" w:hAnsi="Arial" w:eastAsia="Arial" w:cs="Arial"/>
      </w:rPr>
    </w:lvl>
    <w:lvl w:ilvl="7">
      <w:start w:val="1"/>
      <w:numFmt w:val="decimal"/>
      <w:lvlText w:val="%1.%2.%3.%4.%5.%6.%7.%8."/>
      <w:lvlJc w:val="left"/>
      <w:pPr>
        <w:ind w:left="2880" w:hanging="360"/>
      </w:pPr>
      <w:rPr>
        <w:rFonts w:hint="default" w:ascii="Arial" w:hAnsi="Arial" w:eastAsia="Arial" w:cs="Arial"/>
      </w:rPr>
    </w:lvl>
    <w:lvl w:ilvl="8">
      <w:start w:val="1"/>
      <w:numFmt w:val="decimal"/>
      <w:lvlText w:val="%1.%2.%3.%4.%5.%6.%7.%8.%9."/>
      <w:lvlJc w:val="left"/>
      <w:pPr>
        <w:ind w:left="3240" w:hanging="360"/>
      </w:pPr>
      <w:rPr>
        <w:rFonts w:hint="default" w:ascii="Arial" w:hAnsi="Arial" w:eastAsia="Arial" w:cs="Arial"/>
      </w:rPr>
    </w:lvl>
  </w:abstractNum>
  <w:abstractNum w:abstractNumId="35" w15:restartNumberingAfterBreak="0">
    <w:nsid w:val="76A67D71"/>
    <w:multiLevelType w:val="multilevel"/>
    <w:tmpl w:val="743A6532"/>
    <w:lvl w:ilvl="0">
      <w:start w:val="1"/>
      <w:numFmt w:val="bullet"/>
      <w:lvlText w:val=""/>
      <w:lvlJc w:val="left"/>
      <w:pPr>
        <w:tabs>
          <w:tab w:val="num" w:pos="720"/>
        </w:tabs>
        <w:ind w:left="720" w:hanging="360"/>
      </w:pPr>
      <w:rPr>
        <w:rFonts w:ascii="Arial" w:hAnsi="Arial" w:hint="default" w:eastAsia="Arial" w:cs="Arial"/>
        <w:sz w:val="20"/>
      </w:rPr>
    </w:lvl>
    <w:lvl w:ilvl="1" w:tentative="1">
      <w:start w:val="1"/>
      <w:numFmt w:val="bullet"/>
      <w:lvlText w:val="o"/>
      <w:lvlJc w:val="left"/>
      <w:pPr>
        <w:tabs>
          <w:tab w:val="num" w:pos="1440"/>
        </w:tabs>
        <w:ind w:left="1440" w:hanging="360"/>
      </w:pPr>
      <w:rPr>
        <w:rFonts w:ascii="Arial" w:hAnsi="Arial" w:hint="default" w:eastAsia="Arial" w:cs="Arial"/>
        <w:sz w:val="20"/>
      </w:rPr>
    </w:lvl>
    <w:lvl w:ilvl="2" w:tentative="1">
      <w:start w:val="1"/>
      <w:numFmt w:val="bullet"/>
      <w:lvlText w:val=""/>
      <w:lvlJc w:val="left"/>
      <w:pPr>
        <w:tabs>
          <w:tab w:val="num" w:pos="2160"/>
        </w:tabs>
        <w:ind w:left="2160" w:hanging="360"/>
      </w:pPr>
      <w:rPr>
        <w:rFonts w:ascii="Arial" w:hAnsi="Arial" w:hint="default" w:eastAsia="Arial" w:cs="Arial"/>
        <w:sz w:val="20"/>
      </w:rPr>
    </w:lvl>
    <w:lvl w:ilvl="3" w:tentative="1">
      <w:start w:val="1"/>
      <w:numFmt w:val="bullet"/>
      <w:lvlText w:val=""/>
      <w:lvlJc w:val="left"/>
      <w:pPr>
        <w:tabs>
          <w:tab w:val="num" w:pos="2880"/>
        </w:tabs>
        <w:ind w:left="2880" w:hanging="360"/>
      </w:pPr>
      <w:rPr>
        <w:rFonts w:ascii="Arial" w:hAnsi="Arial" w:hint="default" w:eastAsia="Arial" w:cs="Arial"/>
        <w:sz w:val="20"/>
      </w:rPr>
    </w:lvl>
    <w:lvl w:ilvl="4" w:tentative="1">
      <w:start w:val="1"/>
      <w:numFmt w:val="bullet"/>
      <w:lvlText w:val=""/>
      <w:lvlJc w:val="left"/>
      <w:pPr>
        <w:tabs>
          <w:tab w:val="num" w:pos="3600"/>
        </w:tabs>
        <w:ind w:left="3600" w:hanging="360"/>
      </w:pPr>
      <w:rPr>
        <w:rFonts w:ascii="Arial" w:hAnsi="Arial" w:hint="default" w:eastAsia="Arial" w:cs="Arial"/>
        <w:sz w:val="20"/>
      </w:rPr>
    </w:lvl>
    <w:lvl w:ilvl="5" w:tentative="1">
      <w:start w:val="1"/>
      <w:numFmt w:val="bullet"/>
      <w:lvlText w:val=""/>
      <w:lvlJc w:val="left"/>
      <w:pPr>
        <w:tabs>
          <w:tab w:val="num" w:pos="4320"/>
        </w:tabs>
        <w:ind w:left="4320" w:hanging="360"/>
      </w:pPr>
      <w:rPr>
        <w:rFonts w:ascii="Arial" w:hAnsi="Arial" w:hint="default" w:eastAsia="Arial" w:cs="Arial"/>
        <w:sz w:val="20"/>
      </w:rPr>
    </w:lvl>
    <w:lvl w:ilvl="6" w:tentative="1">
      <w:start w:val="1"/>
      <w:numFmt w:val="bullet"/>
      <w:lvlText w:val=""/>
      <w:lvlJc w:val="left"/>
      <w:pPr>
        <w:tabs>
          <w:tab w:val="num" w:pos="5040"/>
        </w:tabs>
        <w:ind w:left="5040" w:hanging="360"/>
      </w:pPr>
      <w:rPr>
        <w:rFonts w:ascii="Arial" w:hAnsi="Arial" w:hint="default" w:eastAsia="Arial" w:cs="Arial"/>
        <w:sz w:val="20"/>
      </w:rPr>
    </w:lvl>
    <w:lvl w:ilvl="7" w:tentative="1">
      <w:start w:val="1"/>
      <w:numFmt w:val="bullet"/>
      <w:lvlText w:val=""/>
      <w:lvlJc w:val="left"/>
      <w:pPr>
        <w:tabs>
          <w:tab w:val="num" w:pos="5760"/>
        </w:tabs>
        <w:ind w:left="5760" w:hanging="360"/>
      </w:pPr>
      <w:rPr>
        <w:rFonts w:ascii="Arial" w:hAnsi="Arial" w:hint="default" w:eastAsia="Arial" w:cs="Arial"/>
        <w:sz w:val="20"/>
      </w:rPr>
    </w:lvl>
    <w:lvl w:ilvl="8" w:tentative="1">
      <w:start w:val="1"/>
      <w:numFmt w:val="bullet"/>
      <w:lvlText w:val=""/>
      <w:lvlJc w:val="left"/>
      <w:pPr>
        <w:tabs>
          <w:tab w:val="num" w:pos="6480"/>
        </w:tabs>
        <w:ind w:left="6480" w:hanging="360"/>
      </w:pPr>
      <w:rPr>
        <w:rFonts w:ascii="Arial" w:hAnsi="Arial" w:hint="default" w:eastAsia="Arial" w:cs="Arial"/>
        <w:sz w:val="20"/>
      </w:rPr>
    </w:lvl>
  </w:abstractNum>
  <w:abstractNum w:abstractNumId="36" w15:restartNumberingAfterBreak="0">
    <w:nsid w:val="76D22729"/>
    <w:multiLevelType w:val="hybridMultilevel"/>
    <w:tmpl w:val="CFD25C5C"/>
    <w:lvl w:ilvl="0" w:tplc="10090001">
      <w:start w:val="1"/>
      <w:numFmt w:val="bullet"/>
      <w:lvlText w:val=""/>
      <w:lvlJc w:val="left"/>
      <w:pPr>
        <w:ind w:left="720" w:hanging="360"/>
      </w:pPr>
      <w:rPr>
        <w:rFonts w:ascii="Arial" w:hAnsi="Arial" w:hint="default" w:eastAsia="Arial" w:cs="Arial"/>
      </w:rPr>
    </w:lvl>
    <w:lvl w:ilvl="1" w:tplc="10090003">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37" w15:restartNumberingAfterBreak="0">
    <w:nsid w:val="7A0C7209"/>
    <w:multiLevelType w:val="hybridMultilevel"/>
    <w:tmpl w:val="3C144214"/>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abstractNum w:abstractNumId="38" w15:restartNumberingAfterBreak="0">
    <w:nsid w:val="7D6A29DE"/>
    <w:multiLevelType w:val="hybridMultilevel"/>
    <w:tmpl w:val="B69E7250"/>
    <w:lvl w:ilvl="0" w:tplc="10090001">
      <w:start w:val="1"/>
      <w:numFmt w:val="bullet"/>
      <w:lvlText w:val=""/>
      <w:lvlJc w:val="left"/>
      <w:pPr>
        <w:ind w:left="720" w:hanging="360"/>
      </w:pPr>
      <w:rPr>
        <w:rFonts w:ascii="Arial" w:hAnsi="Arial" w:hint="default" w:eastAsia="Arial" w:cs="Arial"/>
      </w:rPr>
    </w:lvl>
    <w:lvl w:ilvl="1" w:tplc="10090003" w:tentative="1">
      <w:start w:val="1"/>
      <w:numFmt w:val="bullet"/>
      <w:lvlText w:val="o"/>
      <w:lvlJc w:val="left"/>
      <w:pPr>
        <w:ind w:left="1440" w:hanging="360"/>
      </w:pPr>
      <w:rPr>
        <w:rFonts w:ascii="Arial" w:hAnsi="Arial" w:cs="Arial" w:hint="default" w:eastAsia="Arial"/>
      </w:rPr>
    </w:lvl>
    <w:lvl w:ilvl="2" w:tplc="10090005" w:tentative="1">
      <w:start w:val="1"/>
      <w:numFmt w:val="bullet"/>
      <w:lvlText w:val=""/>
      <w:lvlJc w:val="left"/>
      <w:pPr>
        <w:ind w:left="2160" w:hanging="360"/>
      </w:pPr>
      <w:rPr>
        <w:rFonts w:ascii="Arial" w:hAnsi="Arial" w:hint="default" w:eastAsia="Arial" w:cs="Arial"/>
      </w:rPr>
    </w:lvl>
    <w:lvl w:ilvl="3" w:tplc="10090001" w:tentative="1">
      <w:start w:val="1"/>
      <w:numFmt w:val="bullet"/>
      <w:lvlText w:val=""/>
      <w:lvlJc w:val="left"/>
      <w:pPr>
        <w:ind w:left="2880" w:hanging="360"/>
      </w:pPr>
      <w:rPr>
        <w:rFonts w:ascii="Arial" w:hAnsi="Arial" w:hint="default" w:eastAsia="Arial" w:cs="Arial"/>
      </w:rPr>
    </w:lvl>
    <w:lvl w:ilvl="4" w:tplc="10090003" w:tentative="1">
      <w:start w:val="1"/>
      <w:numFmt w:val="bullet"/>
      <w:lvlText w:val="o"/>
      <w:lvlJc w:val="left"/>
      <w:pPr>
        <w:ind w:left="3600" w:hanging="360"/>
      </w:pPr>
      <w:rPr>
        <w:rFonts w:ascii="Arial" w:hAnsi="Arial" w:cs="Arial" w:hint="default" w:eastAsia="Arial"/>
      </w:rPr>
    </w:lvl>
    <w:lvl w:ilvl="5" w:tplc="10090005" w:tentative="1">
      <w:start w:val="1"/>
      <w:numFmt w:val="bullet"/>
      <w:lvlText w:val=""/>
      <w:lvlJc w:val="left"/>
      <w:pPr>
        <w:ind w:left="4320" w:hanging="360"/>
      </w:pPr>
      <w:rPr>
        <w:rFonts w:ascii="Arial" w:hAnsi="Arial" w:hint="default" w:eastAsia="Arial" w:cs="Arial"/>
      </w:rPr>
    </w:lvl>
    <w:lvl w:ilvl="6" w:tplc="10090001" w:tentative="1">
      <w:start w:val="1"/>
      <w:numFmt w:val="bullet"/>
      <w:lvlText w:val=""/>
      <w:lvlJc w:val="left"/>
      <w:pPr>
        <w:ind w:left="5040" w:hanging="360"/>
      </w:pPr>
      <w:rPr>
        <w:rFonts w:ascii="Arial" w:hAnsi="Arial" w:hint="default" w:eastAsia="Arial" w:cs="Arial"/>
      </w:rPr>
    </w:lvl>
    <w:lvl w:ilvl="7" w:tplc="10090003" w:tentative="1">
      <w:start w:val="1"/>
      <w:numFmt w:val="bullet"/>
      <w:lvlText w:val="o"/>
      <w:lvlJc w:val="left"/>
      <w:pPr>
        <w:ind w:left="5760" w:hanging="360"/>
      </w:pPr>
      <w:rPr>
        <w:rFonts w:ascii="Arial" w:hAnsi="Arial" w:cs="Arial" w:hint="default" w:eastAsia="Arial"/>
      </w:rPr>
    </w:lvl>
    <w:lvl w:ilvl="8" w:tplc="10090005" w:tentative="1">
      <w:start w:val="1"/>
      <w:numFmt w:val="bullet"/>
      <w:lvlText w:val=""/>
      <w:lvlJc w:val="left"/>
      <w:pPr>
        <w:ind w:left="6480" w:hanging="360"/>
      </w:pPr>
      <w:rPr>
        <w:rFonts w:ascii="Arial" w:hAnsi="Arial" w:hint="default" w:eastAsia="Arial" w:cs="Arial"/>
      </w:rPr>
    </w:lvl>
  </w:abstractNum>
  <w:num w:numId="1" w16cid:durableId="885069769">
    <w:abstractNumId w:val="24"/>
  </w:num>
  <w:num w:numId="2" w16cid:durableId="1059330783">
    <w:abstractNumId w:val="18"/>
  </w:num>
  <w:num w:numId="3" w16cid:durableId="624778531">
    <w:abstractNumId w:val="2"/>
  </w:num>
  <w:num w:numId="4" w16cid:durableId="1125345696">
    <w:abstractNumId w:val="1"/>
  </w:num>
  <w:num w:numId="5" w16cid:durableId="346835815">
    <w:abstractNumId w:val="0"/>
  </w:num>
  <w:num w:numId="6" w16cid:durableId="59254994">
    <w:abstractNumId w:val="7"/>
  </w:num>
  <w:num w:numId="7" w16cid:durableId="1349988208">
    <w:abstractNumId w:val="6"/>
  </w:num>
  <w:num w:numId="8" w16cid:durableId="1446923792">
    <w:abstractNumId w:val="5"/>
  </w:num>
  <w:num w:numId="9" w16cid:durableId="805704830">
    <w:abstractNumId w:val="4"/>
  </w:num>
  <w:num w:numId="10" w16cid:durableId="251625013">
    <w:abstractNumId w:val="3"/>
  </w:num>
  <w:num w:numId="11" w16cid:durableId="279607779">
    <w:abstractNumId w:val="31"/>
  </w:num>
  <w:num w:numId="12" w16cid:durableId="302004554">
    <w:abstractNumId w:val="34"/>
  </w:num>
  <w:num w:numId="13" w16cid:durableId="1579553183">
    <w:abstractNumId w:val="32"/>
  </w:num>
  <w:num w:numId="14" w16cid:durableId="75716023">
    <w:abstractNumId w:val="19"/>
  </w:num>
  <w:num w:numId="15" w16cid:durableId="272790154">
    <w:abstractNumId w:val="29"/>
  </w:num>
  <w:num w:numId="16" w16cid:durableId="1474056973">
    <w:abstractNumId w:val="37"/>
  </w:num>
  <w:num w:numId="17" w16cid:durableId="1085303947">
    <w:abstractNumId w:val="33"/>
  </w:num>
  <w:num w:numId="18" w16cid:durableId="2101640717">
    <w:abstractNumId w:val="11"/>
  </w:num>
  <w:num w:numId="19" w16cid:durableId="197548614">
    <w:abstractNumId w:val="16"/>
  </w:num>
  <w:num w:numId="20" w16cid:durableId="297877984">
    <w:abstractNumId w:val="27"/>
  </w:num>
  <w:num w:numId="21" w16cid:durableId="643193045">
    <w:abstractNumId w:val="17"/>
  </w:num>
  <w:num w:numId="22" w16cid:durableId="1849830962">
    <w:abstractNumId w:val="30"/>
  </w:num>
  <w:num w:numId="23" w16cid:durableId="297422055">
    <w:abstractNumId w:val="23"/>
  </w:num>
  <w:num w:numId="24" w16cid:durableId="1575818704">
    <w:abstractNumId w:val="12"/>
  </w:num>
  <w:num w:numId="25" w16cid:durableId="2076513308">
    <w:abstractNumId w:val="28"/>
  </w:num>
  <w:num w:numId="26" w16cid:durableId="678429846">
    <w:abstractNumId w:val="38"/>
  </w:num>
  <w:num w:numId="27" w16cid:durableId="806048573">
    <w:abstractNumId w:val="25"/>
  </w:num>
  <w:num w:numId="28" w16cid:durableId="1114592716">
    <w:abstractNumId w:val="14"/>
  </w:num>
  <w:num w:numId="29" w16cid:durableId="1648707548">
    <w:abstractNumId w:val="10"/>
  </w:num>
  <w:num w:numId="30" w16cid:durableId="1334726026">
    <w:abstractNumId w:val="15"/>
  </w:num>
  <w:num w:numId="31" w16cid:durableId="2051025173">
    <w:abstractNumId w:val="36"/>
  </w:num>
  <w:num w:numId="32" w16cid:durableId="639266897">
    <w:abstractNumId w:val="8"/>
  </w:num>
  <w:num w:numId="33" w16cid:durableId="1267807463">
    <w:abstractNumId w:val="32"/>
  </w:num>
  <w:num w:numId="34" w16cid:durableId="2044675424">
    <w:abstractNumId w:val="13"/>
  </w:num>
  <w:num w:numId="35" w16cid:durableId="1443066280">
    <w:abstractNumId w:val="20"/>
  </w:num>
  <w:num w:numId="36" w16cid:durableId="697898850">
    <w:abstractNumId w:val="9"/>
  </w:num>
  <w:num w:numId="37" w16cid:durableId="412774510">
    <w:abstractNumId w:val="21"/>
  </w:num>
  <w:num w:numId="38" w16cid:durableId="1312251424">
    <w:abstractNumId w:val="35"/>
  </w:num>
  <w:num w:numId="39" w16cid:durableId="1738092998">
    <w:abstractNumId w:val="26"/>
  </w:num>
  <w:num w:numId="40" w16cid:durableId="20573145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displayBackgroundShape/>
  <w:hideSpelling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BodyText"/>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ED"/>
    <w:rsid w:val="0000491C"/>
    <w:rsid w:val="00005433"/>
    <w:rsid w:val="00016748"/>
    <w:rsid w:val="000225DD"/>
    <w:rsid w:val="0003049B"/>
    <w:rsid w:val="00033B08"/>
    <w:rsid w:val="00035CB5"/>
    <w:rsid w:val="00040C19"/>
    <w:rsid w:val="000420C1"/>
    <w:rsid w:val="00050A47"/>
    <w:rsid w:val="0005164C"/>
    <w:rsid w:val="00057F72"/>
    <w:rsid w:val="00063E5D"/>
    <w:rsid w:val="000647D8"/>
    <w:rsid w:val="00064EB2"/>
    <w:rsid w:val="00065C0C"/>
    <w:rsid w:val="00067481"/>
    <w:rsid w:val="00067C16"/>
    <w:rsid w:val="000702E3"/>
    <w:rsid w:val="00073EED"/>
    <w:rsid w:val="00077444"/>
    <w:rsid w:val="00090547"/>
    <w:rsid w:val="00094D4D"/>
    <w:rsid w:val="00095A37"/>
    <w:rsid w:val="00096358"/>
    <w:rsid w:val="00097CA1"/>
    <w:rsid w:val="000A76D5"/>
    <w:rsid w:val="000B4395"/>
    <w:rsid w:val="000B6521"/>
    <w:rsid w:val="000C2EAB"/>
    <w:rsid w:val="000C5801"/>
    <w:rsid w:val="000C5FB0"/>
    <w:rsid w:val="000D5CD0"/>
    <w:rsid w:val="000E2E0D"/>
    <w:rsid w:val="000E3277"/>
    <w:rsid w:val="000E5A77"/>
    <w:rsid w:val="000E639C"/>
    <w:rsid w:val="000E6C10"/>
    <w:rsid w:val="000E7E52"/>
    <w:rsid w:val="000F4C69"/>
    <w:rsid w:val="000F7F3F"/>
    <w:rsid w:val="00100052"/>
    <w:rsid w:val="00100601"/>
    <w:rsid w:val="001026E3"/>
    <w:rsid w:val="00102EF0"/>
    <w:rsid w:val="0011081C"/>
    <w:rsid w:val="001109EA"/>
    <w:rsid w:val="00111D9A"/>
    <w:rsid w:val="0011244C"/>
    <w:rsid w:val="00120BDA"/>
    <w:rsid w:val="00125D02"/>
    <w:rsid w:val="00127E87"/>
    <w:rsid w:val="00133D35"/>
    <w:rsid w:val="001364D6"/>
    <w:rsid w:val="00137E3E"/>
    <w:rsid w:val="00142B2A"/>
    <w:rsid w:val="00144C55"/>
    <w:rsid w:val="00147A72"/>
    <w:rsid w:val="001562C7"/>
    <w:rsid w:val="001576A9"/>
    <w:rsid w:val="001636BC"/>
    <w:rsid w:val="00171D52"/>
    <w:rsid w:val="001727B6"/>
    <w:rsid w:val="00173CB8"/>
    <w:rsid w:val="001822D1"/>
    <w:rsid w:val="00186879"/>
    <w:rsid w:val="0018768B"/>
    <w:rsid w:val="00196FB5"/>
    <w:rsid w:val="001A54B0"/>
    <w:rsid w:val="001A7D80"/>
    <w:rsid w:val="001B5732"/>
    <w:rsid w:val="001C0BD2"/>
    <w:rsid w:val="001C5EC7"/>
    <w:rsid w:val="001C66A2"/>
    <w:rsid w:val="001D3DE2"/>
    <w:rsid w:val="001D6E97"/>
    <w:rsid w:val="001E3FA8"/>
    <w:rsid w:val="001F6EE7"/>
    <w:rsid w:val="00200C67"/>
    <w:rsid w:val="002100DC"/>
    <w:rsid w:val="00211CEF"/>
    <w:rsid w:val="002128B1"/>
    <w:rsid w:val="00217007"/>
    <w:rsid w:val="002172A4"/>
    <w:rsid w:val="0023512D"/>
    <w:rsid w:val="00240B48"/>
    <w:rsid w:val="00242661"/>
    <w:rsid w:val="00255392"/>
    <w:rsid w:val="00260D87"/>
    <w:rsid w:val="00262744"/>
    <w:rsid w:val="00274164"/>
    <w:rsid w:val="00276F1F"/>
    <w:rsid w:val="00282B95"/>
    <w:rsid w:val="00294DE1"/>
    <w:rsid w:val="002A6CBC"/>
    <w:rsid w:val="002B029A"/>
    <w:rsid w:val="002B10A5"/>
    <w:rsid w:val="002B1EE9"/>
    <w:rsid w:val="002C24E7"/>
    <w:rsid w:val="002C618E"/>
    <w:rsid w:val="002D2A5D"/>
    <w:rsid w:val="002D396E"/>
    <w:rsid w:val="002D4E83"/>
    <w:rsid w:val="002D70C9"/>
    <w:rsid w:val="002E24EB"/>
    <w:rsid w:val="002E3842"/>
    <w:rsid w:val="002E7A5E"/>
    <w:rsid w:val="002F0A78"/>
    <w:rsid w:val="002F16F6"/>
    <w:rsid w:val="002F44CA"/>
    <w:rsid w:val="002F5C4F"/>
    <w:rsid w:val="003047A5"/>
    <w:rsid w:val="00332720"/>
    <w:rsid w:val="003447A3"/>
    <w:rsid w:val="00362350"/>
    <w:rsid w:val="00363768"/>
    <w:rsid w:val="00365872"/>
    <w:rsid w:val="003663F8"/>
    <w:rsid w:val="00371FE2"/>
    <w:rsid w:val="0037256A"/>
    <w:rsid w:val="0037421D"/>
    <w:rsid w:val="00374476"/>
    <w:rsid w:val="00384B47"/>
    <w:rsid w:val="00392C4E"/>
    <w:rsid w:val="00393275"/>
    <w:rsid w:val="00394ED5"/>
    <w:rsid w:val="00395935"/>
    <w:rsid w:val="0039597D"/>
    <w:rsid w:val="003965FD"/>
    <w:rsid w:val="00397F0D"/>
    <w:rsid w:val="003A05B6"/>
    <w:rsid w:val="003A188A"/>
    <w:rsid w:val="003A3FFD"/>
    <w:rsid w:val="003A4BD5"/>
    <w:rsid w:val="003A79F6"/>
    <w:rsid w:val="003B3C6C"/>
    <w:rsid w:val="003B6B3A"/>
    <w:rsid w:val="003D4AF2"/>
    <w:rsid w:val="003D5135"/>
    <w:rsid w:val="003E04E3"/>
    <w:rsid w:val="003F0136"/>
    <w:rsid w:val="003F1137"/>
    <w:rsid w:val="003F24A9"/>
    <w:rsid w:val="00401ADF"/>
    <w:rsid w:val="00404798"/>
    <w:rsid w:val="004135A4"/>
    <w:rsid w:val="00421A6F"/>
    <w:rsid w:val="004301F5"/>
    <w:rsid w:val="00433AD3"/>
    <w:rsid w:val="00435F79"/>
    <w:rsid w:val="0044091F"/>
    <w:rsid w:val="004451F9"/>
    <w:rsid w:val="00453E3A"/>
    <w:rsid w:val="00462D93"/>
    <w:rsid w:val="004770CA"/>
    <w:rsid w:val="004827F1"/>
    <w:rsid w:val="004852F1"/>
    <w:rsid w:val="00490F53"/>
    <w:rsid w:val="0049383E"/>
    <w:rsid w:val="0049408F"/>
    <w:rsid w:val="00494A5B"/>
    <w:rsid w:val="004A292F"/>
    <w:rsid w:val="004A63A8"/>
    <w:rsid w:val="004A740F"/>
    <w:rsid w:val="004B2235"/>
    <w:rsid w:val="004C0A4D"/>
    <w:rsid w:val="004C174F"/>
    <w:rsid w:val="004C402B"/>
    <w:rsid w:val="004C4D43"/>
    <w:rsid w:val="004D48BD"/>
    <w:rsid w:val="004D59A6"/>
    <w:rsid w:val="004E41BC"/>
    <w:rsid w:val="004F1E7F"/>
    <w:rsid w:val="004F4257"/>
    <w:rsid w:val="004F7BD9"/>
    <w:rsid w:val="005017E8"/>
    <w:rsid w:val="005030F9"/>
    <w:rsid w:val="00503492"/>
    <w:rsid w:val="005042DE"/>
    <w:rsid w:val="00510F27"/>
    <w:rsid w:val="00511F71"/>
    <w:rsid w:val="00516C77"/>
    <w:rsid w:val="0052161C"/>
    <w:rsid w:val="00525E19"/>
    <w:rsid w:val="00526007"/>
    <w:rsid w:val="0052748A"/>
    <w:rsid w:val="005302EA"/>
    <w:rsid w:val="00530DD2"/>
    <w:rsid w:val="00533CC4"/>
    <w:rsid w:val="005429A3"/>
    <w:rsid w:val="00543590"/>
    <w:rsid w:val="00555C19"/>
    <w:rsid w:val="005567C6"/>
    <w:rsid w:val="00556995"/>
    <w:rsid w:val="00556DC6"/>
    <w:rsid w:val="00565912"/>
    <w:rsid w:val="00565EE2"/>
    <w:rsid w:val="00575A53"/>
    <w:rsid w:val="00576996"/>
    <w:rsid w:val="00576D31"/>
    <w:rsid w:val="005843BD"/>
    <w:rsid w:val="00587FD8"/>
    <w:rsid w:val="0059630F"/>
    <w:rsid w:val="005A7906"/>
    <w:rsid w:val="005A7D46"/>
    <w:rsid w:val="005B76D0"/>
    <w:rsid w:val="005C285C"/>
    <w:rsid w:val="005C35BF"/>
    <w:rsid w:val="005C4273"/>
    <w:rsid w:val="005C4E2D"/>
    <w:rsid w:val="005D71B4"/>
    <w:rsid w:val="005D795E"/>
    <w:rsid w:val="005E083F"/>
    <w:rsid w:val="005E429A"/>
    <w:rsid w:val="005E79B3"/>
    <w:rsid w:val="005F2DB2"/>
    <w:rsid w:val="005F4513"/>
    <w:rsid w:val="005F7968"/>
    <w:rsid w:val="00600315"/>
    <w:rsid w:val="00601391"/>
    <w:rsid w:val="00604514"/>
    <w:rsid w:val="006107F8"/>
    <w:rsid w:val="00612267"/>
    <w:rsid w:val="00614F3F"/>
    <w:rsid w:val="006162C6"/>
    <w:rsid w:val="0062022E"/>
    <w:rsid w:val="00621E53"/>
    <w:rsid w:val="006231B6"/>
    <w:rsid w:val="00623870"/>
    <w:rsid w:val="00623943"/>
    <w:rsid w:val="00627D83"/>
    <w:rsid w:val="006302E6"/>
    <w:rsid w:val="00633BD1"/>
    <w:rsid w:val="00656F1C"/>
    <w:rsid w:val="00667AB6"/>
    <w:rsid w:val="00671AAD"/>
    <w:rsid w:val="00676A3B"/>
    <w:rsid w:val="00682153"/>
    <w:rsid w:val="00684B13"/>
    <w:rsid w:val="00686E7C"/>
    <w:rsid w:val="00693A43"/>
    <w:rsid w:val="006963BC"/>
    <w:rsid w:val="006A1169"/>
    <w:rsid w:val="006A71BA"/>
    <w:rsid w:val="006B4153"/>
    <w:rsid w:val="006B549F"/>
    <w:rsid w:val="006B73BE"/>
    <w:rsid w:val="006B7A9E"/>
    <w:rsid w:val="006C02ED"/>
    <w:rsid w:val="006C6453"/>
    <w:rsid w:val="006D24AF"/>
    <w:rsid w:val="006D3B4A"/>
    <w:rsid w:val="006D568B"/>
    <w:rsid w:val="006D6E7A"/>
    <w:rsid w:val="006E0D64"/>
    <w:rsid w:val="006E2EBC"/>
    <w:rsid w:val="006E7631"/>
    <w:rsid w:val="006F3057"/>
    <w:rsid w:val="006F6D40"/>
    <w:rsid w:val="007018E0"/>
    <w:rsid w:val="00702BE8"/>
    <w:rsid w:val="0070382D"/>
    <w:rsid w:val="00711B2F"/>
    <w:rsid w:val="00713838"/>
    <w:rsid w:val="0071496C"/>
    <w:rsid w:val="00716E6A"/>
    <w:rsid w:val="0072361A"/>
    <w:rsid w:val="007245CA"/>
    <w:rsid w:val="007326A3"/>
    <w:rsid w:val="00735B37"/>
    <w:rsid w:val="00736201"/>
    <w:rsid w:val="00743581"/>
    <w:rsid w:val="00744339"/>
    <w:rsid w:val="0074637B"/>
    <w:rsid w:val="00750845"/>
    <w:rsid w:val="007525CF"/>
    <w:rsid w:val="007548DA"/>
    <w:rsid w:val="00761C58"/>
    <w:rsid w:val="00767DC4"/>
    <w:rsid w:val="00771C4D"/>
    <w:rsid w:val="0079378B"/>
    <w:rsid w:val="00796131"/>
    <w:rsid w:val="0079701E"/>
    <w:rsid w:val="007A266C"/>
    <w:rsid w:val="007A2C9B"/>
    <w:rsid w:val="007A3CAB"/>
    <w:rsid w:val="007A4326"/>
    <w:rsid w:val="007A754F"/>
    <w:rsid w:val="007C5F25"/>
    <w:rsid w:val="007C75EE"/>
    <w:rsid w:val="007E1F84"/>
    <w:rsid w:val="007E256C"/>
    <w:rsid w:val="007E2DD1"/>
    <w:rsid w:val="007E5576"/>
    <w:rsid w:val="007F030E"/>
    <w:rsid w:val="00800C94"/>
    <w:rsid w:val="00800F9E"/>
    <w:rsid w:val="0080342E"/>
    <w:rsid w:val="00805F9E"/>
    <w:rsid w:val="0081668B"/>
    <w:rsid w:val="00821C21"/>
    <w:rsid w:val="0082319B"/>
    <w:rsid w:val="0084335D"/>
    <w:rsid w:val="008445A1"/>
    <w:rsid w:val="00844C83"/>
    <w:rsid w:val="00855ED7"/>
    <w:rsid w:val="00856BE9"/>
    <w:rsid w:val="00856CDF"/>
    <w:rsid w:val="00856DDF"/>
    <w:rsid w:val="00866A15"/>
    <w:rsid w:val="008710AB"/>
    <w:rsid w:val="0087160F"/>
    <w:rsid w:val="00873D07"/>
    <w:rsid w:val="00876427"/>
    <w:rsid w:val="00876953"/>
    <w:rsid w:val="00880295"/>
    <w:rsid w:val="008810FF"/>
    <w:rsid w:val="0088250B"/>
    <w:rsid w:val="00883988"/>
    <w:rsid w:val="00883E90"/>
    <w:rsid w:val="008840FE"/>
    <w:rsid w:val="00885610"/>
    <w:rsid w:val="00891088"/>
    <w:rsid w:val="00891148"/>
    <w:rsid w:val="0089163E"/>
    <w:rsid w:val="00895538"/>
    <w:rsid w:val="008A0441"/>
    <w:rsid w:val="008A3A47"/>
    <w:rsid w:val="008A5709"/>
    <w:rsid w:val="008B0755"/>
    <w:rsid w:val="008B3870"/>
    <w:rsid w:val="008C21CA"/>
    <w:rsid w:val="008C317F"/>
    <w:rsid w:val="008C34C7"/>
    <w:rsid w:val="008D005C"/>
    <w:rsid w:val="008D049C"/>
    <w:rsid w:val="008D7E33"/>
    <w:rsid w:val="008E293F"/>
    <w:rsid w:val="008E3528"/>
    <w:rsid w:val="008E56F6"/>
    <w:rsid w:val="008F44AD"/>
    <w:rsid w:val="00905B2D"/>
    <w:rsid w:val="00912588"/>
    <w:rsid w:val="00915470"/>
    <w:rsid w:val="00917DFA"/>
    <w:rsid w:val="009210B0"/>
    <w:rsid w:val="00921BF4"/>
    <w:rsid w:val="009255B9"/>
    <w:rsid w:val="00925D7D"/>
    <w:rsid w:val="0092773B"/>
    <w:rsid w:val="00930758"/>
    <w:rsid w:val="00941DFD"/>
    <w:rsid w:val="00943AD2"/>
    <w:rsid w:val="009477D0"/>
    <w:rsid w:val="00951ABB"/>
    <w:rsid w:val="0095523C"/>
    <w:rsid w:val="009675D1"/>
    <w:rsid w:val="009705A4"/>
    <w:rsid w:val="00973DF3"/>
    <w:rsid w:val="009747C8"/>
    <w:rsid w:val="0097523B"/>
    <w:rsid w:val="0097755B"/>
    <w:rsid w:val="00983F4D"/>
    <w:rsid w:val="009847C9"/>
    <w:rsid w:val="009917BF"/>
    <w:rsid w:val="009969DD"/>
    <w:rsid w:val="009A38AD"/>
    <w:rsid w:val="009B443E"/>
    <w:rsid w:val="009B7494"/>
    <w:rsid w:val="009C3F8A"/>
    <w:rsid w:val="009D44C1"/>
    <w:rsid w:val="009E0506"/>
    <w:rsid w:val="009E4E48"/>
    <w:rsid w:val="009F7E00"/>
    <w:rsid w:val="00A03EB4"/>
    <w:rsid w:val="00A06AAC"/>
    <w:rsid w:val="00A075F4"/>
    <w:rsid w:val="00A12FEB"/>
    <w:rsid w:val="00A1734E"/>
    <w:rsid w:val="00A22CB8"/>
    <w:rsid w:val="00A34DC8"/>
    <w:rsid w:val="00A45A71"/>
    <w:rsid w:val="00A474F4"/>
    <w:rsid w:val="00A50D08"/>
    <w:rsid w:val="00A5111B"/>
    <w:rsid w:val="00A63928"/>
    <w:rsid w:val="00A710B8"/>
    <w:rsid w:val="00A74261"/>
    <w:rsid w:val="00A76E8C"/>
    <w:rsid w:val="00A84CD7"/>
    <w:rsid w:val="00AA2B94"/>
    <w:rsid w:val="00AA3DAD"/>
    <w:rsid w:val="00AA5D09"/>
    <w:rsid w:val="00AA68B4"/>
    <w:rsid w:val="00AA70CA"/>
    <w:rsid w:val="00AB3906"/>
    <w:rsid w:val="00AB40A5"/>
    <w:rsid w:val="00AB5EDA"/>
    <w:rsid w:val="00AD1279"/>
    <w:rsid w:val="00AD4490"/>
    <w:rsid w:val="00AD668E"/>
    <w:rsid w:val="00AE5738"/>
    <w:rsid w:val="00AF30CD"/>
    <w:rsid w:val="00AF34EA"/>
    <w:rsid w:val="00AF41F9"/>
    <w:rsid w:val="00AF536E"/>
    <w:rsid w:val="00B00C83"/>
    <w:rsid w:val="00B0294E"/>
    <w:rsid w:val="00B042F9"/>
    <w:rsid w:val="00B07685"/>
    <w:rsid w:val="00B079F5"/>
    <w:rsid w:val="00B202E1"/>
    <w:rsid w:val="00B23272"/>
    <w:rsid w:val="00B24140"/>
    <w:rsid w:val="00B3366D"/>
    <w:rsid w:val="00B33CFA"/>
    <w:rsid w:val="00B4595A"/>
    <w:rsid w:val="00B5791F"/>
    <w:rsid w:val="00B60115"/>
    <w:rsid w:val="00B621B1"/>
    <w:rsid w:val="00B740FD"/>
    <w:rsid w:val="00B74BD0"/>
    <w:rsid w:val="00B74DBA"/>
    <w:rsid w:val="00B766DA"/>
    <w:rsid w:val="00B775CB"/>
    <w:rsid w:val="00B848F9"/>
    <w:rsid w:val="00B94E92"/>
    <w:rsid w:val="00B9765E"/>
    <w:rsid w:val="00BA5022"/>
    <w:rsid w:val="00BA7AA4"/>
    <w:rsid w:val="00BB4729"/>
    <w:rsid w:val="00BF0D2A"/>
    <w:rsid w:val="00BF12CC"/>
    <w:rsid w:val="00BF283B"/>
    <w:rsid w:val="00BF2DF1"/>
    <w:rsid w:val="00BF3ABE"/>
    <w:rsid w:val="00BF7562"/>
    <w:rsid w:val="00BF7659"/>
    <w:rsid w:val="00C04615"/>
    <w:rsid w:val="00C07D52"/>
    <w:rsid w:val="00C07FD4"/>
    <w:rsid w:val="00C10179"/>
    <w:rsid w:val="00C14E89"/>
    <w:rsid w:val="00C1565C"/>
    <w:rsid w:val="00C17AFD"/>
    <w:rsid w:val="00C20064"/>
    <w:rsid w:val="00C249D9"/>
    <w:rsid w:val="00C33106"/>
    <w:rsid w:val="00C337FE"/>
    <w:rsid w:val="00C33905"/>
    <w:rsid w:val="00C35B85"/>
    <w:rsid w:val="00C35D57"/>
    <w:rsid w:val="00C36146"/>
    <w:rsid w:val="00C465FA"/>
    <w:rsid w:val="00C56DD3"/>
    <w:rsid w:val="00C63E78"/>
    <w:rsid w:val="00C65929"/>
    <w:rsid w:val="00C77F7B"/>
    <w:rsid w:val="00C822D2"/>
    <w:rsid w:val="00C86783"/>
    <w:rsid w:val="00C92191"/>
    <w:rsid w:val="00C946D4"/>
    <w:rsid w:val="00C9505C"/>
    <w:rsid w:val="00CA0B58"/>
    <w:rsid w:val="00CA4274"/>
    <w:rsid w:val="00CA43DF"/>
    <w:rsid w:val="00CA6733"/>
    <w:rsid w:val="00CA6B1C"/>
    <w:rsid w:val="00CA7325"/>
    <w:rsid w:val="00CA73CB"/>
    <w:rsid w:val="00CB57F8"/>
    <w:rsid w:val="00CC239D"/>
    <w:rsid w:val="00CD4ECF"/>
    <w:rsid w:val="00CE4121"/>
    <w:rsid w:val="00CE49F4"/>
    <w:rsid w:val="00CF20F2"/>
    <w:rsid w:val="00CF3F52"/>
    <w:rsid w:val="00CF64F7"/>
    <w:rsid w:val="00D0222C"/>
    <w:rsid w:val="00D0266D"/>
    <w:rsid w:val="00D03FA0"/>
    <w:rsid w:val="00D04CCD"/>
    <w:rsid w:val="00D10DB3"/>
    <w:rsid w:val="00D111BD"/>
    <w:rsid w:val="00D16F2C"/>
    <w:rsid w:val="00D2695D"/>
    <w:rsid w:val="00D26FAF"/>
    <w:rsid w:val="00D2731C"/>
    <w:rsid w:val="00D30D1A"/>
    <w:rsid w:val="00D3121F"/>
    <w:rsid w:val="00D327B9"/>
    <w:rsid w:val="00D37B5C"/>
    <w:rsid w:val="00D466AA"/>
    <w:rsid w:val="00D547C7"/>
    <w:rsid w:val="00D5718D"/>
    <w:rsid w:val="00D66B9F"/>
    <w:rsid w:val="00D70183"/>
    <w:rsid w:val="00D7045B"/>
    <w:rsid w:val="00D71D1C"/>
    <w:rsid w:val="00D80553"/>
    <w:rsid w:val="00D83FD7"/>
    <w:rsid w:val="00D866BA"/>
    <w:rsid w:val="00D92620"/>
    <w:rsid w:val="00D944D2"/>
    <w:rsid w:val="00D95D3F"/>
    <w:rsid w:val="00D96726"/>
    <w:rsid w:val="00D975F2"/>
    <w:rsid w:val="00DB56EB"/>
    <w:rsid w:val="00DC10DE"/>
    <w:rsid w:val="00DC24A5"/>
    <w:rsid w:val="00DC4BE5"/>
    <w:rsid w:val="00DD3BAB"/>
    <w:rsid w:val="00DE1604"/>
    <w:rsid w:val="00DE2AED"/>
    <w:rsid w:val="00DE3C08"/>
    <w:rsid w:val="00DE69A8"/>
    <w:rsid w:val="00DF4579"/>
    <w:rsid w:val="00DF6E50"/>
    <w:rsid w:val="00E0033A"/>
    <w:rsid w:val="00E14928"/>
    <w:rsid w:val="00E151B1"/>
    <w:rsid w:val="00E17EE9"/>
    <w:rsid w:val="00E23D12"/>
    <w:rsid w:val="00E332D8"/>
    <w:rsid w:val="00E362F5"/>
    <w:rsid w:val="00E3764C"/>
    <w:rsid w:val="00E46662"/>
    <w:rsid w:val="00E503CE"/>
    <w:rsid w:val="00E505D0"/>
    <w:rsid w:val="00E5071B"/>
    <w:rsid w:val="00E67177"/>
    <w:rsid w:val="00E81551"/>
    <w:rsid w:val="00E8797C"/>
    <w:rsid w:val="00E91588"/>
    <w:rsid w:val="00E91A21"/>
    <w:rsid w:val="00E925C4"/>
    <w:rsid w:val="00E92D81"/>
    <w:rsid w:val="00E95836"/>
    <w:rsid w:val="00EA4131"/>
    <w:rsid w:val="00EA4211"/>
    <w:rsid w:val="00EA48CD"/>
    <w:rsid w:val="00EC7374"/>
    <w:rsid w:val="00EC7B55"/>
    <w:rsid w:val="00ED4DCE"/>
    <w:rsid w:val="00EE1FC8"/>
    <w:rsid w:val="00EE46BF"/>
    <w:rsid w:val="00EE566F"/>
    <w:rsid w:val="00EE5AA6"/>
    <w:rsid w:val="00EE71B0"/>
    <w:rsid w:val="00EF1A7E"/>
    <w:rsid w:val="00EF24FD"/>
    <w:rsid w:val="00F1083D"/>
    <w:rsid w:val="00F10E40"/>
    <w:rsid w:val="00F172F4"/>
    <w:rsid w:val="00F17D89"/>
    <w:rsid w:val="00F21F89"/>
    <w:rsid w:val="00F22B40"/>
    <w:rsid w:val="00F23D13"/>
    <w:rsid w:val="00F23EE4"/>
    <w:rsid w:val="00F3179D"/>
    <w:rsid w:val="00F3334E"/>
    <w:rsid w:val="00F354AF"/>
    <w:rsid w:val="00F379F2"/>
    <w:rsid w:val="00F43112"/>
    <w:rsid w:val="00F43CCA"/>
    <w:rsid w:val="00F60EEF"/>
    <w:rsid w:val="00F62592"/>
    <w:rsid w:val="00F644DC"/>
    <w:rsid w:val="00F7611E"/>
    <w:rsid w:val="00F80BFB"/>
    <w:rsid w:val="00F83A21"/>
    <w:rsid w:val="00F84E21"/>
    <w:rsid w:val="00FA284E"/>
    <w:rsid w:val="00FA2883"/>
    <w:rsid w:val="00FA5E14"/>
    <w:rsid w:val="00FB7C3D"/>
    <w:rsid w:val="00FB7FA2"/>
    <w:rsid w:val="00FD7300"/>
    <w:rsid w:val="00FE4442"/>
    <w:rsid w:val="00FF56CB"/>
    <w:rsid w:val="00FF6BD0"/>
    <w:rsid w:val="00FF7543"/>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7380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Noto Sans CJK SC" w:hAnsi="Noto Sans CJK SC" w:eastAsia="Noto Sans CJK SC" w:cs="Noto Sans CJK SC"/>
        <w:lang w:val="zh-CN" w:eastAsia="zh-CN" w:bidi="ar-SA"/>
      </w:rPr>
    </w:rPrDefault>
    <w:pPrDefault>
      <w:pPr>
        <w:spacing w:after="12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A68B4"/>
    <w:pPr>
      <w:keepNext w:val="0"/>
      <w:widowControl/>
      <w:spacing w:lineRule="auto" w:line="276" w:after="120" w:before="0"/>
    </w:pPr>
    <w:rPr>
      <w:rFonts w:ascii="Noto Sans CJK SC" w:hAnsi="Noto Sans CJK SC" w:eastAsia="Noto Sans CJK SC" w:cs="Noto Sans CJK SC"/>
      <w:b w:val="0"/>
      <w:i w:val="0"/>
      <w:sz w:val="22"/>
    </w:rPr>
  </w:style>
  <w:style w:type="paragraph" w:styleId="Heading1">
    <w:name w:val="heading 1"/>
    <w:basedOn w:val="Normal"/>
    <w:next w:val="BodyText"/>
    <w:link w:val="Heading1Char"/>
    <w:uiPriority w:val="9"/>
    <w:qFormat/>
    <w:rsid w:val="00943AD2"/>
    <w:pPr>
      <w:keepNext/>
      <w:keepLines/>
      <w:widowControl/>
      <w:spacing w:before="180" w:after="120" w:lineRule="auto" w:line="276"/>
      <w:outlineLvl w:val="0"/>
    </w:pPr>
    <w:rPr>
      <w:rFonts w:cstheme="majorBidi" w:ascii="Noto Sans CJK SC" w:hAnsi="Noto Sans CJK SC" w:eastAsia="Noto Sans CJK SC" w:cs="Noto Sans CJK SC"/>
      <w:b/>
      <w:i w:val="0"/>
      <w:sz w:val="32"/>
      <w:szCs w:val="32"/>
    </w:rPr>
  </w:style>
  <w:style w:type="paragraph" w:styleId="Heading2">
    <w:name w:val="heading 2"/>
    <w:basedOn w:val="Normal"/>
    <w:next w:val="BodyText"/>
    <w:link w:val="Heading2Char"/>
    <w:uiPriority w:val="9"/>
    <w:unhideWhenUsed/>
    <w:qFormat/>
    <w:rsid w:val="00094D4D"/>
    <w:pPr>
      <w:keepNext/>
      <w:keepLines/>
      <w:widowControl/>
      <w:spacing w:before="180" w:after="120" w:lineRule="auto" w:line="276"/>
      <w:outlineLvl w:val="1"/>
    </w:pPr>
    <w:rPr>
      <w:rFonts w:cstheme="majorBidi" w:ascii="Noto Sans CJK SC" w:hAnsi="Noto Sans CJK SC" w:eastAsia="Noto Sans CJK SC" w:cs="Noto Sans CJK SC"/>
      <w:b/>
      <w:i w:val="0"/>
      <w:sz w:val="26"/>
      <w:szCs w:val="26"/>
    </w:rPr>
  </w:style>
  <w:style w:type="paragraph" w:styleId="Heading3">
    <w:name w:val="heading 3"/>
    <w:basedOn w:val="Normal"/>
    <w:next w:val="BodyText"/>
    <w:link w:val="Heading3Char"/>
    <w:uiPriority w:val="9"/>
    <w:unhideWhenUsed/>
    <w:qFormat/>
    <w:rsid w:val="0049408F"/>
    <w:pPr>
      <w:keepNext/>
      <w:keepLines/>
      <w:widowControl/>
      <w:spacing w:before="180" w:lineRule="auto" w:line="276" w:after="120"/>
      <w:outlineLvl w:val="2"/>
    </w:pPr>
    <w:rPr>
      <w:rFonts w:cstheme="majorBidi" w:ascii="Noto Sans CJK SC" w:hAnsi="Noto Sans CJK SC" w:eastAsia="Noto Sans CJK SC" w:cs="Noto Sans CJK SC"/>
      <w:b/>
      <w:i w:val="0"/>
      <w:sz w:val="22"/>
      <w:szCs w:val="24"/>
    </w:rPr>
  </w:style>
  <w:style w:type="paragraph" w:styleId="Heading4">
    <w:name w:val="heading 4"/>
    <w:aliases w:val="Titre 4 - Notes"/>
    <w:basedOn w:val="Normal"/>
    <w:next w:val="BodyText"/>
    <w:link w:val="Heading4Char"/>
    <w:uiPriority w:val="9"/>
    <w:unhideWhenUsed/>
    <w:qFormat/>
    <w:rsid w:val="007C75EE"/>
    <w:pPr>
      <w:keepNext/>
      <w:keepLines/>
      <w:spacing w:before="240" w:after="0"/>
      <w:outlineLvl w:val="3"/>
    </w:pPr>
    <w:rPr>
      <w:rFonts w:cs="Noto Sans CJK SC" w:ascii="Noto Sans CJK SC" w:hAnsi="Noto Sans CJK SC" w:eastAsia="Noto Sans CJK SC"/>
      <w:b/>
      <w:iCs/>
    </w:rPr>
  </w:style>
  <w:style w:type="paragraph" w:styleId="Heading5">
    <w:name w:val="heading 5"/>
    <w:basedOn w:val="Normal"/>
    <w:next w:val="BodyText"/>
    <w:link w:val="Heading5Char"/>
    <w:uiPriority w:val="9"/>
    <w:unhideWhenUsed/>
    <w:qFormat/>
    <w:rsid w:val="0049408F"/>
    <w:pPr>
      <w:keepNext/>
      <w:keepLines/>
      <w:spacing w:before="240" w:after="0"/>
      <w:outlineLvl w:val="4"/>
    </w:pPr>
    <w:rPr>
      <w:rFonts w:cstheme="majorBidi" w:ascii="Noto Sans CJK SC" w:hAnsi="Noto Sans CJK SC" w:eastAsia="Noto Sans CJK SC" w:cs="Noto Sans CJK SC"/>
      <w:u w:val="single"/>
    </w:rPr>
  </w:style>
  <w:style w:type="paragraph" w:styleId="Heading6">
    <w:name w:val="heading 6"/>
    <w:basedOn w:val="Normal"/>
    <w:next w:val="BodyText"/>
    <w:link w:val="Heading6Char"/>
    <w:uiPriority w:val="9"/>
    <w:unhideWhenUsed/>
    <w:qFormat/>
    <w:rsid w:val="00397F0D"/>
    <w:pPr>
      <w:keepNext/>
      <w:keepLines/>
      <w:spacing w:before="240" w:after="0"/>
      <w:outlineLvl w:val="5"/>
    </w:pPr>
    <w:rPr>
      <w:rFonts w:cstheme="majorBidi" w:ascii="Noto Sans CJK SC" w:hAnsi="Noto Sans CJK SC" w:eastAsia="Noto Sans CJK SC" w:cs="Noto Sans CJK SC"/>
      <w:i/>
    </w:rPr>
  </w:style>
  <w:style w:type="paragraph" w:styleId="Heading9">
    <w:name w:val="heading 9"/>
    <w:basedOn w:val="Normal"/>
    <w:next w:val="Normal"/>
    <w:link w:val="Heading9Char"/>
    <w:uiPriority w:val="9"/>
    <w:semiHidden/>
    <w:unhideWhenUsed/>
    <w:qFormat/>
    <w:rsid w:val="008810FF"/>
    <w:pPr>
      <w:keepNext/>
      <w:keepLines/>
      <w:spacing w:before="40"/>
      <w:outlineLvl w:val="8"/>
    </w:pPr>
    <w:rPr>
      <w:rFonts w:cstheme="majorBidi" w:ascii="Noto Sans CJK SC" w:hAnsi="Noto Sans CJK SC" w:eastAsia="Noto Sans CJK SC" w:cs="Noto Sans CJK SC"/>
      <w:i/>
      <w:iCs/>
      <w:sz w:val="21"/>
      <w:szCs w:val="21"/>
    </w:rPr>
  </w:style>
  <w:style w:type="character" w:default="1" w:styleId="DefaultParagraphFont">
    <w:name w:val="Default Paragraph Font"/>
    <w:uiPriority w:val="1"/>
    <w:semiHidden/>
    <w:unhideWhenUsed/>
    <w:rPr>
      <w:rFonts w:ascii="Noto Sans CJK SC" w:hAnsi="Noto Sans CJK SC" w:eastAsia="Noto Sans CJK SC" w:cs="Noto Sans CJK SC"/>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Noto Sans CJK SC" w:hAnsi="Noto Sans CJK SC" w:eastAsia="Noto Sans CJK SC" w:cs="Noto Sans CJK SC"/>
    </w:rPr>
  </w:style>
  <w:style w:type="numbering" w:default="1" w:styleId="NoList">
    <w:name w:val="No List"/>
    <w:uiPriority w:val="99"/>
    <w:semiHidden/>
    <w:unhideWhenUsed/>
    <w:rPr>
      <w:rFonts w:ascii="Noto Sans CJK SC" w:hAnsi="Noto Sans CJK SC" w:eastAsia="Noto Sans CJK SC" w:cs="Noto Sans CJK SC"/>
    </w:rPr>
  </w:style>
  <w:style w:type="paragraph" w:styleId="BodyText">
    <w:name w:val="Body Text"/>
    <w:basedOn w:val="Normal"/>
    <w:link w:val="BodyTextChar"/>
    <w:qFormat/>
    <w:rsid w:val="00BF283B"/>
    <w:pPr>
      <w:keepNext w:val="0"/>
      <w:widowControl/>
      <w:spacing w:lineRule="auto" w:line="276" w:after="120" w:before="0"/>
    </w:pPr>
    <w:rPr>
      <w:rFonts w:ascii="Noto Sans CJK SC" w:hAnsi="Noto Sans CJK SC" w:eastAsia="Noto Sans CJK SC" w:cs="Noto Sans CJK SC"/>
      <w:b w:val="0"/>
      <w:i w:val="0"/>
      <w:sz w:val="22"/>
    </w:rPr>
  </w:style>
  <w:style w:type="character" w:customStyle="1" w:styleId="BodyTextChar">
    <w:name w:val="Body Text Char"/>
    <w:basedOn w:val="DefaultParagraphFont"/>
    <w:link w:val="BodyText"/>
    <w:rsid w:val="000B6521"/>
    <w:rPr>
      <w:rFonts w:ascii="Noto Sans CJK SC" w:hAnsi="Noto Sans CJK SC" w:eastAsia="Noto Sans CJK SC" w:cs="Noto Sans CJK SC"/>
      <w:lang w:val="en-CA"/>
    </w:rPr>
  </w:style>
  <w:style w:type="paragraph" w:styleId="BodyText2">
    <w:name w:val="Body Text 2"/>
    <w:basedOn w:val="BodyText"/>
    <w:next w:val="BodyText"/>
    <w:link w:val="BodyText2Char"/>
    <w:unhideWhenUsed/>
    <w:rsid w:val="007C5F25"/>
    <w:pPr>
      <w:spacing w:before="240"/>
    </w:pPr>
    <w:rPr>
      <w:rFonts w:ascii="Noto Sans CJK SC" w:hAnsi="Noto Sans CJK SC" w:eastAsia="Noto Sans CJK SC" w:cs="Noto Sans CJK SC"/>
    </w:rPr>
  </w:style>
  <w:style w:type="character" w:customStyle="1" w:styleId="BodyText2Char">
    <w:name w:val="Body Text 2 Char"/>
    <w:basedOn w:val="DefaultParagraphFont"/>
    <w:link w:val="BodyText2"/>
    <w:rsid w:val="000B6521"/>
    <w:rPr>
      <w:rFonts w:ascii="Noto Sans CJK SC" w:hAnsi="Noto Sans CJK SC" w:eastAsia="Noto Sans CJK SC" w:cs="Noto Sans CJK SC"/>
      <w:lang w:val="en-CA"/>
    </w:rPr>
  </w:style>
  <w:style w:type="paragraph" w:styleId="BodyText3">
    <w:name w:val="Body Text 3"/>
    <w:basedOn w:val="Normal"/>
    <w:link w:val="BodyText3Char"/>
    <w:unhideWhenUsed/>
    <w:rsid w:val="00490F53"/>
    <w:rPr>
      <w:rFonts w:ascii="Noto Sans CJK SC" w:hAnsi="Noto Sans CJK SC" w:eastAsia="Noto Sans CJK SC" w:cs="Noto Sans CJK SC"/>
      <w:sz w:val="16"/>
      <w:szCs w:val="16"/>
    </w:rPr>
  </w:style>
  <w:style w:type="character" w:customStyle="1" w:styleId="BodyText3Char">
    <w:name w:val="Body Text 3 Char"/>
    <w:basedOn w:val="DefaultParagraphFont"/>
    <w:link w:val="BodyText3"/>
    <w:rsid w:val="000B6521"/>
    <w:rPr>
      <w:rFonts w:ascii="Noto Sans CJK SC" w:hAnsi="Noto Sans CJK SC" w:eastAsia="Noto Sans CJK SC" w:cs="Noto Sans CJK SC"/>
      <w:sz w:val="16"/>
      <w:szCs w:val="16"/>
      <w:lang w:val="en-CA"/>
    </w:rPr>
  </w:style>
  <w:style w:type="character" w:customStyle="1" w:styleId="Heading1Char">
    <w:name w:val="Heading 1 Char"/>
    <w:basedOn w:val="DefaultParagraphFont"/>
    <w:link w:val="Heading1"/>
    <w:uiPriority w:val="9"/>
    <w:rsid w:val="00943AD2"/>
    <w:rPr>
      <w:rFonts w:cstheme="majorBidi" w:ascii="Noto Sans CJK SC" w:hAnsi="Noto Sans CJK SC" w:eastAsia="Noto Sans CJK SC" w:cs="Noto Sans CJK SC"/>
      <w:b/>
      <w:sz w:val="68"/>
      <w:szCs w:val="32"/>
    </w:rPr>
  </w:style>
  <w:style w:type="character" w:customStyle="1" w:styleId="Heading2Char">
    <w:name w:val="Heading 2 Char"/>
    <w:basedOn w:val="DefaultParagraphFont"/>
    <w:link w:val="Heading2"/>
    <w:uiPriority w:val="9"/>
    <w:rsid w:val="00094D4D"/>
    <w:rPr>
      <w:rFonts w:cstheme="majorBidi" w:ascii="Noto Sans CJK SC" w:hAnsi="Noto Sans CJK SC" w:eastAsia="Noto Sans CJK SC" w:cs="Noto Sans CJK SC"/>
      <w:b/>
      <w:sz w:val="36"/>
      <w:szCs w:val="26"/>
    </w:rPr>
  </w:style>
  <w:style w:type="character" w:customStyle="1" w:styleId="Heading3Char">
    <w:name w:val="Heading 3 Char"/>
    <w:basedOn w:val="DefaultParagraphFont"/>
    <w:link w:val="Heading3"/>
    <w:uiPriority w:val="9"/>
    <w:rsid w:val="0049408F"/>
    <w:rPr>
      <w:rFonts w:cstheme="majorBidi" w:ascii="Noto Sans CJK SC" w:hAnsi="Noto Sans CJK SC" w:eastAsia="Noto Sans CJK SC" w:cs="Noto Sans CJK SC"/>
      <w:b/>
      <w:sz w:val="26"/>
      <w:szCs w:val="24"/>
    </w:rPr>
  </w:style>
  <w:style w:type="character" w:customStyle="1" w:styleId="Heading4Char">
    <w:name w:val="Heading 4 Char"/>
    <w:aliases w:val="Titre 4 - Notes Char"/>
    <w:basedOn w:val="DefaultParagraphFont"/>
    <w:link w:val="Heading4"/>
    <w:uiPriority w:val="9"/>
    <w:rsid w:val="007C75EE"/>
    <w:rPr>
      <w:rFonts w:cs="Noto Sans CJK SC" w:ascii="Noto Sans CJK SC" w:hAnsi="Noto Sans CJK SC" w:eastAsia="Noto Sans CJK SC"/>
      <w:b/>
      <w:iCs/>
    </w:rPr>
  </w:style>
  <w:style w:type="character" w:customStyle="1" w:styleId="Heading5Char">
    <w:name w:val="Heading 5 Char"/>
    <w:basedOn w:val="DefaultParagraphFont"/>
    <w:link w:val="Heading5"/>
    <w:uiPriority w:val="9"/>
    <w:rsid w:val="0049408F"/>
    <w:rPr>
      <w:rFonts w:cstheme="majorBidi" w:ascii="Noto Sans CJK SC" w:hAnsi="Noto Sans CJK SC" w:eastAsia="Noto Sans CJK SC" w:cs="Noto Sans CJK SC"/>
      <w:sz w:val="20"/>
      <w:u w:val="single"/>
    </w:rPr>
  </w:style>
  <w:style w:type="paragraph" w:styleId="ListBullet">
    <w:name w:val="List Bullet"/>
    <w:basedOn w:val="BodyText"/>
    <w:uiPriority w:val="99"/>
    <w:unhideWhenUsed/>
    <w:rsid w:val="008E293F"/>
    <w:pPr>
      <w:numPr>
        <w:numId w:val="6"/>
      </w:numPr>
    </w:pPr>
    <w:rPr>
      <w:rFonts w:ascii="Noto Sans CJK SC" w:hAnsi="Noto Sans CJK SC" w:eastAsia="Noto Sans CJK SC" w:cs="Noto Sans CJK SC"/>
    </w:rPr>
  </w:style>
  <w:style w:type="paragraph" w:styleId="Header">
    <w:name w:val="header"/>
    <w:basedOn w:val="Normal"/>
    <w:link w:val="HeaderChar"/>
    <w:uiPriority w:val="99"/>
    <w:unhideWhenUsed/>
    <w:rsid w:val="00EE566F"/>
    <w:pPr>
      <w:keepNext w:val="0"/>
      <w:widowControl/>
      <w:tabs>
        <w:tab w:pos="9026" w:val="right"/>
      </w:tabs>
      <w:spacing w:after="120" w:line="276" w:lineRule="auto" w:before="0"/>
    </w:pPr>
    <w:rPr>
      <w:rFonts w:ascii="Noto Sans CJK SC" w:hAnsi="Noto Sans CJK SC" w:eastAsia="Noto Sans CJK SC" w:cs="Noto Sans CJK SC"/>
      <w:b w:val="0"/>
      <w:i w:val="0"/>
      <w:sz w:val="18"/>
    </w:rPr>
  </w:style>
  <w:style w:type="character" w:customStyle="1" w:styleId="HeaderChar">
    <w:name w:val="Header Char"/>
    <w:basedOn w:val="DefaultParagraphFont"/>
    <w:link w:val="Header"/>
    <w:uiPriority w:val="99"/>
    <w:rsid w:val="00EE566F"/>
    <w:rPr>
      <w:rFonts w:ascii="Noto Sans CJK SC" w:hAnsi="Noto Sans CJK SC" w:eastAsia="Noto Sans CJK SC" w:cs="Noto Sans CJK SC"/>
    </w:rPr>
  </w:style>
  <w:style w:type="paragraph" w:styleId="Footer">
    <w:name w:val="footer"/>
    <w:basedOn w:val="Normal"/>
    <w:link w:val="FooterChar"/>
    <w:uiPriority w:val="99"/>
    <w:unhideWhenUsed/>
    <w:rsid w:val="00EC7B55"/>
    <w:pPr>
      <w:keepNext w:val="0"/>
      <w:widowControl/>
      <w:tabs>
        <w:tab w:pos="9026" w:val="right"/>
      </w:tabs>
      <w:spacing w:before="0" w:after="120" w:line="276" w:lineRule="auto"/>
    </w:pPr>
    <w:rPr>
      <w:rFonts w:ascii="Noto Sans CJK SC" w:hAnsi="Noto Sans CJK SC" w:eastAsia="Noto Sans CJK SC" w:cs="Noto Sans CJK SC"/>
      <w:b w:val="0"/>
      <w:i w:val="0"/>
      <w:sz w:val="18"/>
    </w:rPr>
  </w:style>
  <w:style w:type="character" w:customStyle="1" w:styleId="FooterChar">
    <w:name w:val="Footer Char"/>
    <w:basedOn w:val="DefaultParagraphFont"/>
    <w:link w:val="Footer"/>
    <w:uiPriority w:val="99"/>
    <w:rsid w:val="00EC7B55"/>
    <w:rPr>
      <w:rFonts w:ascii="Noto Sans CJK SC" w:hAnsi="Noto Sans CJK SC" w:eastAsia="Noto Sans CJK SC" w:cs="Noto Sans CJK SC"/>
      <w:sz w:val="16"/>
    </w:rPr>
  </w:style>
  <w:style w:type="paragraph" w:styleId="ListBullet2">
    <w:name w:val="List Bullet 2"/>
    <w:basedOn w:val="BodyText"/>
    <w:uiPriority w:val="99"/>
    <w:unhideWhenUsed/>
    <w:rsid w:val="005F4513"/>
    <w:pPr>
      <w:numPr>
        <w:numId w:val="7"/>
      </w:numPr>
      <w:contextualSpacing/>
    </w:pPr>
    <w:rPr>
      <w:rFonts w:ascii="Noto Sans CJK SC" w:hAnsi="Noto Sans CJK SC" w:eastAsia="Noto Sans CJK SC" w:cs="Noto Sans CJK SC"/>
    </w:rPr>
  </w:style>
  <w:style w:type="paragraph" w:styleId="ListBullet3">
    <w:name w:val="List Bullet 3"/>
    <w:basedOn w:val="BodyText"/>
    <w:uiPriority w:val="99"/>
    <w:unhideWhenUsed/>
    <w:qFormat/>
    <w:rsid w:val="00891148"/>
    <w:pPr>
      <w:numPr>
        <w:numId w:val="8"/>
      </w:numPr>
      <w:contextualSpacing/>
    </w:pPr>
    <w:rPr>
      <w:rFonts w:ascii="Noto Sans CJK SC" w:hAnsi="Noto Sans CJK SC" w:eastAsia="Noto Sans CJK SC" w:cs="Noto Sans CJK SC"/>
    </w:rPr>
  </w:style>
  <w:style w:type="paragraph" w:styleId="ListBullet4">
    <w:name w:val="List Bullet 4"/>
    <w:basedOn w:val="BodyText"/>
    <w:uiPriority w:val="99"/>
    <w:unhideWhenUsed/>
    <w:qFormat/>
    <w:rsid w:val="00D80553"/>
    <w:pPr>
      <w:numPr>
        <w:numId w:val="9"/>
      </w:numPr>
      <w:ind w:left="240" w:hanging="240"/>
      <w:contextualSpacing/>
    </w:pPr>
    <w:rPr>
      <w:rFonts w:ascii="Noto Sans CJK SC" w:hAnsi="Noto Sans CJK SC" w:eastAsia="Noto Sans CJK SC" w:cs="Noto Sans CJK SC"/>
    </w:rPr>
  </w:style>
  <w:style w:type="paragraph" w:styleId="ListBullet5">
    <w:name w:val="List Bullet 5"/>
    <w:basedOn w:val="BodyText"/>
    <w:uiPriority w:val="99"/>
    <w:unhideWhenUsed/>
    <w:rsid w:val="000E2E0D"/>
    <w:pPr>
      <w:numPr>
        <w:numId w:val="10"/>
      </w:numPr>
      <w:ind w:left="1560" w:hanging="240"/>
      <w:contextualSpacing/>
    </w:pPr>
    <w:rPr>
      <w:rFonts w:ascii="Noto Sans CJK SC" w:hAnsi="Noto Sans CJK SC" w:eastAsia="Noto Sans CJK SC" w:cs="Noto Sans CJK SC"/>
    </w:rPr>
  </w:style>
  <w:style w:type="paragraph" w:styleId="ListContinue">
    <w:name w:val="List Continue"/>
    <w:basedOn w:val="BodyText"/>
    <w:uiPriority w:val="99"/>
    <w:unhideWhenUsed/>
    <w:rsid w:val="00F84E21"/>
    <w:pPr>
      <w:ind w:left="360"/>
      <w:contextualSpacing/>
    </w:pPr>
    <w:rPr>
      <w:rFonts w:ascii="Noto Sans CJK SC" w:hAnsi="Noto Sans CJK SC" w:eastAsia="Noto Sans CJK SC" w:cs="Noto Sans CJK SC"/>
    </w:rPr>
  </w:style>
  <w:style w:type="paragraph" w:styleId="BodyTextIndent">
    <w:name w:val="Body Text Indent"/>
    <w:basedOn w:val="BodyText"/>
    <w:link w:val="BodyTextIndentChar"/>
    <w:uiPriority w:val="99"/>
    <w:unhideWhenUsed/>
    <w:rsid w:val="008E293F"/>
    <w:pPr>
      <w:ind w:left="360"/>
    </w:pPr>
    <w:rPr>
      <w:rFonts w:ascii="Noto Sans CJK SC" w:hAnsi="Noto Sans CJK SC" w:eastAsia="Noto Sans CJK SC" w:cs="Noto Sans CJK SC"/>
    </w:rPr>
  </w:style>
  <w:style w:type="character" w:customStyle="1" w:styleId="BodyTextIndentChar">
    <w:name w:val="Body Text Indent Char"/>
    <w:basedOn w:val="DefaultParagraphFont"/>
    <w:link w:val="BodyTextIndent"/>
    <w:uiPriority w:val="99"/>
    <w:rsid w:val="008E293F"/>
    <w:rPr>
      <w:rFonts w:ascii="Noto Sans CJK SC" w:hAnsi="Noto Sans CJK SC" w:eastAsia="Noto Sans CJK SC" w:cs="Noto Sans CJK SC"/>
    </w:rPr>
  </w:style>
  <w:style w:type="paragraph" w:styleId="BodyTextIndent2">
    <w:name w:val="Body Text Indent 2"/>
    <w:basedOn w:val="BodyText"/>
    <w:link w:val="BodyTextIndent2Char"/>
    <w:uiPriority w:val="99"/>
    <w:unhideWhenUsed/>
    <w:rsid w:val="00C946D4"/>
    <w:pPr>
      <w:ind w:left="720"/>
    </w:pPr>
    <w:rPr>
      <w:rFonts w:ascii="Noto Sans CJK SC" w:hAnsi="Noto Sans CJK SC" w:eastAsia="Noto Sans CJK SC" w:cs="Noto Sans CJK SC"/>
    </w:rPr>
  </w:style>
  <w:style w:type="character" w:customStyle="1" w:styleId="BodyTextIndent2Char">
    <w:name w:val="Body Text Indent 2 Char"/>
    <w:basedOn w:val="DefaultParagraphFont"/>
    <w:link w:val="BodyTextIndent2"/>
    <w:uiPriority w:val="99"/>
    <w:rsid w:val="00C946D4"/>
    <w:rPr>
      <w:rFonts w:ascii="Noto Sans CJK SC" w:hAnsi="Noto Sans CJK SC" w:eastAsia="Noto Sans CJK SC" w:cs="Noto Sans CJK SC"/>
      <w:lang w:val="en-CA"/>
    </w:rPr>
  </w:style>
  <w:style w:type="paragraph" w:styleId="BodyTextFirstIndent2">
    <w:name w:val="Body Text First Indent 2"/>
    <w:basedOn w:val="BodyTextIndent"/>
    <w:link w:val="BodyTextFirstIndent2Char"/>
    <w:uiPriority w:val="99"/>
    <w:unhideWhenUsed/>
    <w:rsid w:val="00B621B1"/>
    <w:pPr>
      <w:ind w:firstLine="360"/>
    </w:pPr>
    <w:rPr>
      <w:rFonts w:ascii="Noto Sans CJK SC" w:hAnsi="Noto Sans CJK SC" w:eastAsia="Noto Sans CJK SC" w:cs="Noto Sans CJK SC"/>
    </w:rPr>
  </w:style>
  <w:style w:type="character" w:customStyle="1" w:styleId="BodyTextFirstIndent2Char">
    <w:name w:val="Body Text First Indent 2 Char"/>
    <w:basedOn w:val="BodyTextIndentChar"/>
    <w:link w:val="BodyTextFirstIndent2"/>
    <w:uiPriority w:val="99"/>
    <w:rsid w:val="00B621B1"/>
    <w:rPr>
      <w:rFonts w:ascii="Noto Sans CJK SC" w:hAnsi="Noto Sans CJK SC" w:eastAsia="Noto Sans CJK SC" w:cs="Noto Sans CJK SC"/>
    </w:rPr>
  </w:style>
  <w:style w:type="paragraph" w:styleId="BodyTextFirstIndent">
    <w:name w:val="Body Text First Indent"/>
    <w:basedOn w:val="BodyText"/>
    <w:link w:val="BodyTextFirstIndentChar"/>
    <w:uiPriority w:val="99"/>
    <w:unhideWhenUsed/>
    <w:rsid w:val="005F7968"/>
    <w:pPr>
      <w:ind w:firstLine="360"/>
    </w:pPr>
    <w:rPr>
      <w:rFonts w:ascii="Noto Sans CJK SC" w:hAnsi="Noto Sans CJK SC" w:eastAsia="Noto Sans CJK SC" w:cs="Noto Sans CJK SC"/>
    </w:rPr>
  </w:style>
  <w:style w:type="character" w:customStyle="1" w:styleId="BodyTextFirstIndentChar">
    <w:name w:val="Body Text First Indent Char"/>
    <w:basedOn w:val="BodyTextChar"/>
    <w:link w:val="BodyTextFirstIndent"/>
    <w:uiPriority w:val="99"/>
    <w:rsid w:val="005F7968"/>
    <w:rPr>
      <w:rFonts w:ascii="Noto Sans CJK SC" w:hAnsi="Noto Sans CJK SC" w:eastAsia="Noto Sans CJK SC" w:cs="Noto Sans CJK SC"/>
      <w:sz w:val="20"/>
      <w:lang w:val="en-CA"/>
    </w:rPr>
  </w:style>
  <w:style w:type="paragraph" w:styleId="ListNumber">
    <w:name w:val="List Number"/>
    <w:basedOn w:val="BodyText"/>
    <w:uiPriority w:val="99"/>
    <w:unhideWhenUsed/>
    <w:rsid w:val="00F1083D"/>
    <w:pPr>
      <w:numPr>
        <w:numId w:val="13"/>
      </w:numPr>
    </w:pPr>
    <w:rPr>
      <w:rFonts w:ascii="Noto Sans CJK SC" w:hAnsi="Noto Sans CJK SC" w:eastAsia="Noto Sans CJK SC" w:cs="Noto Sans CJK SC"/>
    </w:rPr>
  </w:style>
  <w:style w:type="paragraph" w:styleId="ListNumber2">
    <w:name w:val="List Number 2"/>
    <w:basedOn w:val="BodyText"/>
    <w:uiPriority w:val="99"/>
    <w:unhideWhenUsed/>
    <w:rsid w:val="00F1083D"/>
    <w:pPr>
      <w:numPr>
        <w:ilvl w:val="1"/>
        <w:numId w:val="13"/>
      </w:numPr>
    </w:pPr>
    <w:rPr>
      <w:rFonts w:ascii="Noto Sans CJK SC" w:hAnsi="Noto Sans CJK SC" w:eastAsia="Noto Sans CJK SC" w:cs="Noto Sans CJK SC"/>
    </w:rPr>
  </w:style>
  <w:style w:type="paragraph" w:styleId="ListNumber3">
    <w:name w:val="List Number 3"/>
    <w:basedOn w:val="BodyText"/>
    <w:uiPriority w:val="99"/>
    <w:unhideWhenUsed/>
    <w:rsid w:val="00F1083D"/>
    <w:pPr>
      <w:numPr>
        <w:ilvl w:val="2"/>
        <w:numId w:val="13"/>
      </w:numPr>
    </w:pPr>
    <w:rPr>
      <w:rFonts w:ascii="Noto Sans CJK SC" w:hAnsi="Noto Sans CJK SC" w:eastAsia="Noto Sans CJK SC" w:cs="Noto Sans CJK SC"/>
    </w:rPr>
  </w:style>
  <w:style w:type="paragraph" w:styleId="ListNumber4">
    <w:name w:val="List Number 4"/>
    <w:basedOn w:val="BodyText"/>
    <w:uiPriority w:val="99"/>
    <w:unhideWhenUsed/>
    <w:rsid w:val="00F1083D"/>
    <w:pPr>
      <w:numPr>
        <w:ilvl w:val="3"/>
        <w:numId w:val="13"/>
      </w:numPr>
    </w:pPr>
    <w:rPr>
      <w:rFonts w:ascii="Noto Sans CJK SC" w:hAnsi="Noto Sans CJK SC" w:eastAsia="Noto Sans CJK SC" w:cs="Noto Sans CJK SC"/>
    </w:rPr>
  </w:style>
  <w:style w:type="paragraph" w:styleId="ListNumber5">
    <w:name w:val="List Number 5"/>
    <w:basedOn w:val="BodyText"/>
    <w:uiPriority w:val="99"/>
    <w:semiHidden/>
    <w:unhideWhenUsed/>
    <w:rsid w:val="006162C6"/>
    <w:pPr>
      <w:numPr>
        <w:numId w:val="5"/>
      </w:numPr>
      <w:contextualSpacing/>
    </w:pPr>
    <w:rPr>
      <w:rFonts w:ascii="Noto Sans CJK SC" w:hAnsi="Noto Sans CJK SC" w:eastAsia="Noto Sans CJK SC" w:cs="Noto Sans CJK SC"/>
    </w:rPr>
  </w:style>
  <w:style w:type="character" w:styleId="PageNumber">
    <w:name w:val="page number"/>
    <w:basedOn w:val="DefaultParagraphFont"/>
    <w:uiPriority w:val="99"/>
    <w:unhideWhenUsed/>
    <w:rsid w:val="0039597D"/>
    <w:rPr>
      <w:rFonts w:ascii="Noto Sans CJK SC" w:hAnsi="Noto Sans CJK SC" w:eastAsia="Noto Sans CJK SC" w:cs="Noto Sans CJK SC"/>
      <w:b/>
      <w:sz w:val="16"/>
    </w:rPr>
  </w:style>
  <w:style w:type="character" w:styleId="IntenseEmphasis">
    <w:name w:val="Intense Emphasis"/>
    <w:basedOn w:val="DefaultParagraphFont"/>
    <w:uiPriority w:val="21"/>
    <w:rsid w:val="002D2A5D"/>
    <w:rPr>
      <w:rFonts w:ascii="Noto Sans CJK SC" w:hAnsi="Noto Sans CJK SC" w:eastAsia="Noto Sans CJK SC" w:cs="Noto Sans CJK SC"/>
      <w:i/>
      <w:iCs/>
    </w:rPr>
  </w:style>
  <w:style w:type="character" w:styleId="Strong">
    <w:name w:val="Strong"/>
    <w:basedOn w:val="DefaultParagraphFont"/>
    <w:uiPriority w:val="22"/>
    <w:qFormat/>
    <w:rsid w:val="002D2A5D"/>
    <w:rPr>
      <w:rFonts w:ascii="Noto Sans CJK SC" w:hAnsi="Noto Sans CJK SC" w:eastAsia="Noto Sans CJK SC" w:cs="Noto Sans CJK SC"/>
      <w:b/>
      <w:bCs/>
    </w:rPr>
  </w:style>
  <w:style w:type="character" w:styleId="PlaceholderText">
    <w:name w:val="Placeholder Text"/>
    <w:basedOn w:val="DefaultParagraphFont"/>
    <w:uiPriority w:val="99"/>
    <w:semiHidden/>
    <w:rsid w:val="002D2A5D"/>
    <w:rPr>
      <w:rFonts w:ascii="Noto Sans CJK SC" w:hAnsi="Noto Sans CJK SC" w:eastAsia="Noto Sans CJK SC" w:cs="Noto Sans CJK SC"/>
    </w:rPr>
  </w:style>
  <w:style w:type="paragraph" w:styleId="TOCHeading">
    <w:name w:val="TOC Heading"/>
    <w:basedOn w:val="Heading1"/>
    <w:next w:val="TOC1"/>
    <w:uiPriority w:val="39"/>
    <w:unhideWhenUsed/>
    <w:rsid w:val="00983F4D"/>
    <w:pPr>
      <w:keepNext w:val="0"/>
      <w:widowControl/>
      <w:spacing w:before="0" w:after="120" w:lineRule="auto" w:line="276"/>
      <w:outlineLvl w:val="9"/>
    </w:pPr>
    <w:rPr>
      <w:rFonts w:ascii="Noto Sans CJK SC" w:hAnsi="Noto Sans CJK SC" w:eastAsia="Noto Sans CJK SC" w:cs="Noto Sans CJK SC"/>
      <w:b/>
      <w:i w:val="0"/>
      <w:sz w:val="32"/>
      <w:lang w:eastAsia="fr-CA"/>
    </w:rPr>
  </w:style>
  <w:style w:type="paragraph" w:styleId="TOC1">
    <w:name w:val="toc 1"/>
    <w:basedOn w:val="Normal"/>
    <w:next w:val="BodyText"/>
    <w:autoRedefine/>
    <w:uiPriority w:val="39"/>
    <w:unhideWhenUsed/>
    <w:rsid w:val="00B00C83"/>
    <w:pPr>
      <w:spacing w:before="0" w:after="30" w:line="240" w:lineRule="auto"/>
      <w:tabs>
        <w:tab w:val="right" w:leader="dot" w:pos="9026"/>
      </w:tabs>
    </w:pPr>
    <w:rPr>
      <w:rFonts w:ascii="Noto Sans CJK SC" w:hAnsi="Noto Sans CJK SC" w:eastAsia="Noto Sans CJK SC" w:cs="Noto Sans CJK SC"/>
      <w:b/>
      <w:sz w:val="20"/>
      <w:szCs w:val="20"/>
    </w:rPr>
  </w:style>
  <w:style w:type="paragraph" w:styleId="TOC2">
    <w:name w:val="toc 2"/>
    <w:basedOn w:val="Normal"/>
    <w:next w:val="BodyText"/>
    <w:autoRedefine/>
    <w:uiPriority w:val="39"/>
    <w:unhideWhenUsed/>
    <w:rsid w:val="00365872"/>
    <w:pPr>
      <w:spacing w:after="30" w:before="0" w:line="240" w:lineRule="auto"/>
      <w:tabs>
        <w:tab w:val="right" w:leader="dot" w:pos="9026"/>
      </w:tabs>
    </w:pPr>
    <w:rPr>
      <w:rFonts w:ascii="Noto Sans CJK SC" w:hAnsi="Noto Sans CJK SC" w:eastAsia="Noto Sans CJK SC" w:cs="Noto Sans CJK SC"/>
      <w:sz w:val="20"/>
      <w:szCs w:val="20"/>
    </w:rPr>
  </w:style>
  <w:style w:type="paragraph" w:styleId="TOC3">
    <w:name w:val="toc 3"/>
    <w:basedOn w:val="Normal"/>
    <w:next w:val="BodyText"/>
    <w:autoRedefine/>
    <w:uiPriority w:val="39"/>
    <w:unhideWhenUsed/>
    <w:rsid w:val="002E3842"/>
    <w:pPr>
      <w:spacing w:after="30" w:before="0" w:line="240" w:lineRule="auto"/>
      <w:ind w:left="360"/>
      <w:tabs>
        <w:tab w:val="right" w:leader="dot" w:pos="9026"/>
      </w:tabs>
    </w:pPr>
    <w:rPr>
      <w:rFonts w:ascii="Noto Sans CJK SC" w:hAnsi="Noto Sans CJK SC" w:eastAsia="Noto Sans CJK SC" w:cs="Noto Sans CJK SC"/>
      <w:sz w:val="20"/>
      <w:szCs w:val="20"/>
    </w:rPr>
  </w:style>
  <w:style w:type="character" w:styleId="Hyperlink">
    <w:name w:val="Hyperlink"/>
    <w:basedOn w:val="DefaultParagraphFont"/>
    <w:uiPriority w:val="99"/>
    <w:unhideWhenUsed/>
    <w:rsid w:val="00D95D3F"/>
    <w:rPr>
      <w:rFonts w:ascii="Noto Sans CJK SC" w:hAnsi="Noto Sans CJK SC" w:eastAsia="Noto Sans CJK SC" w:cs="Noto Sans CJK SC"/>
      <w:b w:val="0"/>
      <w:i w:val="0"/>
      <w:sz w:val="22"/>
      <w:u w:val="single"/>
    </w:rPr>
  </w:style>
  <w:style w:type="paragraph" w:styleId="FootnoteText">
    <w:name w:val="footnote text"/>
    <w:basedOn w:val="Normal"/>
    <w:link w:val="FootnoteTextChar"/>
    <w:uiPriority w:val="99"/>
    <w:rsid w:val="00171D52"/>
    <w:pPr>
      <w:spacing w:before="60" w:line="240" w:lineRule="auto"/>
    </w:pPr>
    <w:rPr>
      <w:rFonts w:ascii="Noto Sans CJK SC" w:hAnsi="Noto Sans CJK SC" w:eastAsia="Noto Sans CJK SC" w:cs="Noto Sans CJK SC"/>
      <w:sz w:val="13"/>
    </w:rPr>
  </w:style>
  <w:style w:type="character" w:customStyle="1" w:styleId="FootnoteTextChar">
    <w:name w:val="Footnote Text Char"/>
    <w:basedOn w:val="DefaultParagraphFont"/>
    <w:link w:val="FootnoteText"/>
    <w:uiPriority w:val="99"/>
    <w:rsid w:val="00716E6A"/>
    <w:rPr>
      <w:rFonts w:ascii="Noto Sans CJK SC" w:hAnsi="Noto Sans CJK SC" w:eastAsia="Noto Sans CJK SC" w:cs="Noto Sans CJK SC"/>
      <w:sz w:val="13"/>
      <w:lang w:val="en-CA"/>
    </w:rPr>
  </w:style>
  <w:style w:type="character" w:styleId="FootnoteReference">
    <w:name w:val="footnote reference"/>
    <w:basedOn w:val="DefaultParagraphFont"/>
    <w:uiPriority w:val="99"/>
    <w:semiHidden/>
    <w:unhideWhenUsed/>
    <w:rsid w:val="00915470"/>
    <w:rPr>
      <w:rFonts w:ascii="Noto Sans CJK SC" w:hAnsi="Noto Sans CJK SC" w:eastAsia="Noto Sans CJK SC" w:cs="Noto Sans CJK SC"/>
      <w:vertAlign w:val="superscript"/>
    </w:rPr>
  </w:style>
  <w:style w:type="paragraph" w:styleId="ListContinue2">
    <w:name w:val="List Continue 2"/>
    <w:basedOn w:val="BodyText"/>
    <w:uiPriority w:val="99"/>
    <w:unhideWhenUsed/>
    <w:rsid w:val="00F84E21"/>
    <w:pPr>
      <w:ind w:left="720"/>
      <w:contextualSpacing/>
    </w:pPr>
    <w:rPr>
      <w:rFonts w:ascii="Noto Sans CJK SC" w:hAnsi="Noto Sans CJK SC" w:eastAsia="Noto Sans CJK SC" w:cs="Noto Sans CJK SC"/>
    </w:rPr>
  </w:style>
  <w:style w:type="paragraph" w:styleId="ListContinue3">
    <w:name w:val="List Continue 3"/>
    <w:basedOn w:val="BodyText"/>
    <w:uiPriority w:val="99"/>
    <w:unhideWhenUsed/>
    <w:rsid w:val="003D4AF2"/>
    <w:pPr>
      <w:ind w:left="1080"/>
      <w:contextualSpacing/>
    </w:pPr>
    <w:rPr>
      <w:rFonts w:ascii="Noto Sans CJK SC" w:hAnsi="Noto Sans CJK SC" w:eastAsia="Noto Sans CJK SC" w:cs="Noto Sans CJK SC"/>
    </w:rPr>
  </w:style>
  <w:style w:type="character" w:customStyle="1" w:styleId="Heading6Char">
    <w:name w:val="Heading 6 Char"/>
    <w:basedOn w:val="DefaultParagraphFont"/>
    <w:link w:val="Heading6"/>
    <w:uiPriority w:val="9"/>
    <w:rsid w:val="00397F0D"/>
    <w:rPr>
      <w:rFonts w:cstheme="majorBidi" w:ascii="Noto Sans CJK SC" w:hAnsi="Noto Sans CJK SC" w:eastAsia="Noto Sans CJK SC" w:cs="Noto Sans CJK SC"/>
      <w:i/>
    </w:rPr>
  </w:style>
  <w:style w:type="character" w:customStyle="1" w:styleId="Heading9Char">
    <w:name w:val="Heading 9 Char"/>
    <w:basedOn w:val="DefaultParagraphFont"/>
    <w:link w:val="Heading9"/>
    <w:uiPriority w:val="9"/>
    <w:semiHidden/>
    <w:rsid w:val="008810FF"/>
    <w:rPr>
      <w:rFonts w:cstheme="majorBidi" w:ascii="Noto Sans CJK SC" w:hAnsi="Noto Sans CJK SC" w:eastAsia="Noto Sans CJK SC" w:cs="Noto Sans CJK SC"/>
      <w:i/>
      <w:iCs/>
      <w:sz w:val="21"/>
      <w:szCs w:val="21"/>
    </w:rPr>
  </w:style>
  <w:style w:type="paragraph" w:styleId="NoSpacing">
    <w:name w:val="No Spacing"/>
    <w:link w:val="NoSpacingChar"/>
    <w:uiPriority w:val="1"/>
    <w:unhideWhenUsed/>
    <w:qFormat/>
    <w:rsid w:val="00530DD2"/>
    <w:pPr>
      <w:spacing w:after="0" w:line="240" w:lineRule="auto"/>
    </w:pPr>
    <w:rPr>
      <w:rFonts w:ascii="Noto Sans CJK SC" w:hAnsi="Noto Sans CJK SC" w:eastAsia="Noto Sans CJK SC" w:cs="Noto Sans CJK SC"/>
    </w:rPr>
  </w:style>
  <w:style w:type="paragraph" w:customStyle="1" w:styleId="DocumentHead">
    <w:name w:val="Document Head"/>
    <w:basedOn w:val="Normal"/>
    <w:next w:val="DocumentSubhead"/>
    <w:uiPriority w:val="2"/>
    <w:rsid w:val="00503492"/>
    <w:pPr>
      <w:keepNext w:val="0"/>
      <w:widowControl/>
      <w:suppressAutoHyphens/>
      <w:spacing w:after="120" w:line="276" w:lineRule="auto" w:before="0"/>
    </w:pPr>
    <w:rPr>
      <w:rFonts w:ascii="Noto Sans CJK SC" w:hAnsi="Noto Sans CJK SC" w:eastAsia="Noto Sans CJK SC" w:cs="Noto Sans CJK SC"/>
      <w:b/>
      <w:i w:val="0"/>
      <w:kern w:val="56"/>
      <w:sz w:val="48"/>
    </w:rPr>
  </w:style>
  <w:style w:type="paragraph" w:customStyle="1" w:styleId="DocumentSubhead">
    <w:name w:val="Document Subhead"/>
    <w:basedOn w:val="Normal"/>
    <w:next w:val="DocumentDate"/>
    <w:uiPriority w:val="2"/>
    <w:rsid w:val="00404798"/>
    <w:pPr>
      <w:keepNext w:val="0"/>
      <w:widowControl/>
      <w:spacing w:before="0" w:line="276" w:lineRule="auto" w:after="120"/>
    </w:pPr>
    <w:rPr>
      <w:rFonts w:ascii="Noto Sans CJK SC" w:hAnsi="Noto Sans CJK SC" w:eastAsia="Noto Sans CJK SC" w:cs="Noto Sans CJK SC"/>
      <w:b w:val="0"/>
      <w:i w:val="0"/>
      <w:sz w:val="28"/>
    </w:rPr>
  </w:style>
  <w:style w:type="paragraph" w:customStyle="1" w:styleId="DocumentDate">
    <w:name w:val="Document Date"/>
    <w:basedOn w:val="Normal"/>
    <w:uiPriority w:val="2"/>
    <w:rsid w:val="0044091F"/>
    <w:pPr>
      <w:spacing w:before="360"/>
    </w:pPr>
    <w:rPr>
      <w:rFonts w:ascii="Noto Sans CJK SC" w:hAnsi="Noto Sans CJK SC" w:eastAsia="Noto Sans CJK SC" w:cs="Noto Sans CJK SC"/>
      <w:sz w:val="22"/>
    </w:rPr>
  </w:style>
  <w:style w:type="paragraph" w:styleId="ListParagraph">
    <w:name w:val="List Paragraph"/>
    <w:basedOn w:val="Normal"/>
    <w:uiPriority w:val="34"/>
    <w:qFormat/>
    <w:rsid w:val="003D5135"/>
    <w:pPr>
      <w:ind w:left="720"/>
      <w:contextualSpacing/>
    </w:pPr>
    <w:rPr>
      <w:rFonts w:ascii="Noto Sans CJK SC" w:hAnsi="Noto Sans CJK SC" w:eastAsia="Noto Sans CJK SC" w:cs="Noto Sans CJK SC"/>
    </w:rPr>
  </w:style>
  <w:style w:type="table" w:styleId="TableGrid">
    <w:name w:val="Table Grid"/>
    <w:basedOn w:val="TableNormal"/>
    <w:uiPriority w:val="59"/>
    <w:rsid w:val="006D568B"/>
    <w:pPr>
      <w:spacing w:after="0" w:line="240" w:lineRule="auto"/>
    </w:pPr>
    <w:tblPr>
      <w:tblStyleRowBandSize w:val="1"/>
      <w:tblCellSpacing w:w="14" w:type="dxa"/>
      <w:tblCellMar>
        <w:top w:w="28" w:type="dxa"/>
        <w:bottom w:w="2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CellSpacing w:w="14" w:type="dxa"/>
    </w:trPr>
    <w:tblStylePr w:type="firstRow">
      <w:rPr>
        <w:b/>
      </w:rPr>
    </w:tblStylePr>
    <w:rPr>
      <w:rFonts w:ascii="Noto Sans CJK SC" w:hAnsi="Noto Sans CJK SC" w:eastAsia="Noto Sans CJK SC" w:cs="Noto Sans CJK SC"/>
    </w:rPr>
  </w:style>
  <w:style w:type="table" w:customStyle="1" w:styleId="Table-Liste">
    <w:name w:val="Table - Liste"/>
    <w:basedOn w:val="TableNormal"/>
    <w:uiPriority w:val="49"/>
    <w:rsid w:val="006D568B"/>
    <w:pPr>
      <w:spacing w:after="0" w:line="240" w:lineRule="auto"/>
    </w:pPr>
    <w:tblPr>
      <w:tblStyleRowBandSize w:val="1"/>
      <w:tblStyleColBandSize w:val="1"/>
      <w:tblBorders>
        <w:insideH w:val="single" w:sz="2" w:space="0" w:color="auto"/>
        <w:insideV w:val="single" w:sz="2" w:space="0" w:color="auto"/>
      </w:tblBorders>
      <w:tblCellMar>
        <w:top w:w="60" w:type="dxa"/>
        <w:left w:w="120" w:type="dxa"/>
        <w:bottom w:w="60" w:type="dxa"/>
        <w:right w:w="120" w:type="dxa"/>
      </w:tblCellMar>
    </w:tblPr>
    <w:tcPr/>
    <w:tblStylePr w:type="firstRow">
      <w:rPr>
        <w:b/>
        <w:bCs/>
      </w:rPr>
      <w:tblPr/>
      <w:tcPr>
        <w:tcBorders>
          <w:top w:val="single" w:sz="4" w:space="0" w:color="auto"/>
          <w:left w:val="single" w:sz="4" w:space="0" w:color="auto"/>
          <w:bottom w:val="single" w:sz="4" w:space="0" w:color="auto"/>
          <w:right w:val="single" w:sz="4" w:space="0" w:color="auto"/>
          <w:insideH w:val="nil" w:color="auto"/>
        </w:tcBorders>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tblStylePr>
    <w:tblStylePr w:type="band1Horz">
      <w:tblPr/>
      <w:tcPr/>
    </w:tblStylePr>
    <w:rPr>
      <w:rFonts w:ascii="Noto Sans CJK SC" w:hAnsi="Noto Sans CJK SC" w:eastAsia="Noto Sans CJK SC" w:cs="Noto Sans CJK SC"/>
    </w:rPr>
  </w:style>
  <w:style w:type="paragraph" w:customStyle="1" w:styleId="Charttitle">
    <w:name w:val="Chart title"/>
    <w:basedOn w:val="Heading2"/>
    <w:next w:val="Chartposition"/>
    <w:uiPriority w:val="20"/>
    <w:rsid w:val="007C5F25"/>
    <w:pPr>
      <w:outlineLvl w:val="9"/>
    </w:pPr>
    <w:rPr>
      <w:rFonts w:ascii="Noto Sans CJK SC" w:hAnsi="Noto Sans CJK SC" w:eastAsia="Noto Sans CJK SC" w:cs="Noto Sans CJK SC"/>
      <w:b w:val="0"/>
      <w:sz w:val="26"/>
    </w:rPr>
  </w:style>
  <w:style w:type="table" w:customStyle="1" w:styleId="Table-Simple">
    <w:name w:val="Table - Simple"/>
    <w:basedOn w:val="TableNormal"/>
    <w:uiPriority w:val="99"/>
    <w:rsid w:val="002E7A5E"/>
    <w:pPr>
      <w:spacing w:after="0" w:line="240" w:lineRule="auto"/>
      <w:jc w:val="center"/>
    </w:pPr>
    <w:tblPr>
      <w:tblBorders>
        <w:top w:val="single" w:sz="4" w:space="0" w:color="auto"/>
        <w:bottom w:val="single" w:sz="4" w:space="0" w:color="auto"/>
        <w:insideH w:val="single" w:sz="4" w:space="0" w:color="auto"/>
      </w:tblBorders>
      <w:tblCellMar>
        <w:top w:w="60" w:type="dxa"/>
        <w:left w:w="120" w:type="dxa"/>
        <w:bottom w:w="60" w:type="dxa"/>
        <w:right w:w="120" w:type="dxa"/>
      </w:tblCellMar>
    </w:tblPr>
    <w:trPr>
      <w:cantSplit/>
    </w:trPr>
    <w:tcPr>
      <w:vAlign w:val="bottom"/>
    </w:tcPr>
    <w:tblStylePr w:type="firstRow">
      <w:pPr>
        <w:keepNext/>
        <w:keepLines/>
        <w:wordWrap/>
      </w:pPr>
      <w:rPr/>
      <w:tblPr/>
      <w:tcPr>
        <w:tcBorders>
          <w:top w:val="nil" w:color="auto"/>
          <w:left w:val="nil" w:color="auto"/>
          <w:bottom w:val="nil" w:color="auto"/>
          <w:right w:val="nil" w:color="auto"/>
          <w:insideH w:val="nil" w:color="auto"/>
          <w:insideV w:val="nil" w:color="auto"/>
          <w:tl2br w:val="nil" w:color="auto"/>
          <w:tr2bl w:val="nil" w:color="auto"/>
        </w:tcBorders>
      </w:tcPr>
    </w:tblStylePr>
    <w:tblStylePr w:type="lastRow">
      <w:rPr>
        <w:b/>
        <w:i w:val="0"/>
      </w:rPr>
      <w:tblPr/>
      <w:tcPr>
        <w:tcBorders>
          <w:top w:val="single" w:sz="18" w:space="0" w:color="auto"/>
          <w:left w:val="nil" w:color="auto"/>
          <w:bottom w:val="single" w:sz="18" w:space="0" w:color="auto"/>
          <w:right w:val="nil" w:color="auto"/>
          <w:insideH w:val="nil" w:color="auto"/>
          <w:insideV w:val="nil" w:color="auto"/>
          <w:tl2br w:val="nil" w:color="auto"/>
          <w:tr2bl w:val="nil" w:color="auto"/>
        </w:tcBorders>
      </w:tcPr>
    </w:tblStylePr>
    <w:tblStylePr w:type="firstCol">
      <w:pPr>
        <w:wordWrap/>
        <w:jc w:val="left"/>
      </w:pPr>
    </w:tblStylePr>
    <w:rPr>
      <w:rFonts w:ascii="Noto Sans CJK SC" w:hAnsi="Noto Sans CJK SC" w:eastAsia="Noto Sans CJK SC" w:cs="Noto Sans CJK SC"/>
    </w:rPr>
  </w:style>
  <w:style w:type="paragraph" w:styleId="TOC4">
    <w:name w:val="toc 4"/>
    <w:basedOn w:val="Normal"/>
    <w:next w:val="BodyText"/>
    <w:autoRedefine/>
    <w:uiPriority w:val="39"/>
    <w:unhideWhenUsed/>
    <w:rsid w:val="00565912"/>
    <w:pPr>
      <w:tabs>
        <w:tab w:val="right" w:leader="dot" w:pos="10790"/>
      </w:tabs>
      <w:spacing w:after="60"/>
      <w:ind w:left="720"/>
    </w:pPr>
    <w:rPr>
      <w:rFonts w:ascii="Noto Sans CJK SC" w:hAnsi="Noto Sans CJK SC" w:eastAsia="Noto Sans CJK SC" w:cs="Noto Sans CJK SC"/>
    </w:rPr>
  </w:style>
  <w:style w:type="paragraph" w:styleId="TOC5">
    <w:name w:val="toc 5"/>
    <w:basedOn w:val="Normal"/>
    <w:next w:val="BodyText"/>
    <w:autoRedefine/>
    <w:uiPriority w:val="39"/>
    <w:unhideWhenUsed/>
    <w:rsid w:val="00565912"/>
    <w:pPr>
      <w:spacing w:after="60"/>
      <w:ind w:left="720"/>
    </w:pPr>
    <w:rPr>
      <w:rFonts w:ascii="Noto Sans CJK SC" w:hAnsi="Noto Sans CJK SC" w:eastAsia="Noto Sans CJK SC" w:cs="Noto Sans CJK SC"/>
    </w:rPr>
  </w:style>
  <w:style w:type="paragraph" w:customStyle="1" w:styleId="Cover">
    <w:name w:val="Cover"/>
    <w:basedOn w:val="Normal"/>
    <w:uiPriority w:val="3"/>
    <w:qFormat/>
    <w:rsid w:val="00F62592"/>
    <w:pPr>
      <w:spacing w:line="180" w:lineRule="auto"/>
    </w:pPr>
    <w:rPr>
      <w:rFonts w:cs="Noto Sans CJK SC" w:ascii="Noto Sans CJK SC" w:hAnsi="Noto Sans CJK SC" w:eastAsia="Noto Sans CJK SC"/>
      <w:b/>
      <w:spacing w:val="-50"/>
      <w:kern w:val="72"/>
      <w:sz w:val="96"/>
    </w:rPr>
  </w:style>
  <w:style w:type="paragraph" w:customStyle="1" w:styleId="SectionHead">
    <w:name w:val="Section Head"/>
    <w:basedOn w:val="Normal"/>
    <w:uiPriority w:val="3"/>
    <w:qFormat/>
    <w:rsid w:val="00A45A71"/>
    <w:pPr>
      <w:spacing w:after="180" w:line="240" w:lineRule="auto"/>
    </w:pPr>
    <w:rPr>
      <w:rFonts w:ascii="Noto Sans CJK SC" w:hAnsi="Noto Sans CJK SC" w:eastAsia="Noto Sans CJK SC" w:cs="Noto Sans CJK SC"/>
      <w:b/>
      <w:sz w:val="54"/>
    </w:rPr>
  </w:style>
  <w:style w:type="character" w:customStyle="1" w:styleId="Whitetypo">
    <w:name w:val="White typo"/>
    <w:basedOn w:val="DefaultParagraphFont"/>
    <w:uiPriority w:val="3"/>
    <w:qFormat/>
    <w:rsid w:val="009F7E00"/>
    <w:rPr>
      <w:rFonts w:ascii="Noto Sans CJK SC" w:hAnsi="Noto Sans CJK SC" w:eastAsia="Noto Sans CJK SC" w:cs="Noto Sans CJK SC"/>
    </w:rPr>
  </w:style>
  <w:style w:type="paragraph" w:customStyle="1" w:styleId="Introduction">
    <w:name w:val="Introduction"/>
    <w:basedOn w:val="BodyText"/>
    <w:next w:val="BodyText"/>
    <w:uiPriority w:val="4"/>
    <w:qFormat/>
    <w:rsid w:val="005D795E"/>
    <w:rPr>
      <w:rFonts w:ascii="Noto Sans CJK SC" w:hAnsi="Noto Sans CJK SC" w:eastAsia="Noto Sans CJK SC" w:cs="Noto Sans CJK SC"/>
      <w:b/>
      <w:sz w:val="24"/>
    </w:rPr>
  </w:style>
  <w:style w:type="paragraph" w:customStyle="1" w:styleId="Chartposition">
    <w:name w:val="Chart position"/>
    <w:basedOn w:val="BodyText"/>
    <w:next w:val="BodyText2"/>
    <w:uiPriority w:val="21"/>
    <w:qFormat/>
    <w:rsid w:val="002D396E"/>
    <w:pPr>
      <w:keepNext/>
      <w:keepLines/>
      <w:pBdr>
        <w:bottom w:val="single" w:sz="8" w:space="1" w:color="auto"/>
      </w:pBdr>
      <w:jc w:val="center"/>
    </w:pPr>
    <w:rPr>
      <w:rFonts w:ascii="Noto Sans CJK SC" w:hAnsi="Noto Sans CJK SC" w:eastAsia="Noto Sans CJK SC" w:cs="Noto Sans CJK SC"/>
    </w:rPr>
  </w:style>
  <w:style w:type="paragraph" w:customStyle="1" w:styleId="Tabletitle">
    <w:name w:val="Table title"/>
    <w:basedOn w:val="Charttitle"/>
    <w:next w:val="BodyText"/>
    <w:uiPriority w:val="20"/>
    <w:qFormat/>
    <w:rsid w:val="005030F9"/>
    <w:pPr>
      <w:keepNext w:val="0"/>
      <w:widowControl/>
      <w:spacing w:lineRule="auto" w:line="276" w:after="120" w:before="0"/>
    </w:pPr>
    <w:rPr>
      <w:rFonts w:ascii="Noto Sans CJK SC" w:hAnsi="Noto Sans CJK SC" w:eastAsia="Noto Sans CJK SC" w:cs="Noto Sans CJK SC"/>
      <w:b w:val="0"/>
      <w:i w:val="0"/>
      <w:sz w:val="20"/>
    </w:rPr>
  </w:style>
  <w:style w:type="paragraph" w:customStyle="1" w:styleId="BDCsocialparagraph">
    <w:name w:val="BDC social paragraph"/>
    <w:basedOn w:val="Normal"/>
    <w:uiPriority w:val="40"/>
    <w:rsid w:val="0095523C"/>
    <w:pPr>
      <w:spacing w:after="60"/>
    </w:pPr>
    <w:rPr>
      <w:rFonts w:ascii="Noto Sans CJK SC" w:hAnsi="Noto Sans CJK SC" w:eastAsia="Noto Sans CJK SC" w:cs="Noto Sans CJK SC"/>
      <w:b/>
    </w:rPr>
  </w:style>
  <w:style w:type="paragraph" w:customStyle="1" w:styleId="BDCwebsite">
    <w:name w:val="BDC web site"/>
    <w:basedOn w:val="BodyText"/>
    <w:next w:val="BDCinfo"/>
    <w:uiPriority w:val="40"/>
    <w:rsid w:val="000B6521"/>
    <w:pPr>
      <w:spacing w:before="480" w:after="0" w:line="240" w:lineRule="auto"/>
    </w:pPr>
    <w:rPr>
      <w:rFonts w:ascii="Noto Sans CJK SC" w:hAnsi="Noto Sans CJK SC" w:eastAsia="Noto Sans CJK SC" w:cs="Noto Sans CJK SC"/>
      <w:b/>
      <w:sz w:val="32"/>
      <w:szCs w:val="32"/>
    </w:rPr>
  </w:style>
  <w:style w:type="paragraph" w:customStyle="1" w:styleId="BDCinfo">
    <w:name w:val="BDC info"/>
    <w:basedOn w:val="BodyText"/>
    <w:next w:val="BodyText"/>
    <w:uiPriority w:val="40"/>
    <w:rsid w:val="000B6521"/>
    <w:pPr>
      <w:spacing w:line="240" w:lineRule="auto"/>
    </w:pPr>
    <w:rPr>
      <w:rFonts w:ascii="Noto Sans CJK SC" w:hAnsi="Noto Sans CJK SC" w:eastAsia="Noto Sans CJK SC" w:cs="Noto Sans CJK SC"/>
      <w:b/>
      <w:sz w:val="26"/>
      <w:szCs w:val="26"/>
    </w:rPr>
  </w:style>
  <w:style w:type="paragraph" w:styleId="BalloonText">
    <w:name w:val="Balloon Text"/>
    <w:basedOn w:val="Normal"/>
    <w:link w:val="BalloonTextChar"/>
    <w:uiPriority w:val="99"/>
    <w:semiHidden/>
    <w:unhideWhenUsed/>
    <w:rsid w:val="004B2235"/>
    <w:pPr>
      <w:spacing w:after="0" w:line="240" w:lineRule="auto"/>
    </w:pPr>
    <w:rPr>
      <w:rFonts w:ascii="Noto Sans CJK SC" w:hAnsi="Noto Sans CJK SC" w:cs="Noto Sans CJK SC" w:eastAsia="Noto Sans CJK SC"/>
      <w:sz w:val="16"/>
      <w:szCs w:val="16"/>
    </w:rPr>
  </w:style>
  <w:style w:type="character" w:customStyle="1" w:styleId="BalloonTextChar">
    <w:name w:val="Balloon Text Char"/>
    <w:basedOn w:val="DefaultParagraphFont"/>
    <w:link w:val="BalloonText"/>
    <w:uiPriority w:val="99"/>
    <w:semiHidden/>
    <w:rsid w:val="004B2235"/>
    <w:rPr>
      <w:rFonts w:ascii="Noto Sans CJK SC" w:hAnsi="Noto Sans CJK SC" w:cs="Noto Sans CJK SC" w:eastAsia="Noto Sans CJK SC"/>
      <w:sz w:val="16"/>
      <w:szCs w:val="16"/>
      <w:lang w:val="en-CA"/>
    </w:rPr>
  </w:style>
  <w:style w:type="character" w:customStyle="1" w:styleId="BDCsocialtextup">
    <w:name w:val="BDC social text up"/>
    <w:basedOn w:val="DefaultParagraphFont"/>
    <w:uiPriority w:val="40"/>
    <w:rsid w:val="0095523C"/>
    <w:rPr>
      <w:rFonts w:ascii="Noto Sans CJK SC" w:hAnsi="Noto Sans CJK SC" w:eastAsia="Noto Sans CJK SC" w:cs="Noto Sans CJK SC"/>
      <w:position w:val="12"/>
    </w:rPr>
  </w:style>
  <w:style w:type="character" w:styleId="UnresolvedMention">
    <w:name w:val="Unresolved Mention"/>
    <w:basedOn w:val="DefaultParagraphFont"/>
    <w:uiPriority w:val="99"/>
    <w:semiHidden/>
    <w:unhideWhenUsed/>
    <w:rsid w:val="00B74DBA"/>
    <w:rPr>
      <w:rFonts w:ascii="Noto Sans CJK SC" w:hAnsi="Noto Sans CJK SC" w:eastAsia="Noto Sans CJK SC" w:cs="Noto Sans CJK SC"/>
    </w:rPr>
  </w:style>
  <w:style w:type="character" w:styleId="FollowedHyperlink">
    <w:name w:val="FollowedHyperlink"/>
    <w:basedOn w:val="DefaultParagraphFont"/>
    <w:uiPriority w:val="99"/>
    <w:semiHidden/>
    <w:unhideWhenUsed/>
    <w:rsid w:val="008C21CA"/>
    <w:rPr>
      <w:rFonts w:ascii="Noto Sans CJK SC" w:hAnsi="Noto Sans CJK SC" w:eastAsia="Noto Sans CJK SC" w:cs="Noto Sans CJK SC"/>
      <w:u w:val="single"/>
    </w:rPr>
  </w:style>
  <w:style w:type="character" w:customStyle="1" w:styleId="NoSpacingChar">
    <w:name w:val="No Spacing Char"/>
    <w:basedOn w:val="DefaultParagraphFont"/>
    <w:link w:val="NoSpacing"/>
    <w:uiPriority w:val="1"/>
    <w:rsid w:val="00684B13"/>
    <w:rPr>
      <w:rFonts w:ascii="Noto Sans CJK SC" w:hAnsi="Noto Sans CJK SC" w:eastAsia="Noto Sans CJK SC" w:cs="Noto Sans CJK SC"/>
    </w:rPr>
  </w:style>
  <w:style w:type="paragraph" w:customStyle="1" w:styleId="Corpsdetexte-Notes">
    <w:name w:val="Corps de texte - Notes"/>
    <w:basedOn w:val="BodyText"/>
    <w:link w:val="Corpsdetexte-NotesCar"/>
    <w:autoRedefine/>
    <w:qFormat/>
    <w:rsid w:val="007C75EE"/>
    <w:rPr>
      <w:rFonts w:cs="Noto Sans CJK SC" w:ascii="Noto Sans CJK SC" w:hAnsi="Noto Sans CJK SC" w:eastAsia="Noto Sans CJK SC"/>
      <w:bCs/>
      <w:lang w:val="en-US"/>
    </w:rPr>
  </w:style>
  <w:style w:type="paragraph" w:customStyle="1" w:styleId="Listepuces-Notes">
    <w:name w:val="Liste à puces - Notes"/>
    <w:basedOn w:val="ListBullet4"/>
    <w:next w:val="BodyText"/>
    <w:autoRedefine/>
    <w:qFormat/>
    <w:rsid w:val="007C75EE"/>
    <w:rPr>
      <w:rFonts w:cs="Noto Sans CJK SC" w:ascii="Noto Sans CJK SC" w:hAnsi="Noto Sans CJK SC" w:eastAsia="Noto Sans CJK SC"/>
      <w:lang w:val="en-US"/>
    </w:rPr>
  </w:style>
  <w:style w:type="character" w:customStyle="1" w:styleId="Corpsdetexte-NotesCar">
    <w:name w:val="Corps de texte - Notes Car"/>
    <w:basedOn w:val="BodyTextChar"/>
    <w:link w:val="Corpsdetexte-Notes"/>
    <w:rsid w:val="007C75EE"/>
    <w:rPr>
      <w:rFonts w:cs="Noto Sans CJK SC" w:ascii="Noto Sans CJK SC" w:hAnsi="Noto Sans CJK SC" w:eastAsia="Noto Sans CJK SC"/>
      <w:bCs/>
      <w:lang w:val="en-US"/>
    </w:rPr>
  </w:style>
  <w:style w:type="character" w:styleId="CommentReference">
    <w:name w:val="annotation reference"/>
    <w:basedOn w:val="DefaultParagraphFont"/>
    <w:uiPriority w:val="99"/>
    <w:semiHidden/>
    <w:unhideWhenUsed/>
    <w:rsid w:val="00E332D8"/>
    <w:rPr>
      <w:rFonts w:ascii="Noto Sans CJK SC" w:hAnsi="Noto Sans CJK SC" w:eastAsia="Noto Sans CJK SC" w:cs="Noto Sans CJK SC"/>
      <w:sz w:val="16"/>
      <w:szCs w:val="16"/>
    </w:rPr>
  </w:style>
  <w:style w:type="paragraph" w:styleId="CommentText">
    <w:name w:val="annotation text"/>
    <w:basedOn w:val="Normal"/>
    <w:link w:val="CommentTextChar"/>
    <w:uiPriority w:val="99"/>
    <w:semiHidden/>
    <w:unhideWhenUsed/>
    <w:rsid w:val="00E332D8"/>
    <w:pPr>
      <w:spacing w:line="240" w:lineRule="auto"/>
    </w:pPr>
    <w:rPr>
      <w:rFonts w:ascii="Noto Sans CJK SC" w:hAnsi="Noto Sans CJK SC" w:eastAsia="Noto Sans CJK SC" w:cs="Noto Sans CJK SC"/>
    </w:rPr>
  </w:style>
  <w:style w:type="character" w:customStyle="1" w:styleId="CommentTextChar">
    <w:name w:val="Comment Text Char"/>
    <w:basedOn w:val="DefaultParagraphFont"/>
    <w:link w:val="CommentText"/>
    <w:uiPriority w:val="99"/>
    <w:semiHidden/>
    <w:rsid w:val="00E332D8"/>
    <w:rPr>
      <w:rFonts w:ascii="Noto Sans CJK SC" w:hAnsi="Noto Sans CJK SC" w:eastAsia="Noto Sans CJK SC" w:cs="Noto Sans CJK SC"/>
    </w:rPr>
  </w:style>
  <w:style w:type="paragraph" w:styleId="CommentSubject">
    <w:name w:val="annotation subject"/>
    <w:basedOn w:val="CommentText"/>
    <w:next w:val="CommentText"/>
    <w:link w:val="CommentSubjectChar"/>
    <w:uiPriority w:val="99"/>
    <w:semiHidden/>
    <w:unhideWhenUsed/>
    <w:rsid w:val="00E332D8"/>
    <w:rPr>
      <w:rFonts w:ascii="Noto Sans CJK SC" w:hAnsi="Noto Sans CJK SC" w:eastAsia="Noto Sans CJK SC" w:cs="Noto Sans CJK SC"/>
      <w:b/>
      <w:bCs/>
    </w:rPr>
  </w:style>
  <w:style w:type="character" w:customStyle="1" w:styleId="CommentSubjectChar">
    <w:name w:val="Comment Subject Char"/>
    <w:basedOn w:val="CommentTextChar"/>
    <w:link w:val="CommentSubject"/>
    <w:uiPriority w:val="99"/>
    <w:semiHidden/>
    <w:rsid w:val="00E332D8"/>
    <w:rPr>
      <w:rFonts w:ascii="Noto Sans CJK SC" w:hAnsi="Noto Sans CJK SC" w:eastAsia="Noto Sans CJK SC" w:cs="Noto Sans CJK SC"/>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024">
      <w:bodyDiv w:val="1"/>
      <w:marLeft w:val="0"/>
      <w:marRight w:val="0"/>
      <w:marTop w:val="0"/>
      <w:marBottom w:val="0"/>
      <w:divBdr>
        <w:top w:val="none" w:sz="0" w:space="0" w:color="auto"/>
        <w:left w:val="none" w:sz="0" w:space="0" w:color="auto"/>
        <w:bottom w:val="none" w:sz="0" w:space="0" w:color="auto"/>
        <w:right w:val="none" w:sz="0" w:space="0" w:color="auto"/>
      </w:divBdr>
    </w:div>
    <w:div w:id="236018666">
      <w:bodyDiv w:val="1"/>
      <w:marLeft w:val="0"/>
      <w:marRight w:val="0"/>
      <w:marTop w:val="0"/>
      <w:marBottom w:val="0"/>
      <w:divBdr>
        <w:top w:val="none" w:sz="0" w:space="0" w:color="auto"/>
        <w:left w:val="none" w:sz="0" w:space="0" w:color="auto"/>
        <w:bottom w:val="none" w:sz="0" w:space="0" w:color="auto"/>
        <w:right w:val="none" w:sz="0" w:space="0" w:color="auto"/>
      </w:divBdr>
    </w:div>
    <w:div w:id="1282611727">
      <w:bodyDiv w:val="1"/>
      <w:marLeft w:val="0"/>
      <w:marRight w:val="0"/>
      <w:marTop w:val="0"/>
      <w:marBottom w:val="0"/>
      <w:divBdr>
        <w:top w:val="none" w:sz="0" w:space="0" w:color="auto"/>
        <w:left w:val="none" w:sz="0" w:space="0" w:color="auto"/>
        <w:bottom w:val="none" w:sz="0" w:space="0" w:color="auto"/>
        <w:right w:val="none" w:sz="0" w:space="0" w:color="auto"/>
      </w:divBdr>
    </w:div>
    <w:div w:id="1527475674">
      <w:bodyDiv w:val="1"/>
      <w:marLeft w:val="0"/>
      <w:marRight w:val="0"/>
      <w:marTop w:val="0"/>
      <w:marBottom w:val="0"/>
      <w:divBdr>
        <w:top w:val="none" w:sz="0" w:space="0" w:color="auto"/>
        <w:left w:val="none" w:sz="0" w:space="0" w:color="auto"/>
        <w:bottom w:val="none" w:sz="0" w:space="0" w:color="auto"/>
        <w:right w:val="none" w:sz="0" w:space="0" w:color="auto"/>
      </w:divBdr>
    </w:div>
    <w:div w:id="169214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footer" Target="footer1.xml"/><Relationship Id="rId7" Type="http://schemas.openxmlformats.org/officeDocument/2006/relationships/settings" Target="settings.xml"/><Relationship Id="rId17" Type="http://schemas.openxmlformats.org/officeDocument/2006/relationships/header" Target="header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ntTable" Target="fontTable.xml"/><Relationship Id="rId9" Type="http://schemas.openxmlformats.org/officeDocument/2006/relationships/footnotes" Target="footnotes.xml"/><Relationship Id="rId21" Type="http://schemas.openxmlformats.org/officeDocument/2006/relationships/header" Target="header2.xml"/><Relationship Id="rId2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Template>Normal</Template>
  <TotalTime>0</TotalTime>
  <Pages>18</Pages>
  <Words>3070</Words>
  <Characters>17503</Characters>
  <Application>Microsoft Office Word</Application>
  <DocSecurity>0</DocSecurity>
  <Lines>145</Lines>
  <Paragraphs>41</Paragraphs>
  <ScaleCrop>false</ScaleCrop>
  <Company/>
  <LinksUpToDate>false</LinksUpToDate>
  <CharactersWithSpaces>20532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Blocky Studio 商业计划书</dc:title>
  <dc:subject/>
  <dc:creator>TB快重置就队</dc:creator>
  <cp:keywords/>
  <dc:description/>
  <cp:lastModifiedBy>TB快重置就队</cp:lastModifiedBy>
  <cp:revision>1</cp:revision>
  <dcterms:created xsi:type="dcterms:W3CDTF">2026-10-02T18:51:13Z</dcterms:created>
  <dcterms:modified xsi:type="dcterms:W3CDTF">2026-10-02T18:51:13Z</dcterms:modified>
</cp:coreProperties>
</file>