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DocumentHead"/>
      </w:pPr>
      <w:r>
        <w:t>商业计划书</w:t>
      </w:r>
    </w:p>
    <w:p>
      <w:pPr>
        <w:pStyle w:val="DocumentSubhead"/>
      </w:pPr>
      <w:r>
        <w:t>Blocky Studio</w:t>
      </w:r>
    </w:p>
    <w:p>
      <w:pPr>
        <w:pStyle w:val="DocumentSubhead"/>
      </w:pPr>
      <w:r>
        <w:t>Business plan</w:t>
      </w:r>
    </w:p>
    <w:p>
      <w:pPr>
        <w:pStyle w:val="DocumentSubhead"/>
      </w:pPr>
      <w:r>
        <w:t>面向小学的积木式Agent创作教育与机构服务规划</w:t>
      </w:r>
    </w:p>
    <w:p>
      <w:pPr>
        <w:pStyle w:val="BodyText"/>
      </w:pPr>
      <w:r>
        <w:t>Prepared for: 息壤杯高校赛区复赛评委</w:t>
      </w:r>
    </w:p>
    <w:p>
      <w:pPr>
        <w:pStyle w:val="BodyText"/>
      </w:pPr>
      <w:r>
        <w:t>Document reference: BLOCKY-BP-20261003</w:t>
      </w:r>
    </w:p>
    <w:p>
      <w:pPr>
        <w:pStyle w:val="BodyText"/>
      </w:pPr>
      <w:r>
        <w:t>Version: 3.0</w:t>
      </w:r>
    </w:p>
    <w:p>
      <w:pPr>
        <w:pStyle w:val="BodyText"/>
      </w:pPr>
      <w:r>
        <w:t>Date produced: 2026-10-03</w:t>
      </w:r>
    </w:p>
    <w:p>
      <w:pPr>
        <w:pStyle w:val="BodyText"/>
      </w:pPr>
      <w:r>
        <w:t>Prepared by: TB快重置就队</w:t>
      </w:r>
    </w:p>
    <w:p>
      <w:pPr>
        <w:pStyle w:val="BodyText"/>
      </w:pPr>
      <w:r>
        <w:t>Confidential | 参赛交流资料</w:t>
      </w:r>
    </w:p>
    <w:p>
      <w:pPr>
        <w:sectPr>
          <w:headerReference w:type="default" r:id="rId17"/>
          <w:footerReference w:type="default" r:id="rId18"/>
          <w:pgSz w:w="11906" w:h="16838" w:code="119"/>
          <w:pgMar w:top="1440" w:right="1440" w:bottom="1440" w:left="1440" w:header="720" w:footer="720" w:gutter="0"/>
          <w:cols w:space="708"/>
          <w:docGrid w:linePitch="360"/>
          <w:vAlign w:val="center"/>
        </w:sectPr>
      </w:pPr>
    </w:p>
    <w:p>
      <w:pPr>
        <w:pStyle w:val="TOCHeading"/>
      </w:pPr>
      <w:r>
        <w:t>Table of contents</w:t>
      </w:r>
    </w:p>
    <w:p>
      <w:pPr>
        <w:pStyle w:val="TOC1"/>
      </w:pPr>
      <w:r>
        <w:fldChar w:fldCharType="begin"/>
      </w:r>
      <w:r>
        <w:instrText> TOC \o "1-3" \h \z \u </w:instrText>
      </w:r>
      <w:r>
        <w:fldChar w:fldCharType="separate"/>
      </w:r>
      <w:r>
        <w:t>﻿0. 执行摘要</w:t>
      </w:r>
      <w:r>
        <w:tab/>
      </w:r>
      <w:r>
        <w:fldChar w:fldCharType="begin"/>
      </w:r>
      <w:r>
        <w:instrText> PAGEREF _TocBlocky0 \h </w:instrText>
      </w:r>
      <w:r>
        <w:fldChar w:fldCharType="separate"/>
      </w:r>
      <w:r>
        <w:t>3</w:t>
      </w:r>
      <w:r>
        <w:fldChar w:fldCharType="end"/>
      </w:r>
    </w:p>
    <w:p>
      <w:pPr>
        <w:pStyle w:val="TOC1"/>
      </w:pPr>
      <w:r>
        <w:t>﻿1. 企业与产品概况</w:t>
      </w:r>
      <w:r>
        <w:tab/>
      </w:r>
      <w:r>
        <w:fldChar w:fldCharType="begin"/>
      </w:r>
      <w:r>
        <w:instrText> PAGEREF _TocBlocky1 \h </w:instrText>
      </w:r>
      <w:r>
        <w:fldChar w:fldCharType="separate"/>
      </w:r>
      <w:r>
        <w:t>4</w:t>
      </w:r>
      <w:r>
        <w:fldChar w:fldCharType="end"/>
      </w:r>
    </w:p>
    <w:p>
      <w:pPr>
        <w:pStyle w:val="TOC2"/>
      </w:pPr>
      <w:r>
        <w:t>﻿1.1 产品与教学价值</w:t>
      </w:r>
      <w:r>
        <w:tab/>
      </w:r>
      <w:r>
        <w:fldChar w:fldCharType="begin"/>
      </w:r>
      <w:r>
        <w:instrText> PAGEREF _TocBlocky2 \h </w:instrText>
      </w:r>
      <w:r>
        <w:fldChar w:fldCharType="separate"/>
      </w:r>
      <w:r>
        <w:t>4</w:t>
      </w:r>
      <w:r>
        <w:fldChar w:fldCharType="end"/>
      </w:r>
    </w:p>
    <w:p>
      <w:pPr>
        <w:pStyle w:val="TOC2"/>
      </w:pPr>
      <w:r>
        <w:t>﻿1.2 目标市场与需求判断</w:t>
      </w:r>
      <w:r>
        <w:tab/>
      </w:r>
      <w:r>
        <w:fldChar w:fldCharType="begin"/>
      </w:r>
      <w:r>
        <w:instrText> PAGEREF _TocBlocky3 \h </w:instrText>
      </w:r>
      <w:r>
        <w:fldChar w:fldCharType="separate"/>
      </w:r>
      <w:r>
        <w:t>5</w:t>
      </w:r>
      <w:r>
        <w:fldChar w:fldCharType="end"/>
      </w:r>
    </w:p>
    <w:p>
      <w:pPr>
        <w:pStyle w:val="TOC2"/>
      </w:pPr>
      <w:r>
        <w:t>﻿1.3 竞争与产品定位</w:t>
      </w:r>
      <w:r>
        <w:tab/>
      </w:r>
      <w:r>
        <w:fldChar w:fldCharType="begin"/>
      </w:r>
      <w:r>
        <w:instrText> PAGEREF _TocBlocky4 \h </w:instrText>
      </w:r>
      <w:r>
        <w:fldChar w:fldCharType="separate"/>
      </w:r>
      <w:r>
        <w:t>6</w:t>
      </w:r>
      <w:r>
        <w:fldChar w:fldCharType="end"/>
      </w:r>
    </w:p>
    <w:p>
      <w:pPr>
        <w:pStyle w:val="TOC1"/>
      </w:pPr>
      <w:r>
        <w:t>﻿2. 销售与客户服务</w:t>
      </w:r>
      <w:r>
        <w:tab/>
      </w:r>
      <w:r>
        <w:fldChar w:fldCharType="begin"/>
      </w:r>
      <w:r>
        <w:instrText> PAGEREF _TocBlocky5 \h </w:instrText>
      </w:r>
      <w:r>
        <w:fldChar w:fldCharType="separate"/>
      </w:r>
      <w:r>
        <w:t>7</w:t>
      </w:r>
      <w:r>
        <w:fldChar w:fldCharType="end"/>
      </w:r>
    </w:p>
    <w:p>
      <w:pPr>
        <w:pStyle w:val="TOC2"/>
      </w:pPr>
      <w:r>
        <w:t>﻿2.1 客户角色与购买条件</w:t>
      </w:r>
      <w:r>
        <w:tab/>
      </w:r>
      <w:r>
        <w:fldChar w:fldCharType="begin"/>
      </w:r>
      <w:r>
        <w:instrText> PAGEREF _TocBlocky6 \h </w:instrText>
      </w:r>
      <w:r>
        <w:fldChar w:fldCharType="separate"/>
      </w:r>
      <w:r>
        <w:t>8</w:t>
      </w:r>
      <w:r>
        <w:fldChar w:fldCharType="end"/>
      </w:r>
    </w:p>
    <w:p>
      <w:pPr>
        <w:pStyle w:val="TOC2"/>
      </w:pPr>
      <w:r>
        <w:t>﻿2.2 试点教育服务与报价</w:t>
      </w:r>
      <w:r>
        <w:tab/>
      </w:r>
      <w:r>
        <w:fldChar w:fldCharType="begin"/>
      </w:r>
      <w:r>
        <w:instrText> PAGEREF _TocBlocky7 \h </w:instrText>
      </w:r>
      <w:r>
        <w:fldChar w:fldCharType="separate"/>
      </w:r>
      <w:r>
        <w:t>8</w:t>
      </w:r>
      <w:r>
        <w:fldChar w:fldCharType="end"/>
      </w:r>
    </w:p>
    <w:p>
      <w:pPr>
        <w:pStyle w:val="TOC2"/>
      </w:pPr>
      <w:r>
        <w:t>﻿2.3 机构组织后台建设</w:t>
      </w:r>
      <w:r>
        <w:tab/>
      </w:r>
      <w:r>
        <w:fldChar w:fldCharType="begin"/>
      </w:r>
      <w:r>
        <w:instrText> PAGEREF _TocBlocky8 \h </w:instrText>
      </w:r>
      <w:r>
        <w:fldChar w:fldCharType="separate"/>
      </w:r>
      <w:r>
        <w:t>9</w:t>
      </w:r>
      <w:r>
        <w:fldChar w:fldCharType="end"/>
      </w:r>
    </w:p>
    <w:p>
      <w:pPr>
        <w:pStyle w:val="TOC2"/>
      </w:pPr>
      <w:r>
        <w:t>﻿2.4 独立算力与模型账户</w:t>
      </w:r>
      <w:r>
        <w:tab/>
      </w:r>
      <w:r>
        <w:fldChar w:fldCharType="begin"/>
      </w:r>
      <w:r>
        <w:instrText> PAGEREF _TocBlocky9 \h </w:instrText>
      </w:r>
      <w:r>
        <w:fldChar w:fldCharType="separate"/>
      </w:r>
      <w:r>
        <w:t>10</w:t>
      </w:r>
      <w:r>
        <w:fldChar w:fldCharType="end"/>
      </w:r>
    </w:p>
    <w:p>
      <w:pPr>
        <w:pStyle w:val="TOC2"/>
      </w:pPr>
      <w:r>
        <w:t>﻿2.5 获客与验证路径</w:t>
      </w:r>
      <w:r>
        <w:tab/>
      </w:r>
      <w:r>
        <w:fldChar w:fldCharType="begin"/>
      </w:r>
      <w:r>
        <w:instrText> PAGEREF _TocBlocky10 \h </w:instrText>
      </w:r>
      <w:r>
        <w:fldChar w:fldCharType="separate"/>
      </w:r>
      <w:r>
        <w:t>10</w:t>
      </w:r>
      <w:r>
        <w:fldChar w:fldCharType="end"/>
      </w:r>
    </w:p>
    <w:p>
      <w:pPr>
        <w:pStyle w:val="TOC1"/>
      </w:pPr>
      <w:r>
        <w:t>﻿3. 运营计划</w:t>
      </w:r>
      <w:r>
        <w:tab/>
      </w:r>
      <w:r>
        <w:fldChar w:fldCharType="begin"/>
      </w:r>
      <w:r>
        <w:instrText> PAGEREF _TocBlocky11 \h </w:instrText>
      </w:r>
      <w:r>
        <w:fldChar w:fldCharType="separate"/>
      </w:r>
      <w:r>
        <w:t>11</w:t>
      </w:r>
      <w:r>
        <w:fldChar w:fldCharType="end"/>
      </w:r>
    </w:p>
    <w:p>
      <w:pPr>
        <w:pStyle w:val="TOC1"/>
      </w:pPr>
      <w:r>
        <w:t>﻿4. 交付资源与复用资产</w:t>
      </w:r>
      <w:r>
        <w:tab/>
      </w:r>
      <w:r>
        <w:fldChar w:fldCharType="begin"/>
      </w:r>
      <w:r>
        <w:instrText> PAGEREF _TocBlocky12 \h </w:instrText>
      </w:r>
      <w:r>
        <w:fldChar w:fldCharType="separate"/>
      </w:r>
      <w:r>
        <w:t>12</w:t>
      </w:r>
      <w:r>
        <w:fldChar w:fldCharType="end"/>
      </w:r>
    </w:p>
    <w:p>
      <w:pPr>
        <w:pStyle w:val="TOC1"/>
      </w:pPr>
      <w:r>
        <w:t>﻿5. 战略实施与财务安排</w:t>
      </w:r>
      <w:r>
        <w:tab/>
      </w:r>
      <w:r>
        <w:fldChar w:fldCharType="begin"/>
      </w:r>
      <w:r>
        <w:instrText> PAGEREF _TocBlocky13 \h </w:instrText>
      </w:r>
      <w:r>
        <w:fldChar w:fldCharType="separate"/>
      </w:r>
      <w:r>
        <w:t>12</w:t>
      </w:r>
      <w:r>
        <w:fldChar w:fldCharType="end"/>
      </w:r>
    </w:p>
    <w:p>
      <w:pPr>
        <w:pStyle w:val="TOC2"/>
      </w:pPr>
      <w:r>
        <w:t>﻿5.1 市场进入与定位</w:t>
      </w:r>
      <w:r>
        <w:tab/>
      </w:r>
      <w:r>
        <w:fldChar w:fldCharType="begin"/>
      </w:r>
      <w:r>
        <w:instrText> PAGEREF _TocBlocky14 \h </w:instrText>
      </w:r>
      <w:r>
        <w:fldChar w:fldCharType="separate"/>
      </w:r>
      <w:r>
        <w:t>13</w:t>
      </w:r>
      <w:r>
        <w:fldChar w:fldCharType="end"/>
      </w:r>
    </w:p>
    <w:p>
      <w:pPr>
        <w:pStyle w:val="TOC2"/>
      </w:pPr>
      <w:r>
        <w:t>﻿5.2 商业模式与单位经济</w:t>
      </w:r>
      <w:r>
        <w:tab/>
      </w:r>
      <w:r>
        <w:fldChar w:fldCharType="begin"/>
      </w:r>
      <w:r>
        <w:instrText> PAGEREF _TocBlocky15 \h </w:instrText>
      </w:r>
      <w:r>
        <w:fldChar w:fldCharType="separate"/>
      </w:r>
      <w:r>
        <w:t>13</w:t>
      </w:r>
      <w:r>
        <w:fldChar w:fldCharType="end"/>
      </w:r>
    </w:p>
    <w:p>
      <w:pPr>
        <w:pStyle w:val="TOC2"/>
      </w:pPr>
      <w:r>
        <w:t>﻿5.3 阶段目标</w:t>
      </w:r>
      <w:r>
        <w:tab/>
      </w:r>
      <w:r>
        <w:fldChar w:fldCharType="begin"/>
      </w:r>
      <w:r>
        <w:instrText> PAGEREF _TocBlocky16 \h </w:instrText>
      </w:r>
      <w:r>
        <w:fldChar w:fldCharType="separate"/>
      </w:r>
      <w:r>
        <w:t>14</w:t>
      </w:r>
      <w:r>
        <w:fldChar w:fldCharType="end"/>
      </w:r>
    </w:p>
    <w:p>
      <w:pPr>
        <w:pStyle w:val="TOC2"/>
      </w:pPr>
      <w:r>
        <w:t>﻿5.4 近期项目与退出条件</w:t>
      </w:r>
      <w:r>
        <w:tab/>
      </w:r>
      <w:r>
        <w:fldChar w:fldCharType="begin"/>
      </w:r>
      <w:r>
        <w:instrText> PAGEREF _TocBlocky17 \h </w:instrText>
      </w:r>
      <w:r>
        <w:fldChar w:fldCharType="separate"/>
      </w:r>
      <w:r>
        <w:t>15</w:t>
      </w:r>
      <w:r>
        <w:fldChar w:fldCharType="end"/>
      </w:r>
    </w:p>
    <w:p>
      <w:pPr>
        <w:pStyle w:val="TOC2"/>
      </w:pPr>
      <w:r>
        <w:t>﻿5.5 资源与资金需求</w:t>
      </w:r>
      <w:r>
        <w:tab/>
      </w:r>
      <w:r>
        <w:fldChar w:fldCharType="begin"/>
      </w:r>
      <w:r>
        <w:instrText> PAGEREF _TocBlocky18 \h </w:instrText>
      </w:r>
      <w:r>
        <w:fldChar w:fldCharType="separate"/>
      </w:r>
      <w:r>
        <w:t>15</w:t>
      </w:r>
      <w:r>
        <w:fldChar w:fldCharType="end"/>
      </w:r>
    </w:p>
    <w:p>
      <w:pPr>
        <w:pStyle w:val="TOC2"/>
      </w:pPr>
      <w:r>
        <w:t>﻿5.6 实施路线图</w:t>
      </w:r>
      <w:r>
        <w:tab/>
      </w:r>
      <w:r>
        <w:fldChar w:fldCharType="begin"/>
      </w:r>
      <w:r>
        <w:instrText> PAGEREF _TocBlocky19 \h </w:instrText>
      </w:r>
      <w:r>
        <w:fldChar w:fldCharType="separate"/>
      </w:r>
      <w:r>
        <w:t>16</w:t>
      </w:r>
      <w:r>
        <w:fldChar w:fldCharType="end"/>
      </w:r>
    </w:p>
    <w:p>
      <w:pPr>
        <w:pStyle w:val="TOC2"/>
      </w:pPr>
      <w:r>
        <w:t>﻿5.7 主要风险与应对</w:t>
      </w:r>
      <w:r>
        <w:tab/>
      </w:r>
      <w:r>
        <w:fldChar w:fldCharType="begin"/>
      </w:r>
      <w:r>
        <w:instrText> PAGEREF _TocBlocky20 \h </w:instrText>
      </w:r>
      <w:r>
        <w:fldChar w:fldCharType="separate"/>
      </w:r>
      <w:r>
        <w:t>18</w:t>
      </w:r>
      <w:r>
        <w:fldChar w:fldCharType="end"/>
      </w:r>
    </w:p>
    <w:p>
      <w:pPr>
        <w:pStyle w:val="TOC1"/>
      </w:pPr>
      <w:r>
        <w:t>﻿Appendix A. 规划假设与待确认事项</w:t>
      </w:r>
      <w:r>
        <w:tab/>
      </w:r>
      <w:r>
        <w:fldChar w:fldCharType="begin"/>
      </w:r>
      <w:r>
        <w:instrText> PAGEREF _TocBlocky21 \h </w:instrText>
      </w:r>
      <w:r>
        <w:fldChar w:fldCharType="separate"/>
      </w:r>
      <w:r>
        <w:t>19</w:t>
      </w:r>
      <w:r>
        <w:fldChar w:fldCharType="end"/>
      </w:r>
    </w:p>
    <w:p>
      <w:pPr>
        <w:pStyle w:val="TOC1"/>
      </w:pPr>
      <w:r>
        <w:t>﻿Appendix B. 资料来源</w:t>
      </w:r>
      <w:r>
        <w:tab/>
      </w:r>
      <w:r>
        <w:fldChar w:fldCharType="begin"/>
      </w:r>
      <w:r>
        <w:instrText> PAGEREF _TocBlocky22 \h </w:instrText>
      </w:r>
      <w:r>
        <w:fldChar w:fldCharType="separate"/>
      </w:r>
      <w:r>
        <w:t>21</w:t>
      </w:r>
      <w:r>
        <w:fldChar w:fldCharType="end"/>
      </w:r>
    </w:p>
    <w:p>
      <w:pPr>
        <w:pStyle w:val="TOC1"/>
      </w:pPr>
      <w:r>
        <w:t>﻿Appendix C. 情景分析</w:t>
      </w:r>
      <w:r>
        <w:tab/>
      </w:r>
      <w:r>
        <w:fldChar w:fldCharType="begin"/>
      </w:r>
      <w:r>
        <w:instrText> PAGEREF _TocBlocky23 \h </w:instrText>
      </w:r>
      <w:r>
        <w:fldChar w:fldCharType="separate"/>
      </w:r>
      <w:r>
        <w:t>22</w:t>
      </w:r>
      <w:r>
        <w:fldChar w:fldCharType="end"/>
      </w:r>
      <w:r>
        <w:fldChar w:fldCharType="end"/>
      </w:r>
    </w:p>
    <w:p>
      <w:r>
        <w:br w:type="page"/>
      </w:r>
    </w:p>
    <w:p>
      <w:pPr>
        <w:pStyle w:val="Heading1"/>
      </w:pPr>
      <w:bookmarkStart w:id="1000" w:name="_TocBlocky0"/>
      <w:r>
        <w:t>0. 执行摘要</w:t>
      </w:r>
      <w:bookmarkEnd w:id="1000"/>
    </w:p>
    <w:p>
      <w:pPr>
        <w:pStyle w:val="BodyText"/>
      </w:pPr>
      <w:r>
        <w:t>Blocky Studio 是面向非专业用户的积木式智能体（Agent）创作工具。核心价值是将Agent关键行为的代码审阅转为积木审阅，让用户看懂任务与步骤，并用运行轨迹核对实际行为。本计划以小学创作教育为首个切入点。孩子先读懂教师准备的作品，再改变角色、任务或步骤并比较结果，随后为自己的目标组合一个Agent，最后回看运行过程、修改并讲解。Scratch通过创作作品学习编程，是本项目的教学方式参照；Blocky希望把这种动手创作方式用于理解智能体。[S2] 小学适用性和学习效果尚待真实课堂验证。</w:t>
      </w:r>
    </w:p>
    <w:p>
      <w:pPr>
        <w:pStyle w:val="BodyText"/>
      </w:pPr>
      <w:r>
        <w:t>项目仍处于持续开发阶段，当前Windows桌面版本已形成阶段成果，具备嵌套积木、角色和任务配置、条件分支、模型、记忆与受控工具、项目保存和运行轨迹。故事创作搭档是本计划的拟议教学任务，尚无小学生完成该任务的证据。新补充的本地条件实验核对了修改一个条件后选择不同分支的行为；既有Windows截图展示真实工作台与运行定位。外部模型生成的历史证据来自团队合成资料演示，不等同故事课程已运行或课堂效果。</w:t>
      </w:r>
    </w:p>
    <w:p>
      <w:pPr>
        <w:pStyle w:val="BodyText"/>
      </w:pPr>
      <w:r>
        <w:t>个人版按完全开源、完整功能免费和社区共创方向推进。机构/K12方案为组织后台配置与教育服务收费，算力独立订阅、按额度或自带模型账户安排。学生使用、教师组织、机构采购。现有试点交付课程准备、培训、配置与支持；账号、课堂管理、进度分析、自动评分及统一算力结算属于建设规划。 免费开源是商业与发布方向，不代表功能已全部完成；后续继续建设多端能力和独立Agent App生成。</w:t>
      </w:r>
    </w:p>
    <w:p>
      <w:pPr>
        <w:pStyle w:val="BodyText"/>
      </w:pPr>
      <w:r>
        <w:t>本计划的财务币种均为人民币，预测期为2027至2029年。全部合同、价格、成本和资金数字均为规划假设，未形成真实报价、收入或资金承诺。基准情景计划交付4、10、18份机构服务合同，预计收入7.20、18.00、32.40万元，年度损益为−6.064、−0.840、5.432万元。计入假设的期初自有资金2万元后，峰值现金缺口为8.30万元；加上2万元最低储备，追加资金预算为10.30万元。 测算仅覆盖当前试点服务；新增组织订阅、独立算力收入和后台建设成本未纳入，10.30万元不代表全部新业务建设资金。</w:t>
      </w:r>
    </w:p>
    <w:p>
      <w:pPr>
        <w:pStyle w:val="BodyText"/>
      </w:pPr>
      <w:r>
        <w:t>近期拟在90天内访谈至少10位小学信息科技、科学实践或社团教师，形成3个具备组织者与设备条件的试用准备，争取开展2次完整活动。决策依据是学生能否在记录帮助程度的情况下预测、改造、搭建和解释作品，以及至少1位教师能否独立复用。没有完成试用前不承诺教育效果；连续两轮没有自主改造或教师复用时收窄任务、暂停扩张。</w:t>
      </w:r>
    </w:p>
    <w:p>
      <w:pPr>
        <w:pStyle w:val="Heading1"/>
        <w:pageBreakBefore/>
      </w:pPr>
      <w:bookmarkStart w:id="1001" w:name="_TocBlocky1"/>
      <w:r>
        <w:t>1. 企业与产品概况</w:t>
      </w:r>
      <w:bookmarkEnd w:id="1001"/>
    </w:p>
    <w:p>
      <w:pPr>
        <w:pStyle w:val="BodyText"/>
      </w:pPr>
      <w:r>
        <w:t>Blocky 是持续开发中的安装式软件项目，当前桌面版本属于阶段成果。产品面向非专业用户，入门版以小学生为主要用户，教师组织创作实践，学校及相关教育机构是潜在服务采购方。Windows已有作品创作与运行基础；小学工作区、完整兼容生态、多端与应用生成等仍按后续路线建设。对外合同主体、服务资源与所在地在真实试点和签约前落实。</w:t>
      </w:r>
    </w:p>
    <w:p>
      <w:pPr>
        <w:pStyle w:val="Heading2"/>
      </w:pPr>
      <w:bookmarkStart w:id="1002" w:name="_TocBlocky2"/>
      <w:r>
        <w:t>1.1 产品与教学价值</w:t>
      </w:r>
      <w:bookmarkEnd w:id="1002"/>
    </w:p>
    <w:p>
      <w:pPr>
        <w:pStyle w:val="BodyText"/>
      </w:pPr>
      <w:r>
        <w:t>拟议首课采用故事创作搭档：教师提供简单作品，孩子先指出角色、输入、条件和输出，并预测输入“勇敢的小猫”会走向哪个分支。第二步只把条件中的“勇敢”换成“友善”，保持输入不变，运行两次并比较。随后孩子自行选择新角色、输入条件和两种行动，例如“海底向导”遇见不同伙伴时采取不同路线，再运行、解释和修订。规则分支用于学习作品结构；它本身不是生成式智能体。</w:t>
      </w:r>
    </w:p>
    <w:p>
      <w:pPr>
        <w:pStyle w:val="BodyText"/>
      </w:pPr>
      <w:r>
        <w:t>完整故事Agent的教学设计接收角色输入，由条件选择森林或花园方向，作为上下文与友善的故事搭档角色、写三句并以提问结尾的任务一起交给教师预选模型。学生保持输入和方向不变，只把任务改为先问一个选择问题，再观察回应并解释差异。自主搭建可换成海底向导，重新选择角色、目标与行动方向；后续一次增加一种能力，例如用会话记忆保留方向或用文本统计工具检查长度。生成式扩展作为教学设计，不预写模型回应。</w:t>
      </w:r>
    </w:p>
    <w:p>
      <w:pPr>
        <w:pStyle w:val="BodyText"/>
      </w:pPr>
      <w:r>
        <w:t>Blocky将Agent关键行为的代码审阅转为积木审阅：直接检查角色、任务、上下文、条件、记忆与工具步骤，再把实际运行事件对应到积木。底层使用Blockly、Tauri和Pi等开源组件，项目组织作品格式、语义编译、领域运行接口和Host权限边界。可编辑项目、运行轨迹与可审阅修改共同构成作品工作台。</w:t>
      </w:r>
    </w:p>
    <w:p>
      <w:pPr>
        <w:pStyle w:val="BodyText"/>
      </w:pPr>
      <w:r>
        <w:t>搭建时读懂结构和资料来源，执行前检查预期行为与工具权限，运行后比较轨迹和结果，再定位修改。小学活动围绕这一过程组织读懂、改造、自主搭建和调试解释。现有技术能力不自动等于小学适用性，课堂任务按下一阶段采证方法判断。</w:t>
      </w:r>
    </w:p>
    <w:p>
      <w:pPr>
        <w:pStyle w:val="BodyText"/>
      </w:pPr>
      <w:r>
        <w:t>Table 1（表1）将学生动作、软件能力、教师准备和作品产出放在同一条教学链上。每次活动都保留可编辑项目与简短解释，教师据此区分孩子修改了什么、是否理解为什么修改。软件提供创作与观察能力，活动设计决定这些能力如何成为学习任务。</w:t>
      </w:r>
    </w:p>
    <w:p>
      <w:pPr>
        <w:pStyle w:val="Tabletitle"/>
        <w:keepNext/>
      </w:pPr>
      <w:r>
        <w:t>Table 1. 学生动作与作品能力映射</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12"/>
        <w:gridCol w:w="2304"/>
        <w:gridCol w:w="2376"/>
        <w:gridCol w:w="2758"/>
      </w:tblGrid>
      <w:tr>
        <w:trPr>
          <w:cantSplit/>
          <w:tblHeader w:val="true"/>
        </w:trPr>
        <w:tc>
          <w:tcPr>
            <w:tcW w:w="1512" w:type="dxa"/>
            <w:tcMar>
              <w:top w:w="60" w:type="dxa"/>
              <w:start w:w="85" w:type="dxa"/>
              <w:bottom w:w="60" w:type="dxa"/>
              <w:end w:w="85" w:type="dxa"/>
            </w:tcMar>
          </w:tcPr>
          <w:p>
            <w:pPr>
              <w:pStyle w:val="BodyText"/>
              <w:spacing w:before="0" w:after="0" w:line="220" w:lineRule="auto"/>
            </w:pPr>
            <w:r>
              <w:t>学生动作</w:t>
            </w:r>
          </w:p>
        </w:tc>
        <w:tc>
          <w:tcPr>
            <w:tcW w:w="2304" w:type="dxa"/>
            <w:tcMar>
              <w:top w:w="60" w:type="dxa"/>
              <w:start w:w="85" w:type="dxa"/>
              <w:bottom w:w="60" w:type="dxa"/>
              <w:end w:w="85" w:type="dxa"/>
            </w:tcMar>
          </w:tcPr>
          <w:p>
            <w:pPr>
              <w:pStyle w:val="BodyText"/>
              <w:spacing w:before="0" w:after="0" w:line="220" w:lineRule="auto"/>
            </w:pPr>
            <w:r>
              <w:t>软件能力</w:t>
            </w:r>
          </w:p>
        </w:tc>
        <w:tc>
          <w:tcPr>
            <w:tcW w:w="2376" w:type="dxa"/>
            <w:tcMar>
              <w:top w:w="60" w:type="dxa"/>
              <w:start w:w="85" w:type="dxa"/>
              <w:bottom w:w="60" w:type="dxa"/>
              <w:end w:w="85" w:type="dxa"/>
            </w:tcMar>
          </w:tcPr>
          <w:p>
            <w:pPr>
              <w:pStyle w:val="BodyText"/>
              <w:spacing w:before="0" w:after="0" w:line="220" w:lineRule="auto"/>
            </w:pPr>
            <w:r>
              <w:t>教师准备</w:t>
            </w:r>
          </w:p>
        </w:tc>
        <w:tc>
          <w:tcPr>
            <w:tcW w:w="2758" w:type="dxa"/>
            <w:tcMar>
              <w:top w:w="60" w:type="dxa"/>
              <w:start w:w="85" w:type="dxa"/>
              <w:bottom w:w="60" w:type="dxa"/>
              <w:end w:w="85" w:type="dxa"/>
            </w:tcMar>
          </w:tcPr>
          <w:p>
            <w:pPr>
              <w:pStyle w:val="BodyText"/>
              <w:spacing w:before="0" w:after="0" w:line="220" w:lineRule="auto"/>
            </w:pPr>
            <w:r>
              <w:t>可观察产出</w:t>
            </w:r>
          </w:p>
        </w:tc>
      </w:tr>
      <w:tr>
        <w:trPr>
          <w:cantSplit/>
        </w:trPr>
        <w:tc>
          <w:tcPr>
            <w:tcW w:w="1512" w:type="dxa"/>
            <w:tcMar>
              <w:top w:w="60" w:type="dxa"/>
              <w:start w:w="85" w:type="dxa"/>
              <w:bottom w:w="60" w:type="dxa"/>
              <w:end w:w="85" w:type="dxa"/>
            </w:tcMar>
          </w:tcPr>
          <w:p>
            <w:pPr>
              <w:pStyle w:val="BodyText"/>
              <w:spacing w:before="0" w:after="0" w:line="220" w:lineRule="auto"/>
            </w:pPr>
            <w:r>
              <w:t>读懂作品</w:t>
            </w:r>
          </w:p>
        </w:tc>
        <w:tc>
          <w:tcPr>
            <w:tcW w:w="2304" w:type="dxa"/>
            <w:tcMar>
              <w:top w:w="60" w:type="dxa"/>
              <w:start w:w="85" w:type="dxa"/>
              <w:bottom w:w="60" w:type="dxa"/>
              <w:end w:w="85" w:type="dxa"/>
            </w:tcMar>
          </w:tcPr>
          <w:p>
            <w:pPr>
              <w:pStyle w:val="BodyText"/>
              <w:spacing w:before="0" w:after="0" w:line="220" w:lineRule="auto"/>
            </w:pPr>
            <w:r>
              <w:t>嵌套积木、角色与条件</w:t>
            </w:r>
          </w:p>
        </w:tc>
        <w:tc>
          <w:tcPr>
            <w:tcW w:w="2376" w:type="dxa"/>
            <w:tcMar>
              <w:top w:w="60" w:type="dxa"/>
              <w:start w:w="85" w:type="dxa"/>
              <w:bottom w:w="60" w:type="dxa"/>
              <w:end w:w="85" w:type="dxa"/>
            </w:tcMar>
          </w:tcPr>
          <w:p>
            <w:pPr>
              <w:pStyle w:val="BodyText"/>
              <w:spacing w:before="0" w:after="0" w:line="220" w:lineRule="auto"/>
            </w:pPr>
            <w:r>
              <w:t>提供精简故事项目与输入卡</w:t>
            </w:r>
          </w:p>
        </w:tc>
        <w:tc>
          <w:tcPr>
            <w:tcW w:w="2758" w:type="dxa"/>
            <w:tcMar>
              <w:top w:w="60" w:type="dxa"/>
              <w:start w:w="85" w:type="dxa"/>
              <w:bottom w:w="60" w:type="dxa"/>
              <w:end w:w="85" w:type="dxa"/>
            </w:tcMar>
          </w:tcPr>
          <w:p>
            <w:pPr>
              <w:pStyle w:val="BodyText"/>
              <w:spacing w:before="0" w:after="0" w:line="220" w:lineRule="auto"/>
            </w:pPr>
            <w:r>
              <w:t>标出输入、条件、输出并预测分支</w:t>
            </w:r>
          </w:p>
        </w:tc>
      </w:tr>
      <w:tr>
        <w:trPr>
          <w:cantSplit/>
        </w:trPr>
        <w:tc>
          <w:tcPr>
            <w:tcW w:w="1512" w:type="dxa"/>
            <w:tcMar>
              <w:top w:w="60" w:type="dxa"/>
              <w:start w:w="85" w:type="dxa"/>
              <w:bottom w:w="60" w:type="dxa"/>
              <w:end w:w="85" w:type="dxa"/>
            </w:tcMar>
          </w:tcPr>
          <w:p>
            <w:pPr>
              <w:pStyle w:val="BodyText"/>
              <w:spacing w:before="0" w:after="0" w:line="220" w:lineRule="auto"/>
            </w:pPr>
            <w:r>
              <w:t>单处改造</w:t>
            </w:r>
          </w:p>
        </w:tc>
        <w:tc>
          <w:tcPr>
            <w:tcW w:w="2304" w:type="dxa"/>
            <w:tcMar>
              <w:top w:w="60" w:type="dxa"/>
              <w:start w:w="85" w:type="dxa"/>
              <w:bottom w:w="60" w:type="dxa"/>
              <w:end w:w="85" w:type="dxa"/>
            </w:tcMar>
          </w:tcPr>
          <w:p>
            <w:pPr>
              <w:pStyle w:val="BodyText"/>
              <w:spacing w:before="0" w:after="0" w:line="220" w:lineRule="auto"/>
            </w:pPr>
            <w:r>
              <w:t>条件编辑、保存与重开</w:t>
            </w:r>
          </w:p>
        </w:tc>
        <w:tc>
          <w:tcPr>
            <w:tcW w:w="2376" w:type="dxa"/>
            <w:tcMar>
              <w:top w:w="60" w:type="dxa"/>
              <w:start w:w="85" w:type="dxa"/>
              <w:bottom w:w="60" w:type="dxa"/>
              <w:end w:w="85" w:type="dxa"/>
            </w:tcMar>
          </w:tcPr>
          <w:p>
            <w:pPr>
              <w:pStyle w:val="BodyText"/>
              <w:spacing w:before="0" w:after="0" w:line="220" w:lineRule="auto"/>
            </w:pPr>
            <w:r>
              <w:t>准备同输入、只改一处的对照</w:t>
            </w:r>
          </w:p>
        </w:tc>
        <w:tc>
          <w:tcPr>
            <w:tcW w:w="2758" w:type="dxa"/>
            <w:tcMar>
              <w:top w:w="60" w:type="dxa"/>
              <w:start w:w="85" w:type="dxa"/>
              <w:bottom w:w="60" w:type="dxa"/>
              <w:end w:w="85" w:type="dxa"/>
            </w:tcMar>
          </w:tcPr>
          <w:p>
            <w:pPr>
              <w:pStyle w:val="BodyText"/>
              <w:spacing w:before="0" w:after="0" w:line="220" w:lineRule="auto"/>
            </w:pPr>
            <w:r>
              <w:t>两个项目版本及结果比较</w:t>
            </w:r>
          </w:p>
        </w:tc>
      </w:tr>
      <w:tr>
        <w:trPr>
          <w:cantSplit/>
        </w:trPr>
        <w:tc>
          <w:tcPr>
            <w:tcW w:w="1512" w:type="dxa"/>
            <w:tcMar>
              <w:top w:w="60" w:type="dxa"/>
              <w:start w:w="85" w:type="dxa"/>
              <w:bottom w:w="60" w:type="dxa"/>
              <w:end w:w="85" w:type="dxa"/>
            </w:tcMar>
          </w:tcPr>
          <w:p>
            <w:pPr>
              <w:pStyle w:val="BodyText"/>
              <w:spacing w:before="0" w:after="0" w:line="220" w:lineRule="auto"/>
            </w:pPr>
            <w:r>
              <w:t>自主搭建</w:t>
            </w:r>
          </w:p>
        </w:tc>
        <w:tc>
          <w:tcPr>
            <w:tcW w:w="2304" w:type="dxa"/>
            <w:tcMar>
              <w:top w:w="60" w:type="dxa"/>
              <w:start w:w="85" w:type="dxa"/>
              <w:bottom w:w="60" w:type="dxa"/>
              <w:end w:w="85" w:type="dxa"/>
            </w:tcMar>
          </w:tcPr>
          <w:p>
            <w:pPr>
              <w:pStyle w:val="BodyText"/>
              <w:spacing w:before="0" w:after="0" w:line="220" w:lineRule="auto"/>
            </w:pPr>
            <w:r>
              <w:t>角色、指令、模型、记忆与工具组合</w:t>
            </w:r>
          </w:p>
        </w:tc>
        <w:tc>
          <w:tcPr>
            <w:tcW w:w="2376" w:type="dxa"/>
            <w:tcMar>
              <w:top w:w="60" w:type="dxa"/>
              <w:start w:w="85" w:type="dxa"/>
              <w:bottom w:w="60" w:type="dxa"/>
              <w:end w:w="85" w:type="dxa"/>
            </w:tcMar>
          </w:tcPr>
          <w:p>
            <w:pPr>
              <w:pStyle w:val="BodyText"/>
              <w:spacing w:before="0" w:after="0" w:line="220" w:lineRule="auto"/>
            </w:pPr>
            <w:r>
              <w:t>选择有限部件及安全资源</w:t>
            </w:r>
          </w:p>
        </w:tc>
        <w:tc>
          <w:tcPr>
            <w:tcW w:w="2758" w:type="dxa"/>
            <w:tcMar>
              <w:top w:w="60" w:type="dxa"/>
              <w:start w:w="85" w:type="dxa"/>
              <w:bottom w:w="60" w:type="dxa"/>
              <w:end w:w="85" w:type="dxa"/>
            </w:tcMar>
          </w:tcPr>
          <w:p>
            <w:pPr>
              <w:pStyle w:val="BodyText"/>
              <w:spacing w:before="0" w:after="0" w:line="220" w:lineRule="auto"/>
            </w:pPr>
            <w:r>
              <w:t>新目标项目、设计选择说明</w:t>
            </w:r>
          </w:p>
        </w:tc>
      </w:tr>
      <w:tr>
        <w:trPr>
          <w:cantSplit/>
        </w:trPr>
        <w:tc>
          <w:tcPr>
            <w:tcW w:w="1512" w:type="dxa"/>
            <w:tcMar>
              <w:top w:w="60" w:type="dxa"/>
              <w:start w:w="85" w:type="dxa"/>
              <w:bottom w:w="60" w:type="dxa"/>
              <w:end w:w="85" w:type="dxa"/>
            </w:tcMar>
          </w:tcPr>
          <w:p>
            <w:pPr>
              <w:pStyle w:val="BodyText"/>
              <w:spacing w:before="0" w:after="0" w:line="220" w:lineRule="auto"/>
            </w:pPr>
            <w:r>
              <w:t>调试解释</w:t>
            </w:r>
          </w:p>
        </w:tc>
        <w:tc>
          <w:tcPr>
            <w:tcW w:w="2304" w:type="dxa"/>
            <w:tcMar>
              <w:top w:w="60" w:type="dxa"/>
              <w:start w:w="85" w:type="dxa"/>
              <w:bottom w:w="60" w:type="dxa"/>
              <w:end w:w="85" w:type="dxa"/>
            </w:tcMar>
          </w:tcPr>
          <w:p>
            <w:pPr>
              <w:pStyle w:val="BodyText"/>
              <w:spacing w:before="0" w:after="0" w:line="220" w:lineRule="auto"/>
            </w:pPr>
            <w:r>
              <w:t>运行轨迹、积木定位、修订</w:t>
            </w:r>
          </w:p>
        </w:tc>
        <w:tc>
          <w:tcPr>
            <w:tcW w:w="2376" w:type="dxa"/>
            <w:tcMar>
              <w:top w:w="60" w:type="dxa"/>
              <w:start w:w="85" w:type="dxa"/>
              <w:bottom w:w="60" w:type="dxa"/>
              <w:end w:w="85" w:type="dxa"/>
            </w:tcMar>
          </w:tcPr>
          <w:p>
            <w:pPr>
              <w:pStyle w:val="BodyText"/>
              <w:spacing w:before="0" w:after="0" w:line="220" w:lineRule="auto"/>
            </w:pPr>
            <w:r>
              <w:t>准备一处可定位的错误</w:t>
            </w:r>
          </w:p>
        </w:tc>
        <w:tc>
          <w:tcPr>
            <w:tcW w:w="2758" w:type="dxa"/>
            <w:tcMar>
              <w:top w:w="60" w:type="dxa"/>
              <w:start w:w="85" w:type="dxa"/>
              <w:bottom w:w="60" w:type="dxa"/>
              <w:end w:w="85" w:type="dxa"/>
            </w:tcMar>
          </w:tcPr>
          <w:p>
            <w:pPr>
              <w:pStyle w:val="BodyText"/>
              <w:spacing w:before="0" w:after="0" w:line="220" w:lineRule="auto"/>
            </w:pPr>
            <w:r>
              <w:t>错误位置、修改前后轨迹与解释</w:t>
            </w:r>
          </w:p>
        </w:tc>
      </w:tr>
      <w:tr>
        <w:trPr>
          <w:cantSplit/>
        </w:trPr>
        <w:tc>
          <w:tcPr>
            <w:tcW w:w="1512" w:type="dxa"/>
            <w:tcMar>
              <w:top w:w="60" w:type="dxa"/>
              <w:start w:w="85" w:type="dxa"/>
              <w:bottom w:w="60" w:type="dxa"/>
              <w:end w:w="85" w:type="dxa"/>
            </w:tcMar>
          </w:tcPr>
          <w:p>
            <w:pPr>
              <w:pStyle w:val="BodyText"/>
              <w:spacing w:before="0" w:after="0" w:line="220" w:lineRule="auto"/>
            </w:pPr>
            <w:r>
              <w:t>审阅行为</w:t>
            </w:r>
          </w:p>
        </w:tc>
        <w:tc>
          <w:tcPr>
            <w:tcW w:w="2304" w:type="dxa"/>
            <w:tcMar>
              <w:top w:w="60" w:type="dxa"/>
              <w:start w:w="85" w:type="dxa"/>
              <w:bottom w:w="60" w:type="dxa"/>
              <w:end w:w="85" w:type="dxa"/>
            </w:tcMar>
          </w:tcPr>
          <w:p>
            <w:pPr>
              <w:pStyle w:val="BodyText"/>
              <w:spacing w:before="0" w:after="0" w:line="220" w:lineRule="auto"/>
            </w:pPr>
            <w:r>
              <w:t>结构检查、资源引用和受控权限</w:t>
            </w:r>
          </w:p>
        </w:tc>
        <w:tc>
          <w:tcPr>
            <w:tcW w:w="2376" w:type="dxa"/>
            <w:tcMar>
              <w:top w:w="60" w:type="dxa"/>
              <w:start w:w="85" w:type="dxa"/>
              <w:bottom w:w="60" w:type="dxa"/>
              <w:end w:w="85" w:type="dxa"/>
            </w:tcMar>
          </w:tcPr>
          <w:p>
            <w:pPr>
              <w:pStyle w:val="BodyText"/>
              <w:spacing w:before="0" w:after="0" w:line="220" w:lineRule="auto"/>
            </w:pPr>
            <w:r>
              <w:t>确定工具边界与评价任务</w:t>
            </w:r>
          </w:p>
        </w:tc>
        <w:tc>
          <w:tcPr>
            <w:tcW w:w="2758" w:type="dxa"/>
            <w:tcMar>
              <w:top w:w="60" w:type="dxa"/>
              <w:start w:w="85" w:type="dxa"/>
              <w:bottom w:w="60" w:type="dxa"/>
              <w:end w:w="85" w:type="dxa"/>
            </w:tcMar>
          </w:tcPr>
          <w:p>
            <w:pPr>
              <w:pStyle w:val="BodyText"/>
              <w:spacing w:before="0" w:after="0" w:line="220" w:lineRule="auto"/>
            </w:pPr>
            <w:r>
              <w:t>预期过程与实际事件的对应</w:t>
            </w:r>
          </w:p>
        </w:tc>
      </w:tr>
    </w:tbl>
    <w:p>
      <w:pPr>
        <w:pStyle w:val="BodyText"/>
      </w:pPr>
      <w:r>
        <w:t>产品工作台由作品画布、资源配置、构建助手和运行观察组成。画布保存Agent结构与模块，资源区配置模型、知识和工具引用；构建助手接收自然语言并生成可审阅修改，运行区展示轨迹和结果。作品先保存、再运行、再根据轨迹修订，教师可将同一个项目用于阅读、改造和迁移任务。</w:t>
      </w:r>
    </w:p>
    <w:p>
      <w:pPr>
        <w:pStyle w:val="BodyText"/>
      </w:pPr>
      <w:r>
        <w:t>Table 2（表2）把工作台入口与教学用途对应起来。教师准备作品时在画布和资源之间核对结构与权限，学生修改后通过运行事件解释结果；构建助手与CLI提供辅助创作和重复操作，作品修改仍以可编辑项目与审阅结果为准。机构后台并非这些现有入口的别名，师生和课堂组织能力按第2.3节建设。</w:t>
      </w:r>
    </w:p>
    <w:p>
      <w:pPr>
        <w:pStyle w:val="Tabletitle"/>
        <w:keepNext/>
      </w:pPr>
      <w:r>
        <w:t>Table 2. 产品工作台与教学使用</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528"/>
        <w:gridCol w:w="3622"/>
      </w:tblGrid>
      <w:tr>
        <w:trPr>
          <w:cantSplit/>
          <w:tblHeader w:val="true"/>
        </w:trPr>
        <w:tc>
          <w:tcPr>
            <w:tcW w:w="1800" w:type="dxa"/>
            <w:tcMar>
              <w:top w:w="60" w:type="dxa"/>
              <w:start w:w="85" w:type="dxa"/>
              <w:bottom w:w="60" w:type="dxa"/>
              <w:end w:w="85" w:type="dxa"/>
            </w:tcMar>
          </w:tcPr>
          <w:p>
            <w:pPr>
              <w:pStyle w:val="BodyText"/>
              <w:spacing w:before="0" w:after="0" w:line="220" w:lineRule="auto"/>
            </w:pPr>
            <w:r>
              <w:t>工作台部分</w:t>
            </w:r>
          </w:p>
        </w:tc>
        <w:tc>
          <w:tcPr>
            <w:tcW w:w="3528" w:type="dxa"/>
            <w:tcMar>
              <w:top w:w="60" w:type="dxa"/>
              <w:start w:w="85" w:type="dxa"/>
              <w:bottom w:w="60" w:type="dxa"/>
              <w:end w:w="85" w:type="dxa"/>
            </w:tcMar>
          </w:tcPr>
          <w:p>
            <w:pPr>
              <w:pStyle w:val="BodyText"/>
              <w:spacing w:before="0" w:after="0" w:line="220" w:lineRule="auto"/>
            </w:pPr>
            <w:r>
              <w:t>已有能力</w:t>
            </w:r>
          </w:p>
        </w:tc>
        <w:tc>
          <w:tcPr>
            <w:tcW w:w="3622" w:type="dxa"/>
            <w:tcMar>
              <w:top w:w="60" w:type="dxa"/>
              <w:start w:w="85" w:type="dxa"/>
              <w:bottom w:w="60" w:type="dxa"/>
              <w:end w:w="85" w:type="dxa"/>
            </w:tcMar>
          </w:tcPr>
          <w:p>
            <w:pPr>
              <w:pStyle w:val="BodyText"/>
              <w:spacing w:before="0" w:after="0" w:line="220" w:lineRule="auto"/>
            </w:pPr>
            <w:r>
              <w:t>教学用途</w:t>
            </w:r>
          </w:p>
        </w:tc>
      </w:tr>
      <w:tr>
        <w:trPr>
          <w:cantSplit/>
        </w:trPr>
        <w:tc>
          <w:tcPr>
            <w:tcW w:w="1800" w:type="dxa"/>
            <w:tcMar>
              <w:top w:w="60" w:type="dxa"/>
              <w:start w:w="85" w:type="dxa"/>
              <w:bottom w:w="60" w:type="dxa"/>
              <w:end w:w="85" w:type="dxa"/>
            </w:tcMar>
          </w:tcPr>
          <w:p>
            <w:pPr>
              <w:pStyle w:val="BodyText"/>
              <w:spacing w:before="0" w:after="0" w:line="220" w:lineRule="auto"/>
            </w:pPr>
            <w:r>
              <w:t>作品与模块画布</w:t>
            </w:r>
          </w:p>
        </w:tc>
        <w:tc>
          <w:tcPr>
            <w:tcW w:w="3528" w:type="dxa"/>
            <w:tcMar>
              <w:top w:w="60" w:type="dxa"/>
              <w:start w:w="85" w:type="dxa"/>
              <w:bottom w:w="60" w:type="dxa"/>
              <w:end w:w="85" w:type="dxa"/>
            </w:tcMar>
          </w:tcPr>
          <w:p>
            <w:pPr>
              <w:pStyle w:val="BodyText"/>
              <w:spacing w:before="0" w:after="0" w:line="220" w:lineRule="auto"/>
            </w:pPr>
            <w:r>
              <w:t>嵌套积木、模块、蓝图、保存与重开</w:t>
            </w:r>
          </w:p>
        </w:tc>
        <w:tc>
          <w:tcPr>
            <w:tcW w:w="3622" w:type="dxa"/>
            <w:tcMar>
              <w:top w:w="60" w:type="dxa"/>
              <w:start w:w="85" w:type="dxa"/>
              <w:bottom w:w="60" w:type="dxa"/>
              <w:end w:w="85" w:type="dxa"/>
            </w:tcMar>
          </w:tcPr>
          <w:p>
            <w:pPr>
              <w:pStyle w:val="BodyText"/>
              <w:spacing w:before="0" w:after="0" w:line="220" w:lineRule="auto"/>
            </w:pPr>
            <w:r>
              <w:t>读懂结构、只改一处、组合新任务并保留版本</w:t>
            </w:r>
          </w:p>
        </w:tc>
      </w:tr>
      <w:tr>
        <w:trPr>
          <w:cantSplit/>
        </w:trPr>
        <w:tc>
          <w:tcPr>
            <w:tcW w:w="1800" w:type="dxa"/>
            <w:tcMar>
              <w:top w:w="60" w:type="dxa"/>
              <w:start w:w="85" w:type="dxa"/>
              <w:bottom w:w="60" w:type="dxa"/>
              <w:end w:w="85" w:type="dxa"/>
            </w:tcMar>
          </w:tcPr>
          <w:p>
            <w:pPr>
              <w:pStyle w:val="BodyText"/>
              <w:spacing w:before="0" w:after="0" w:line="220" w:lineRule="auto"/>
            </w:pPr>
            <w:r>
              <w:t>模型与资源配置</w:t>
            </w:r>
          </w:p>
        </w:tc>
        <w:tc>
          <w:tcPr>
            <w:tcW w:w="3528" w:type="dxa"/>
            <w:tcMar>
              <w:top w:w="60" w:type="dxa"/>
              <w:start w:w="85" w:type="dxa"/>
              <w:bottom w:w="60" w:type="dxa"/>
              <w:end w:w="85" w:type="dxa"/>
            </w:tcMar>
          </w:tcPr>
          <w:p>
            <w:pPr>
              <w:pStyle w:val="BodyText"/>
              <w:spacing w:before="0" w:after="0" w:line="220" w:lineRule="auto"/>
            </w:pPr>
            <w:r>
              <w:t>角色、指令、模型引用、知识、记忆及受控工具</w:t>
            </w:r>
          </w:p>
        </w:tc>
        <w:tc>
          <w:tcPr>
            <w:tcW w:w="3622" w:type="dxa"/>
            <w:tcMar>
              <w:top w:w="60" w:type="dxa"/>
              <w:start w:w="85" w:type="dxa"/>
              <w:bottom w:w="60" w:type="dxa"/>
              <w:end w:w="85" w:type="dxa"/>
            </w:tcMar>
          </w:tcPr>
          <w:p>
            <w:pPr>
              <w:pStyle w:val="BodyText"/>
              <w:spacing w:before="0" w:after="0" w:line="220" w:lineRule="auto"/>
            </w:pPr>
            <w:r>
              <w:t>教师准备少量资源，解释资料与工具边界</w:t>
            </w:r>
          </w:p>
        </w:tc>
      </w:tr>
      <w:tr>
        <w:trPr>
          <w:cantSplit/>
        </w:trPr>
        <w:tc>
          <w:tcPr>
            <w:tcW w:w="1800" w:type="dxa"/>
            <w:tcMar>
              <w:top w:w="60" w:type="dxa"/>
              <w:start w:w="85" w:type="dxa"/>
              <w:bottom w:w="60" w:type="dxa"/>
              <w:end w:w="85" w:type="dxa"/>
            </w:tcMar>
          </w:tcPr>
          <w:p>
            <w:pPr>
              <w:pStyle w:val="BodyText"/>
              <w:spacing w:before="0" w:after="0" w:line="220" w:lineRule="auto"/>
            </w:pPr>
            <w:r>
              <w:t>构建助手</w:t>
            </w:r>
          </w:p>
        </w:tc>
        <w:tc>
          <w:tcPr>
            <w:tcW w:w="3528" w:type="dxa"/>
            <w:tcMar>
              <w:top w:w="60" w:type="dxa"/>
              <w:start w:w="85" w:type="dxa"/>
              <w:bottom w:w="60" w:type="dxa"/>
              <w:end w:w="85" w:type="dxa"/>
            </w:tcMar>
          </w:tcPr>
          <w:p>
            <w:pPr>
              <w:pStyle w:val="BodyText"/>
              <w:spacing w:before="0" w:after="0" w:line="220" w:lineRule="auto"/>
            </w:pPr>
            <w:r>
              <w:t>自然语言任务、文件差异、候选修改与审阅</w:t>
            </w:r>
          </w:p>
        </w:tc>
        <w:tc>
          <w:tcPr>
            <w:tcW w:w="3622" w:type="dxa"/>
            <w:tcMar>
              <w:top w:w="60" w:type="dxa"/>
              <w:start w:w="85" w:type="dxa"/>
              <w:bottom w:w="60" w:type="dxa"/>
              <w:end w:w="85" w:type="dxa"/>
            </w:tcMar>
          </w:tcPr>
          <w:p>
            <w:pPr>
              <w:pStyle w:val="BodyText"/>
              <w:spacing w:before="0" w:after="0" w:line="220" w:lineRule="auto"/>
            </w:pPr>
            <w:r>
              <w:t>辅助制作项目和解释修订，由教师选择应用</w:t>
            </w:r>
          </w:p>
        </w:tc>
      </w:tr>
      <w:tr>
        <w:trPr>
          <w:cantSplit/>
        </w:trPr>
        <w:tc>
          <w:tcPr>
            <w:tcW w:w="1800" w:type="dxa"/>
            <w:tcMar>
              <w:top w:w="60" w:type="dxa"/>
              <w:start w:w="85" w:type="dxa"/>
              <w:bottom w:w="60" w:type="dxa"/>
              <w:end w:w="85" w:type="dxa"/>
            </w:tcMar>
          </w:tcPr>
          <w:p>
            <w:pPr>
              <w:pStyle w:val="BodyText"/>
              <w:spacing w:before="0" w:after="0" w:line="220" w:lineRule="auto"/>
            </w:pPr>
            <w:r>
              <w:t>运行与调试</w:t>
            </w:r>
          </w:p>
        </w:tc>
        <w:tc>
          <w:tcPr>
            <w:tcW w:w="3528" w:type="dxa"/>
            <w:tcMar>
              <w:top w:w="60" w:type="dxa"/>
              <w:start w:w="85" w:type="dxa"/>
              <w:bottom w:w="60" w:type="dxa"/>
              <w:end w:w="85" w:type="dxa"/>
            </w:tcMar>
          </w:tcPr>
          <w:p>
            <w:pPr>
              <w:pStyle w:val="BodyText"/>
              <w:spacing w:before="0" w:after="0" w:line="220" w:lineRule="auto"/>
            </w:pPr>
            <w:r>
              <w:t>结构化事件、积木定位、轨迹及结果观察</w:t>
            </w:r>
          </w:p>
        </w:tc>
        <w:tc>
          <w:tcPr>
            <w:tcW w:w="3622" w:type="dxa"/>
            <w:tcMar>
              <w:top w:w="60" w:type="dxa"/>
              <w:start w:w="85" w:type="dxa"/>
              <w:bottom w:w="60" w:type="dxa"/>
              <w:end w:w="85" w:type="dxa"/>
            </w:tcMar>
          </w:tcPr>
          <w:p>
            <w:pPr>
              <w:pStyle w:val="BodyText"/>
              <w:spacing w:before="0" w:after="0" w:line="220" w:lineRule="auto"/>
            </w:pPr>
            <w:r>
              <w:t>预测后运行，核对实际步骤并定位错误</w:t>
            </w:r>
          </w:p>
        </w:tc>
      </w:tr>
      <w:tr>
        <w:trPr>
          <w:cantSplit/>
        </w:trPr>
        <w:tc>
          <w:tcPr>
            <w:tcW w:w="1800" w:type="dxa"/>
            <w:tcMar>
              <w:top w:w="60" w:type="dxa"/>
              <w:start w:w="85" w:type="dxa"/>
              <w:bottom w:w="60" w:type="dxa"/>
              <w:end w:w="85" w:type="dxa"/>
            </w:tcMar>
          </w:tcPr>
          <w:p>
            <w:pPr>
              <w:pStyle w:val="BodyText"/>
              <w:spacing w:before="0" w:after="0" w:line="220" w:lineRule="auto"/>
            </w:pPr>
            <w:r>
              <w:t>CLI与可复用作品</w:t>
            </w:r>
          </w:p>
        </w:tc>
        <w:tc>
          <w:tcPr>
            <w:tcW w:w="3528" w:type="dxa"/>
            <w:tcMar>
              <w:top w:w="60" w:type="dxa"/>
              <w:start w:w="85" w:type="dxa"/>
              <w:bottom w:w="60" w:type="dxa"/>
              <w:end w:w="85" w:type="dxa"/>
            </w:tcMar>
          </w:tcPr>
          <w:p>
            <w:pPr>
              <w:pStyle w:val="BodyText"/>
              <w:spacing w:before="0" w:after="0" w:line="220" w:lineRule="auto"/>
            </w:pPr>
            <w:r>
              <w:t>领域命令、项目文件和可编辑蓝图</w:t>
            </w:r>
          </w:p>
        </w:tc>
        <w:tc>
          <w:tcPr>
            <w:tcW w:w="3622" w:type="dxa"/>
            <w:tcMar>
              <w:top w:w="60" w:type="dxa"/>
              <w:start w:w="85" w:type="dxa"/>
              <w:bottom w:w="60" w:type="dxa"/>
              <w:end w:w="85" w:type="dxa"/>
            </w:tcMar>
          </w:tcPr>
          <w:p>
            <w:pPr>
              <w:pStyle w:val="BodyText"/>
              <w:spacing w:before="0" w:after="0" w:line="220" w:lineRule="auto"/>
            </w:pPr>
            <w:r>
              <w:t>重复检查与准备作品，形成可分享创作起点</w:t>
            </w:r>
          </w:p>
        </w:tc>
      </w:tr>
    </w:tbl>
    <w:p>
      <w:pPr>
        <w:pStyle w:val="BodyText"/>
      </w:pPr>
      <w:r>
        <w:t>故事搭档的规则部分已有真实领域运行对照：相同输入因一个条件改变而走向不同分支，事件能定位到对应积木。[P2] 模型故事环节按教学设计扩展，把角色、任务和分支结果交给教师预选模型；已有产品模型与受控工具能力支持这一扩展，[P1][P3] 但不能把规则输出描述为模型生成故事或学生课堂成果。记忆和工具安排在学生能解释基本过程之后，避免首次活动同时承担过多概念。</w:t>
      </w:r>
    </w:p>
    <w:p>
      <w:pPr>
        <w:pStyle w:val="Heading2"/>
      </w:pPr>
      <w:bookmarkStart w:id="1003" w:name="_TocBlocky3"/>
      <w:r>
        <w:t>1.2 目标市场与需求判断</w:t>
      </w:r>
      <w:bookmarkEnd w:id="1003"/>
    </w:p>
    <w:p>
      <w:pPr>
        <w:pStyle w:val="BodyText"/>
      </w:pPr>
      <w:r>
        <w:t>本计划只把小学及面向小学年龄段、能组织创作活动的教育机构作为首批市场范围。学生是使用者，教师推动采用，机构决定采购。未取得可触达机构名单、地域、预算或真实转化数据，因此不估算全国付费市场规模，也不把所有学段的学校基数乘以合同均价。目标需求是组织可重复的Agent入门创作活动，当前需求强度仍待访谈。</w:t>
      </w:r>
    </w:p>
    <w:p>
      <w:pPr>
        <w:pStyle w:val="BodyText"/>
      </w:pPr>
      <w:r>
        <w:t>首批访谈对象为小学信息科技、科学实践及社团教师，优先寻找愿意组织高年级小学生小范围试用的负责人。高年级优先属于降低阅读负担的计划假设，不是用户适龄验证结论。每个潜在线索须核对教师、课时、Windows设备、模型条件、家校与机构许可及预算来源；没有这些条件的机构暂不进入服务排期。</w:t>
      </w:r>
    </w:p>
    <w:p>
      <w:pPr>
        <w:pStyle w:val="BodyText"/>
      </w:pPr>
      <w:r>
        <w:t>本计划不以全国学校数乘以统一报价作为销售目标。可服务市场应从具体地域和机构名单开始，依次核实课程负责人、设备网络、实际需求、预算来源和采购流程。2027年4份交付合同只是经营目标；4份合同不必然等于4所独立学校，同一机构的追加服务须独立确认范围且不得重复计收入。</w:t>
      </w:r>
    </w:p>
    <w:p>
      <w:pPr>
        <w:pStyle w:val="BodyText"/>
      </w:pPr>
      <w:r>
        <w:t>政策与课程背景支持将人工智能学习组织为具体任务。教育部2024年部署提出小学低年级侧重感知体验、高年级侧重理解应用，鼓励任务式和项目式学习；2026年行动计划继续推进中小学AI课程和跨学科实践。[S6][S7] 政策不证明学校一定采购本产品，商业判断仍需落到教师当前做法、操作障碍和预算流程。</w:t>
      </w:r>
    </w:p>
    <w:p>
      <w:pPr>
        <w:pStyle w:val="BodyText"/>
      </w:pPr>
      <w:r>
        <w:t>首批渠道优先选择小学信息科技教研联系、校内科学实践或社团负责教师，以及能组织小学活动的教育机构。教研渠道适合比较任务和听取复用意见，社团便于安排连续创作活动，机构能较早说明服务范围与采购条件。课程案例下载用于辅助发现需求；只有能确认角色、任务和下一次沟通的联系才进入有效名单。</w:t>
      </w:r>
    </w:p>
    <w:p>
      <w:pPr>
        <w:pStyle w:val="Tabletitle"/>
        <w:keepNext/>
      </w:pPr>
      <w:r>
        <w:t>Table 3. 需求访谈与匿名证据结构</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6"/>
        <w:gridCol w:w="3240"/>
        <w:gridCol w:w="4054"/>
      </w:tblGrid>
      <w:tr>
        <w:trPr>
          <w:cantSplit/>
          <w:tblHeader w:val="true"/>
        </w:trPr>
        <w:tc>
          <w:tcPr>
            <w:tcW w:w="1656" w:type="dxa"/>
            <w:tcMar>
              <w:top w:w="60" w:type="dxa"/>
              <w:start w:w="85" w:type="dxa"/>
              <w:bottom w:w="60" w:type="dxa"/>
              <w:end w:w="85" w:type="dxa"/>
            </w:tcMar>
          </w:tcPr>
          <w:p>
            <w:pPr>
              <w:pStyle w:val="BodyText"/>
              <w:spacing w:before="0" w:after="0" w:line="220" w:lineRule="auto"/>
            </w:pPr>
            <w:r>
              <w:t>问题维度</w:t>
            </w:r>
          </w:p>
        </w:tc>
        <w:tc>
          <w:tcPr>
            <w:tcW w:w="3240" w:type="dxa"/>
            <w:tcMar>
              <w:top w:w="60" w:type="dxa"/>
              <w:start w:w="85" w:type="dxa"/>
              <w:bottom w:w="60" w:type="dxa"/>
              <w:end w:w="85" w:type="dxa"/>
            </w:tcMar>
          </w:tcPr>
          <w:p>
            <w:pPr>
              <w:pStyle w:val="BodyText"/>
              <w:spacing w:before="0" w:after="0" w:line="220" w:lineRule="auto"/>
            </w:pPr>
            <w:r>
              <w:t>访谈问题</w:t>
            </w:r>
          </w:p>
        </w:tc>
        <w:tc>
          <w:tcPr>
            <w:tcW w:w="4054" w:type="dxa"/>
            <w:tcMar>
              <w:top w:w="60" w:type="dxa"/>
              <w:start w:w="85" w:type="dxa"/>
              <w:bottom w:w="60" w:type="dxa"/>
              <w:end w:w="85" w:type="dxa"/>
            </w:tcMar>
          </w:tcPr>
          <w:p>
            <w:pPr>
              <w:pStyle w:val="BodyText"/>
              <w:spacing w:before="0" w:after="0" w:line="220" w:lineRule="auto"/>
            </w:pPr>
            <w:r>
              <w:t>记录与判断</w:t>
            </w:r>
          </w:p>
        </w:tc>
      </w:tr>
      <w:tr>
        <w:trPr>
          <w:cantSplit/>
        </w:trPr>
        <w:tc>
          <w:tcPr>
            <w:tcW w:w="1656" w:type="dxa"/>
            <w:tcMar>
              <w:top w:w="60" w:type="dxa"/>
              <w:start w:w="85" w:type="dxa"/>
              <w:bottom w:w="60" w:type="dxa"/>
              <w:end w:w="85" w:type="dxa"/>
            </w:tcMar>
          </w:tcPr>
          <w:p>
            <w:pPr>
              <w:pStyle w:val="BodyText"/>
              <w:spacing w:before="0" w:after="0" w:line="220" w:lineRule="auto"/>
            </w:pPr>
            <w:r>
              <w:t>任务与现有工具</w:t>
            </w:r>
          </w:p>
        </w:tc>
        <w:tc>
          <w:tcPr>
            <w:tcW w:w="3240" w:type="dxa"/>
            <w:tcMar>
              <w:top w:w="60" w:type="dxa"/>
              <w:start w:w="85" w:type="dxa"/>
              <w:bottom w:w="60" w:type="dxa"/>
              <w:end w:w="85" w:type="dxa"/>
            </w:tcMar>
          </w:tcPr>
          <w:p>
            <w:pPr>
              <w:pStyle w:val="BodyText"/>
              <w:spacing w:before="0" w:after="0" w:line="220" w:lineRule="auto"/>
            </w:pPr>
            <w:r>
              <w:t>最近一次AI或编程活动让学生做什么？</w:t>
            </w:r>
          </w:p>
        </w:tc>
        <w:tc>
          <w:tcPr>
            <w:tcW w:w="4054" w:type="dxa"/>
            <w:tcMar>
              <w:top w:w="60" w:type="dxa"/>
              <w:start w:w="85" w:type="dxa"/>
              <w:bottom w:w="60" w:type="dxa"/>
              <w:end w:w="85" w:type="dxa"/>
            </w:tcMar>
          </w:tcPr>
          <w:p>
            <w:pPr>
              <w:pStyle w:val="BodyText"/>
              <w:spacing w:before="0" w:after="0" w:line="220" w:lineRule="auto"/>
            </w:pPr>
            <w:r>
              <w:t>记录年级、人数、课时、作品及现用工具，定位具体任务</w:t>
            </w:r>
          </w:p>
        </w:tc>
      </w:tr>
      <w:tr>
        <w:trPr>
          <w:cantSplit/>
        </w:trPr>
        <w:tc>
          <w:tcPr>
            <w:tcW w:w="1656" w:type="dxa"/>
            <w:tcMar>
              <w:top w:w="60" w:type="dxa"/>
              <w:start w:w="85" w:type="dxa"/>
              <w:bottom w:w="60" w:type="dxa"/>
              <w:end w:w="85" w:type="dxa"/>
            </w:tcMar>
          </w:tcPr>
          <w:p>
            <w:pPr>
              <w:pStyle w:val="BodyText"/>
              <w:spacing w:before="0" w:after="0" w:line="220" w:lineRule="auto"/>
            </w:pPr>
            <w:r>
              <w:t>学习障碍</w:t>
            </w:r>
          </w:p>
        </w:tc>
        <w:tc>
          <w:tcPr>
            <w:tcW w:w="3240" w:type="dxa"/>
            <w:tcMar>
              <w:top w:w="60" w:type="dxa"/>
              <w:start w:w="85" w:type="dxa"/>
              <w:bottom w:w="60" w:type="dxa"/>
              <w:end w:w="85" w:type="dxa"/>
            </w:tcMar>
          </w:tcPr>
          <w:p>
            <w:pPr>
              <w:pStyle w:val="BodyText"/>
              <w:spacing w:before="0" w:after="0" w:line="220" w:lineRule="auto"/>
            </w:pPr>
            <w:r>
              <w:t>学生在哪一步需要提示或代操作？</w:t>
            </w:r>
          </w:p>
        </w:tc>
        <w:tc>
          <w:tcPr>
            <w:tcW w:w="4054" w:type="dxa"/>
            <w:tcMar>
              <w:top w:w="60" w:type="dxa"/>
              <w:start w:w="85" w:type="dxa"/>
              <w:bottom w:w="60" w:type="dxa"/>
              <w:end w:w="85" w:type="dxa"/>
            </w:tcMar>
          </w:tcPr>
          <w:p>
            <w:pPr>
              <w:pStyle w:val="BodyText"/>
              <w:spacing w:before="0" w:after="0" w:line="220" w:lineRule="auto"/>
            </w:pPr>
            <w:r>
              <w:t>保留匿名原话、失败步骤和帮助等级，不把教师意见当成学生结果</w:t>
            </w:r>
          </w:p>
        </w:tc>
      </w:tr>
      <w:tr>
        <w:trPr>
          <w:cantSplit/>
        </w:trPr>
        <w:tc>
          <w:tcPr>
            <w:tcW w:w="1656" w:type="dxa"/>
            <w:tcMar>
              <w:top w:w="60" w:type="dxa"/>
              <w:start w:w="85" w:type="dxa"/>
              <w:bottom w:w="60" w:type="dxa"/>
              <w:end w:w="85" w:type="dxa"/>
            </w:tcMar>
          </w:tcPr>
          <w:p>
            <w:pPr>
              <w:pStyle w:val="BodyText"/>
              <w:spacing w:before="0" w:after="0" w:line="220" w:lineRule="auto"/>
            </w:pPr>
            <w:r>
              <w:t>组织与复用</w:t>
            </w:r>
          </w:p>
        </w:tc>
        <w:tc>
          <w:tcPr>
            <w:tcW w:w="3240" w:type="dxa"/>
            <w:tcMar>
              <w:top w:w="60" w:type="dxa"/>
              <w:start w:w="85" w:type="dxa"/>
              <w:bottom w:w="60" w:type="dxa"/>
              <w:end w:w="85" w:type="dxa"/>
            </w:tcMar>
          </w:tcPr>
          <w:p>
            <w:pPr>
              <w:pStyle w:val="BodyText"/>
              <w:spacing w:before="0" w:after="0" w:line="220" w:lineRule="auto"/>
            </w:pPr>
            <w:r>
              <w:t>准备、分发、收集和再开课各需多久？</w:t>
            </w:r>
          </w:p>
        </w:tc>
        <w:tc>
          <w:tcPr>
            <w:tcW w:w="4054" w:type="dxa"/>
            <w:tcMar>
              <w:top w:w="60" w:type="dxa"/>
              <w:start w:w="85" w:type="dxa"/>
              <w:bottom w:w="60" w:type="dxa"/>
              <w:end w:w="85" w:type="dxa"/>
            </w:tcMar>
          </w:tcPr>
          <w:p>
            <w:pPr>
              <w:pStyle w:val="BodyText"/>
              <w:spacing w:before="0" w:after="0" w:line="220" w:lineRule="auto"/>
            </w:pPr>
            <w:r>
              <w:t>记录耗时与可复用资产，判断是否值得准备服务</w:t>
            </w:r>
          </w:p>
        </w:tc>
      </w:tr>
      <w:tr>
        <w:trPr>
          <w:cantSplit/>
        </w:trPr>
        <w:tc>
          <w:tcPr>
            <w:tcW w:w="1656" w:type="dxa"/>
            <w:tcMar>
              <w:top w:w="60" w:type="dxa"/>
              <w:start w:w="85" w:type="dxa"/>
              <w:bottom w:w="60" w:type="dxa"/>
              <w:end w:w="85" w:type="dxa"/>
            </w:tcMar>
          </w:tcPr>
          <w:p>
            <w:pPr>
              <w:pStyle w:val="BodyText"/>
              <w:spacing w:before="0" w:after="0" w:line="220" w:lineRule="auto"/>
            </w:pPr>
            <w:r>
              <w:t>采购与约束</w:t>
            </w:r>
          </w:p>
        </w:tc>
        <w:tc>
          <w:tcPr>
            <w:tcW w:w="3240" w:type="dxa"/>
            <w:tcMar>
              <w:top w:w="60" w:type="dxa"/>
              <w:start w:w="85" w:type="dxa"/>
              <w:bottom w:w="60" w:type="dxa"/>
              <w:end w:w="85" w:type="dxa"/>
            </w:tcMar>
          </w:tcPr>
          <w:p>
            <w:pPr>
              <w:pStyle w:val="BodyText"/>
              <w:spacing w:before="0" w:after="0" w:line="220" w:lineRule="auto"/>
            </w:pPr>
            <w:r>
              <w:t>谁审教学、设备、预算与付款？</w:t>
            </w:r>
          </w:p>
        </w:tc>
        <w:tc>
          <w:tcPr>
            <w:tcW w:w="4054" w:type="dxa"/>
            <w:tcMar>
              <w:top w:w="60" w:type="dxa"/>
              <w:start w:w="85" w:type="dxa"/>
              <w:bottom w:w="60" w:type="dxa"/>
              <w:end w:w="85" w:type="dxa"/>
            </w:tcMar>
          </w:tcPr>
          <w:p>
            <w:pPr>
              <w:pStyle w:val="BodyText"/>
              <w:spacing w:before="0" w:after="0" w:line="220" w:lineRule="auto"/>
            </w:pPr>
            <w:r>
              <w:t>记录角色、预算类别、审批周期和设备限制</w:t>
            </w:r>
          </w:p>
        </w:tc>
      </w:tr>
      <w:tr>
        <w:trPr>
          <w:cantSplit/>
        </w:trPr>
        <w:tc>
          <w:tcPr>
            <w:tcW w:w="1656" w:type="dxa"/>
            <w:tcMar>
              <w:top w:w="60" w:type="dxa"/>
              <w:start w:w="85" w:type="dxa"/>
              <w:bottom w:w="60" w:type="dxa"/>
              <w:end w:w="85" w:type="dxa"/>
            </w:tcMar>
          </w:tcPr>
          <w:p>
            <w:pPr>
              <w:pStyle w:val="BodyText"/>
              <w:spacing w:before="0" w:after="0" w:line="220" w:lineRule="auto"/>
            </w:pPr>
            <w:r>
              <w:t>下一步行动</w:t>
            </w:r>
          </w:p>
        </w:tc>
        <w:tc>
          <w:tcPr>
            <w:tcW w:w="3240" w:type="dxa"/>
            <w:tcMar>
              <w:top w:w="60" w:type="dxa"/>
              <w:start w:w="85" w:type="dxa"/>
              <w:bottom w:w="60" w:type="dxa"/>
              <w:end w:w="85" w:type="dxa"/>
            </w:tcMar>
          </w:tcPr>
          <w:p>
            <w:pPr>
              <w:pStyle w:val="BodyText"/>
              <w:spacing w:before="0" w:after="0" w:line="220" w:lineRule="auto"/>
            </w:pPr>
            <w:r>
              <w:t>愿否看演示、组织试用或独立复用？</w:t>
            </w:r>
          </w:p>
        </w:tc>
        <w:tc>
          <w:tcPr>
            <w:tcW w:w="4054" w:type="dxa"/>
            <w:tcMar>
              <w:top w:w="60" w:type="dxa"/>
              <w:start w:w="85" w:type="dxa"/>
              <w:bottom w:w="60" w:type="dxa"/>
              <w:end w:w="85" w:type="dxa"/>
            </w:tcMar>
          </w:tcPr>
          <w:p>
            <w:pPr>
              <w:pStyle w:val="BodyText"/>
              <w:spacing w:before="0" w:after="0" w:line="220" w:lineRule="auto"/>
            </w:pPr>
            <w:r>
              <w:t>记录约定日期、所需条件及拒绝原因，区分兴趣与实际安排</w:t>
            </w:r>
          </w:p>
        </w:tc>
      </w:tr>
    </w:tbl>
    <w:p>
      <w:pPr>
        <w:pStyle w:val="BodyText"/>
      </w:pPr>
      <w:r>
        <w:t>Table 3（表3）规定每次访谈保存匿名编号、日期、渠道、对方角色、同意使用范围、任务描述和后续动作。拟访谈至少10位教师，优先覆盖不同组织条件；访谈数量反映采证范围，不形成总体满意率。地区由可落实的合作联系决定，不假设全国覆盖或未经确认的合作学校。</w:t>
      </w:r>
    </w:p>
    <w:p>
      <w:pPr>
        <w:pStyle w:val="Heading2"/>
      </w:pPr>
      <w:bookmarkStart w:id="1004" w:name="_TocBlocky4"/>
      <w:r>
        <w:t>1.3 竞争与产品定位</w:t>
      </w:r>
      <w:bookmarkEnd w:id="1004"/>
    </w:p>
    <w:p>
      <w:pPr>
        <w:pStyle w:val="BodyText"/>
      </w:pPr>
      <w:r>
        <w:t>Scratch的入门作品和创作学习资源提供了先读懂再改造的参照。[S2] Blocks Builder AI公开提供积木AI相关能力，并采用个人免费、教育机构洽谈的路径，是直接教育竞品。[S3][S4] 本计划不声称上述竞品已有或没有某项教学成效。Dify等专业AI平台只作为替代路线，用于区分应用工程与小学创作入门。[S5] Table 4（表4）比较各条路线与本项目需验证的价值。</w:t>
      </w:r>
    </w:p>
    <w:p>
      <w:pPr>
        <w:pStyle w:val="Tabletitle"/>
        <w:keepNext/>
      </w:pPr>
      <w:r>
        <w:t>Table 4. 同一Agent创作任务的工具选择</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12"/>
        <w:gridCol w:w="2592"/>
        <w:gridCol w:w="2736"/>
        <w:gridCol w:w="2110"/>
      </w:tblGrid>
      <w:tr>
        <w:trPr>
          <w:cantSplit/>
          <w:tblHeader w:val="true"/>
        </w:trPr>
        <w:tc>
          <w:tcPr>
            <w:tcW w:w="1512" w:type="dxa"/>
            <w:tcMar>
              <w:top w:w="60" w:type="dxa"/>
              <w:start w:w="85" w:type="dxa"/>
              <w:bottom w:w="60" w:type="dxa"/>
              <w:end w:w="85" w:type="dxa"/>
            </w:tcMar>
          </w:tcPr>
          <w:p>
            <w:pPr>
              <w:pStyle w:val="BodyText"/>
              <w:spacing w:before="0" w:after="0" w:line="220" w:lineRule="auto"/>
            </w:pPr>
            <w:r>
              <w:t>工具</w:t>
            </w:r>
          </w:p>
        </w:tc>
        <w:tc>
          <w:tcPr>
            <w:tcW w:w="2592" w:type="dxa"/>
            <w:tcMar>
              <w:top w:w="60" w:type="dxa"/>
              <w:start w:w="85" w:type="dxa"/>
              <w:bottom w:w="60" w:type="dxa"/>
              <w:end w:w="85" w:type="dxa"/>
            </w:tcMar>
          </w:tcPr>
          <w:p>
            <w:pPr>
              <w:pStyle w:val="BodyText"/>
              <w:spacing w:before="0" w:after="0" w:line="220" w:lineRule="auto"/>
            </w:pPr>
            <w:r>
              <w:t>读取与改造</w:t>
            </w:r>
          </w:p>
        </w:tc>
        <w:tc>
          <w:tcPr>
            <w:tcW w:w="2736" w:type="dxa"/>
            <w:tcMar>
              <w:top w:w="60" w:type="dxa"/>
              <w:start w:w="85" w:type="dxa"/>
              <w:bottom w:w="60" w:type="dxa"/>
              <w:end w:w="85" w:type="dxa"/>
            </w:tcMar>
          </w:tcPr>
          <w:p>
            <w:pPr>
              <w:pStyle w:val="BodyText"/>
              <w:spacing w:before="0" w:after="0" w:line="220" w:lineRule="auto"/>
            </w:pPr>
            <w:r>
              <w:t>执行与解释</w:t>
            </w:r>
          </w:p>
        </w:tc>
        <w:tc>
          <w:tcPr>
            <w:tcW w:w="2110" w:type="dxa"/>
            <w:tcMar>
              <w:top w:w="60" w:type="dxa"/>
              <w:start w:w="85" w:type="dxa"/>
              <w:bottom w:w="60" w:type="dxa"/>
              <w:end w:w="85" w:type="dxa"/>
            </w:tcMar>
          </w:tcPr>
          <w:p>
            <w:pPr>
              <w:pStyle w:val="BodyText"/>
              <w:spacing w:before="0" w:after="0" w:line="220" w:lineRule="auto"/>
            </w:pPr>
            <w:r>
              <w:t>教师组织路径</w:t>
            </w:r>
          </w:p>
        </w:tc>
      </w:tr>
      <w:tr>
        <w:trPr>
          <w:cantSplit/>
        </w:trPr>
        <w:tc>
          <w:tcPr>
            <w:tcW w:w="1512" w:type="dxa"/>
            <w:tcMar>
              <w:top w:w="60" w:type="dxa"/>
              <w:start w:w="85" w:type="dxa"/>
              <w:bottom w:w="60" w:type="dxa"/>
              <w:end w:w="85" w:type="dxa"/>
            </w:tcMar>
          </w:tcPr>
          <w:p>
            <w:pPr>
              <w:pStyle w:val="BodyText"/>
              <w:spacing w:before="0" w:after="0" w:line="220" w:lineRule="auto"/>
            </w:pPr>
            <w:r>
              <w:t>Scratch [S2]</w:t>
            </w:r>
          </w:p>
        </w:tc>
        <w:tc>
          <w:tcPr>
            <w:tcW w:w="2592" w:type="dxa"/>
            <w:tcMar>
              <w:top w:w="60" w:type="dxa"/>
              <w:start w:w="85" w:type="dxa"/>
              <w:bottom w:w="60" w:type="dxa"/>
              <w:end w:w="85" w:type="dxa"/>
            </w:tcMar>
          </w:tcPr>
          <w:p>
            <w:pPr>
              <w:pStyle w:val="BodyText"/>
              <w:spacing w:before="0" w:after="0" w:line="220" w:lineRule="auto"/>
            </w:pPr>
            <w:r>
              <w:t>公开起始项目支持查看与改编；比较创作思路</w:t>
            </w:r>
          </w:p>
        </w:tc>
        <w:tc>
          <w:tcPr>
            <w:tcW w:w="2736" w:type="dxa"/>
            <w:tcMar>
              <w:top w:w="60" w:type="dxa"/>
              <w:start w:w="85" w:type="dxa"/>
              <w:bottom w:w="60" w:type="dxa"/>
              <w:end w:w="85" w:type="dxa"/>
            </w:tcMar>
          </w:tcPr>
          <w:p>
            <w:pPr>
              <w:pStyle w:val="BodyText"/>
              <w:spacing w:before="0" w:after="0" w:line="220" w:lineRule="auto"/>
            </w:pPr>
            <w:r>
              <w:t>围绕程序行为学习；Agent模型与工具需另行设计</w:t>
            </w:r>
          </w:p>
        </w:tc>
        <w:tc>
          <w:tcPr>
            <w:tcW w:w="2110" w:type="dxa"/>
            <w:tcMar>
              <w:top w:w="60" w:type="dxa"/>
              <w:start w:w="85" w:type="dxa"/>
              <w:bottom w:w="60" w:type="dxa"/>
              <w:end w:w="85" w:type="dxa"/>
            </w:tcMar>
          </w:tcPr>
          <w:p>
            <w:pPr>
              <w:pStyle w:val="BodyText"/>
              <w:spacing w:before="0" w:after="0" w:line="220" w:lineRule="auto"/>
            </w:pPr>
            <w:r>
              <w:t>起始项目与教学资源可用于组织活动</w:t>
            </w:r>
          </w:p>
        </w:tc>
      </w:tr>
      <w:tr>
        <w:trPr>
          <w:cantSplit/>
        </w:trPr>
        <w:tc>
          <w:tcPr>
            <w:tcW w:w="1512" w:type="dxa"/>
            <w:tcMar>
              <w:top w:w="60" w:type="dxa"/>
              <w:start w:w="85" w:type="dxa"/>
              <w:bottom w:w="60" w:type="dxa"/>
              <w:end w:w="85" w:type="dxa"/>
            </w:tcMar>
          </w:tcPr>
          <w:p>
            <w:pPr>
              <w:pStyle w:val="BodyText"/>
              <w:spacing w:before="0" w:after="0" w:line="220" w:lineRule="auto"/>
            </w:pPr>
            <w:r>
              <w:t>Blocks Builder AI [S3][S4]</w:t>
            </w:r>
          </w:p>
        </w:tc>
        <w:tc>
          <w:tcPr>
            <w:tcW w:w="2592" w:type="dxa"/>
            <w:tcMar>
              <w:top w:w="60" w:type="dxa"/>
              <w:start w:w="85" w:type="dxa"/>
              <w:bottom w:w="60" w:type="dxa"/>
              <w:end w:w="85" w:type="dxa"/>
            </w:tcMar>
          </w:tcPr>
          <w:p>
            <w:pPr>
              <w:pStyle w:val="BodyText"/>
              <w:spacing w:before="0" w:after="0" w:line="220" w:lineRule="auto"/>
            </w:pPr>
            <w:r>
              <w:t>公开积木类别含模型、提示词、上下文、输出、交互与控制</w:t>
            </w:r>
          </w:p>
        </w:tc>
        <w:tc>
          <w:tcPr>
            <w:tcW w:w="2736" w:type="dxa"/>
            <w:tcMar>
              <w:top w:w="60" w:type="dxa"/>
              <w:start w:w="85" w:type="dxa"/>
              <w:bottom w:w="60" w:type="dxa"/>
              <w:end w:w="85" w:type="dxa"/>
            </w:tcMar>
          </w:tcPr>
          <w:p>
            <w:pPr>
              <w:pStyle w:val="BodyText"/>
              <w:spacing w:before="0" w:after="0" w:line="220" w:lineRule="auto"/>
            </w:pPr>
            <w:r>
              <w:t>内置聊天测试、即时反馈与输出历史；同任务尚需实操比较</w:t>
            </w:r>
          </w:p>
        </w:tc>
        <w:tc>
          <w:tcPr>
            <w:tcW w:w="2110" w:type="dxa"/>
            <w:tcMar>
              <w:top w:w="60" w:type="dxa"/>
              <w:start w:w="85" w:type="dxa"/>
              <w:bottom w:w="60" w:type="dxa"/>
              <w:end w:w="85" w:type="dxa"/>
            </w:tcMar>
          </w:tcPr>
          <w:p>
            <w:pPr>
              <w:pStyle w:val="BodyText"/>
              <w:spacing w:before="0" w:after="0" w:line="220" w:lineRule="auto"/>
            </w:pPr>
            <w:r>
              <w:t>个人免费；机构方案含账号、课堂管理、进度分析及课程支持</w:t>
            </w:r>
          </w:p>
        </w:tc>
      </w:tr>
      <w:tr>
        <w:trPr>
          <w:cantSplit/>
        </w:trPr>
        <w:tc>
          <w:tcPr>
            <w:tcW w:w="1512" w:type="dxa"/>
            <w:tcMar>
              <w:top w:w="60" w:type="dxa"/>
              <w:start w:w="85" w:type="dxa"/>
              <w:bottom w:w="60" w:type="dxa"/>
              <w:end w:w="85" w:type="dxa"/>
            </w:tcMar>
          </w:tcPr>
          <w:p>
            <w:pPr>
              <w:pStyle w:val="BodyText"/>
              <w:spacing w:before="0" w:after="0" w:line="220" w:lineRule="auto"/>
            </w:pPr>
            <w:r>
              <w:t>Dify [S5]</w:t>
            </w:r>
          </w:p>
        </w:tc>
        <w:tc>
          <w:tcPr>
            <w:tcW w:w="2592" w:type="dxa"/>
            <w:tcMar>
              <w:top w:w="60" w:type="dxa"/>
              <w:start w:w="85" w:type="dxa"/>
              <w:bottom w:w="60" w:type="dxa"/>
              <w:end w:w="85" w:type="dxa"/>
            </w:tcMar>
          </w:tcPr>
          <w:p>
            <w:pPr>
              <w:pStyle w:val="BodyText"/>
              <w:spacing w:before="0" w:after="0" w:line="220" w:lineRule="auto"/>
            </w:pPr>
            <w:r>
              <w:t>公开教育方案围绕AI应用构建</w:t>
            </w:r>
          </w:p>
        </w:tc>
        <w:tc>
          <w:tcPr>
            <w:tcW w:w="2736" w:type="dxa"/>
            <w:tcMar>
              <w:top w:w="60" w:type="dxa"/>
              <w:start w:w="85" w:type="dxa"/>
              <w:bottom w:w="60" w:type="dxa"/>
              <w:end w:w="85" w:type="dxa"/>
            </w:tcMar>
          </w:tcPr>
          <w:p>
            <w:pPr>
              <w:pStyle w:val="BodyText"/>
              <w:spacing w:before="0" w:after="0" w:line="220" w:lineRule="auto"/>
            </w:pPr>
            <w:r>
              <w:t>适合作为应用流程对照，具体任务需演示核对</w:t>
            </w:r>
          </w:p>
        </w:tc>
        <w:tc>
          <w:tcPr>
            <w:tcW w:w="2110" w:type="dxa"/>
            <w:tcMar>
              <w:top w:w="60" w:type="dxa"/>
              <w:start w:w="85" w:type="dxa"/>
              <w:bottom w:w="60" w:type="dxa"/>
              <w:end w:w="85" w:type="dxa"/>
            </w:tcMar>
          </w:tcPr>
          <w:p>
            <w:pPr>
              <w:pStyle w:val="BodyText"/>
              <w:spacing w:before="0" w:after="0" w:line="220" w:lineRule="auto"/>
            </w:pPr>
            <w:r>
              <w:t>教育合作公开入口，学校实际流程由双方确认</w:t>
            </w:r>
          </w:p>
        </w:tc>
      </w:tr>
      <w:tr>
        <w:trPr>
          <w:cantSplit/>
        </w:trPr>
        <w:tc>
          <w:tcPr>
            <w:tcW w:w="1512" w:type="dxa"/>
            <w:tcMar>
              <w:top w:w="60" w:type="dxa"/>
              <w:start w:w="85" w:type="dxa"/>
              <w:bottom w:w="60" w:type="dxa"/>
              <w:end w:w="85" w:type="dxa"/>
            </w:tcMar>
          </w:tcPr>
          <w:p>
            <w:pPr>
              <w:pStyle w:val="BodyText"/>
              <w:spacing w:before="0" w:after="0" w:line="220" w:lineRule="auto"/>
            </w:pPr>
            <w:r>
              <w:t>Tynker [S8][S9][S10]</w:t>
            </w:r>
          </w:p>
        </w:tc>
        <w:tc>
          <w:tcPr>
            <w:tcW w:w="2592" w:type="dxa"/>
            <w:tcMar>
              <w:top w:w="60" w:type="dxa"/>
              <w:start w:w="85" w:type="dxa"/>
              <w:bottom w:w="60" w:type="dxa"/>
              <w:end w:w="85" w:type="dxa"/>
            </w:tcMar>
          </w:tcPr>
          <w:p>
            <w:pPr>
              <w:pStyle w:val="BodyText"/>
              <w:spacing w:before="0" w:after="0" w:line="220" w:lineRule="auto"/>
            </w:pPr>
            <w:r>
              <w:t>K12编程课程与作品资源；本稿未作同Agent任务实操</w:t>
            </w:r>
          </w:p>
        </w:tc>
        <w:tc>
          <w:tcPr>
            <w:tcW w:w="2736" w:type="dxa"/>
            <w:tcMar>
              <w:top w:w="60" w:type="dxa"/>
              <w:start w:w="85" w:type="dxa"/>
              <w:bottom w:w="60" w:type="dxa"/>
              <w:end w:w="85" w:type="dxa"/>
            </w:tcMar>
          </w:tcPr>
          <w:p>
            <w:pPr>
              <w:pStyle w:val="BodyText"/>
              <w:spacing w:before="0" w:after="0" w:line="220" w:lineRule="auto"/>
            </w:pPr>
            <w:r>
              <w:t>公开自动评分、学生指标和学校进度功能</w:t>
            </w:r>
          </w:p>
        </w:tc>
        <w:tc>
          <w:tcPr>
            <w:tcW w:w="2110" w:type="dxa"/>
            <w:tcMar>
              <w:top w:w="60" w:type="dxa"/>
              <w:start w:w="85" w:type="dxa"/>
              <w:bottom w:w="60" w:type="dxa"/>
              <w:end w:w="85" w:type="dxa"/>
            </w:tcMar>
          </w:tcPr>
          <w:p>
            <w:pPr>
              <w:pStyle w:val="BodyText"/>
              <w:spacing w:before="0" w:after="0" w:line="220" w:lineRule="auto"/>
            </w:pPr>
            <w:r>
              <w:t>学校按人数与需求定制；课堂课程有30学生许可证样例</w:t>
            </w:r>
          </w:p>
        </w:tc>
      </w:tr>
      <w:tr>
        <w:trPr>
          <w:cantSplit/>
        </w:trPr>
        <w:tc>
          <w:tcPr>
            <w:tcW w:w="1512" w:type="dxa"/>
            <w:tcMar>
              <w:top w:w="60" w:type="dxa"/>
              <w:start w:w="85" w:type="dxa"/>
              <w:bottom w:w="60" w:type="dxa"/>
              <w:end w:w="85" w:type="dxa"/>
            </w:tcMar>
          </w:tcPr>
          <w:p>
            <w:pPr>
              <w:pStyle w:val="BodyText"/>
              <w:spacing w:before="0" w:after="0" w:line="220" w:lineRule="auto"/>
            </w:pPr>
            <w:r>
              <w:t>Blocky [P1][P2][P3]</w:t>
            </w:r>
          </w:p>
        </w:tc>
        <w:tc>
          <w:tcPr>
            <w:tcW w:w="2592" w:type="dxa"/>
            <w:tcMar>
              <w:top w:w="60" w:type="dxa"/>
              <w:start w:w="85" w:type="dxa"/>
              <w:bottom w:w="60" w:type="dxa"/>
              <w:end w:w="85" w:type="dxa"/>
            </w:tcMar>
          </w:tcPr>
          <w:p>
            <w:pPr>
              <w:pStyle w:val="BodyText"/>
              <w:spacing w:before="0" w:after="0" w:line="220" w:lineRule="auto"/>
            </w:pPr>
            <w:r>
              <w:t>嵌套Agent作品可编辑、保存和再运行</w:t>
            </w:r>
          </w:p>
        </w:tc>
        <w:tc>
          <w:tcPr>
            <w:tcW w:w="2736" w:type="dxa"/>
            <w:tcMar>
              <w:top w:w="60" w:type="dxa"/>
              <w:start w:w="85" w:type="dxa"/>
              <w:bottom w:w="60" w:type="dxa"/>
              <w:end w:w="85" w:type="dxa"/>
            </w:tcMar>
          </w:tcPr>
          <w:p>
            <w:pPr>
              <w:pStyle w:val="BodyText"/>
              <w:spacing w:before="0" w:after="0" w:line="220" w:lineRule="auto"/>
            </w:pPr>
            <w:r>
              <w:t>积木与运行事件对应；规则修改已有真实对照</w:t>
            </w:r>
          </w:p>
        </w:tc>
        <w:tc>
          <w:tcPr>
            <w:tcW w:w="2110" w:type="dxa"/>
            <w:tcMar>
              <w:top w:w="60" w:type="dxa"/>
              <w:start w:w="85" w:type="dxa"/>
              <w:bottom w:w="60" w:type="dxa"/>
              <w:end w:w="85" w:type="dxa"/>
            </w:tcMar>
          </w:tcPr>
          <w:p>
            <w:pPr>
              <w:pStyle w:val="BodyText"/>
              <w:spacing w:before="0" w:after="0" w:line="220" w:lineRule="auto"/>
            </w:pPr>
            <w:r>
              <w:t>以作品包、教师培训与配置支持组织小学活动</w:t>
            </w:r>
          </w:p>
        </w:tc>
      </w:tr>
    </w:tbl>
    <w:p>
      <w:pPr>
        <w:pStyle w:val="BodyText"/>
      </w:pPr>
      <w:r>
        <w:t>Blocky需要验证的是：孩子能否通过嵌套作品和积木对应轨迹解释一个Agent的组成与行为，教师能否独立复用这套活动。“积木审阅”是待验证的产品价值，不构成对竞品的独占能力主张。免费和积木本身不能证明差异，Scratch在创作资源与成熟度方面是重要参照，直接教育竞品也覆盖积木AI。若现有免费工具更适合某位教师，服务应承认适配差异，不依靠未经核实的竞品弱点销售。</w:t>
      </w:r>
    </w:p>
    <w:p>
      <w:pPr>
        <w:pStyle w:val="BodyText"/>
      </w:pPr>
      <w:r>
        <w:t>Table 4（表4）采用同一任务：读懂故事角色，改一个条件，为新目标搭建，再解释运行。官方说明只用于确定比较范围，不能据此断言竞品缺少某项能力。拟请教师用相同输入、时间和帮助规则分别完成任务，记录准备时间、可修改部件、错误定位、作品重开和再次组织活动的成本。</w:t>
      </w:r>
    </w:p>
    <w:p>
      <w:pPr>
        <w:pStyle w:val="BodyText"/>
      </w:pPr>
      <w:r>
        <w:t>采用转换成本主要来自教师学习新工作台、准备资源、迁移既有课程和配置设备。Blocky应以可恢复项目、部件说明和教师独立复用降低这些成本，而不是要求教师重建全部课程。选择工具的依据是任务适配、过程可解释和复用成本，免费或积木形式本身不构成独占优势。</w:t>
      </w:r>
    </w:p>
    <w:p>
      <w:pPr>
        <w:pStyle w:val="Heading1"/>
      </w:pPr>
      <w:bookmarkStart w:id="1005" w:name="_TocBlocky5"/>
      <w:r>
        <w:t>2. 销售与客户服务</w:t>
      </w:r>
      <w:bookmarkEnd w:id="1005"/>
    </w:p>
    <w:p>
      <w:pPr>
        <w:pStyle w:val="BodyText"/>
      </w:pPr>
      <w:r>
        <w:t>商业模式由三条相互独立的路径组成：个人版完全开源和免费使用，机构组织后台与教育服务收费，外部模型算力单独订阅或按额度安排。社区积累可编辑作品和贡献，机构付费解决多人组织、教学管理和服务交付需求。每条路径都需独立说明交付范围、账户责任和成本，避免免费软件、人工服务与算力混成一个价格。</w:t>
      </w:r>
    </w:p>
    <w:p>
      <w:pPr>
        <w:pStyle w:val="Heading2"/>
      </w:pPr>
      <w:bookmarkStart w:id="1006" w:name="_TocBlocky6"/>
      <w:r>
        <w:t>2.1 客户角色与购买条件</w:t>
      </w:r>
      <w:bookmarkEnd w:id="1006"/>
    </w:p>
    <w:p>
      <w:pPr>
        <w:pStyle w:val="BodyText"/>
      </w:pPr>
      <w:r>
        <w:t>小学生需要少量可理解的部件、明确的修改目标和可比较的结果；教师需要准备作品、组织预测与改造、区分模型输出和规则行为；机构需要核对教学目标、设备、权限、采购主体和总费用。学生完成率不能替代教师复用，教师兴趣也不能替代机构付款意愿。每项试用分别记录三个角色的证据。</w:t>
      </w:r>
    </w:p>
    <w:p>
      <w:pPr>
        <w:pStyle w:val="BodyText"/>
      </w:pPr>
      <w:r>
        <w:t>教师在活动前完成作品运行、模型配置与内容检查，准备合成角色和不含学生个人信息的输入。活动中先示范结构，再要求学生预测、改一块、比较结果、自选任务并讲解，遇到失败回看积木轨迹。活动后的检查聚焦学生为何这样设计，而非自动评分。当前没有班级平台，教师组织与作品收集通过已允许的方法人工完成。</w:t>
      </w:r>
    </w:p>
    <w:p>
      <w:pPr>
        <w:pStyle w:val="BodyText"/>
      </w:pPr>
      <w:r>
        <w:t>机构采用需要把教学判断与付款判断连接起来。Table 5（表5）为拟议流程，实际合同前核对机构的决策角色、预算科目和要求；活动可以由教师发起，但付费交付只有在授权主体确认后才进入排期。</w:t>
      </w:r>
    </w:p>
    <w:p>
      <w:pPr>
        <w:pStyle w:val="Tabletitle"/>
        <w:keepNext/>
      </w:pPr>
      <w:r>
        <w:t>Table 5. 机构采用与采购流程</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84"/>
        <w:gridCol w:w="3888"/>
        <w:gridCol w:w="3478"/>
      </w:tblGrid>
      <w:tr>
        <w:trPr>
          <w:cantSplit/>
          <w:tblHeader w:val="true"/>
        </w:trPr>
        <w:tc>
          <w:tcPr>
            <w:tcW w:w="1584" w:type="dxa"/>
            <w:tcMar>
              <w:top w:w="60" w:type="dxa"/>
              <w:start w:w="85" w:type="dxa"/>
              <w:bottom w:w="60" w:type="dxa"/>
              <w:end w:w="85" w:type="dxa"/>
            </w:tcMar>
          </w:tcPr>
          <w:p>
            <w:pPr>
              <w:pStyle w:val="BodyText"/>
              <w:spacing w:before="0" w:after="0" w:line="220" w:lineRule="auto"/>
            </w:pPr>
            <w:r>
              <w:t>阶段</w:t>
            </w:r>
          </w:p>
        </w:tc>
        <w:tc>
          <w:tcPr>
            <w:tcW w:w="3888" w:type="dxa"/>
            <w:tcMar>
              <w:top w:w="60" w:type="dxa"/>
              <w:start w:w="85" w:type="dxa"/>
              <w:bottom w:w="60" w:type="dxa"/>
              <w:end w:w="85" w:type="dxa"/>
            </w:tcMar>
          </w:tcPr>
          <w:p>
            <w:pPr>
              <w:pStyle w:val="BodyText"/>
              <w:spacing w:before="0" w:after="0" w:line="220" w:lineRule="auto"/>
            </w:pPr>
            <w:r>
              <w:t>参与角色与材料</w:t>
            </w:r>
          </w:p>
        </w:tc>
        <w:tc>
          <w:tcPr>
            <w:tcW w:w="3478" w:type="dxa"/>
            <w:tcMar>
              <w:top w:w="60" w:type="dxa"/>
              <w:start w:w="85" w:type="dxa"/>
              <w:bottom w:w="60" w:type="dxa"/>
              <w:end w:w="85" w:type="dxa"/>
            </w:tcMar>
          </w:tcPr>
          <w:p>
            <w:pPr>
              <w:pStyle w:val="BodyText"/>
              <w:spacing w:before="0" w:after="0" w:line="220" w:lineRule="auto"/>
            </w:pPr>
            <w:r>
              <w:t>通过条件</w:t>
            </w:r>
          </w:p>
        </w:tc>
      </w:tr>
      <w:tr>
        <w:trPr>
          <w:cantSplit/>
        </w:trPr>
        <w:tc>
          <w:tcPr>
            <w:tcW w:w="1584" w:type="dxa"/>
            <w:tcMar>
              <w:top w:w="60" w:type="dxa"/>
              <w:start w:w="85" w:type="dxa"/>
              <w:bottom w:w="60" w:type="dxa"/>
              <w:end w:w="85" w:type="dxa"/>
            </w:tcMar>
          </w:tcPr>
          <w:p>
            <w:pPr>
              <w:pStyle w:val="BodyText"/>
              <w:spacing w:before="0" w:after="0" w:line="220" w:lineRule="auto"/>
            </w:pPr>
            <w:r>
              <w:t>任务确认</w:t>
            </w:r>
          </w:p>
        </w:tc>
        <w:tc>
          <w:tcPr>
            <w:tcW w:w="3888" w:type="dxa"/>
            <w:tcMar>
              <w:top w:w="60" w:type="dxa"/>
              <w:start w:w="85" w:type="dxa"/>
              <w:bottom w:w="60" w:type="dxa"/>
              <w:end w:w="85" w:type="dxa"/>
            </w:tcMar>
          </w:tcPr>
          <w:p>
            <w:pPr>
              <w:pStyle w:val="BodyText"/>
              <w:spacing w:before="0" w:after="0" w:line="220" w:lineRule="auto"/>
            </w:pPr>
            <w:r>
              <w:t>教师或教研负责人；课程目标与项目样例</w:t>
            </w:r>
          </w:p>
        </w:tc>
        <w:tc>
          <w:tcPr>
            <w:tcW w:w="3478" w:type="dxa"/>
            <w:tcMar>
              <w:top w:w="60" w:type="dxa"/>
              <w:start w:w="85" w:type="dxa"/>
              <w:bottom w:w="60" w:type="dxa"/>
              <w:end w:w="85" w:type="dxa"/>
            </w:tcMar>
          </w:tcPr>
          <w:p>
            <w:pPr>
              <w:pStyle w:val="BodyText"/>
              <w:spacing w:before="0" w:after="0" w:line="220" w:lineRule="auto"/>
            </w:pPr>
            <w:r>
              <w:t>确认年级、活动目标与可观察作品</w:t>
            </w:r>
          </w:p>
        </w:tc>
      </w:tr>
      <w:tr>
        <w:trPr>
          <w:cantSplit/>
        </w:trPr>
        <w:tc>
          <w:tcPr>
            <w:tcW w:w="1584" w:type="dxa"/>
            <w:tcMar>
              <w:top w:w="60" w:type="dxa"/>
              <w:start w:w="85" w:type="dxa"/>
              <w:bottom w:w="60" w:type="dxa"/>
              <w:end w:w="85" w:type="dxa"/>
            </w:tcMar>
          </w:tcPr>
          <w:p>
            <w:pPr>
              <w:pStyle w:val="BodyText"/>
              <w:spacing w:before="0" w:after="0" w:line="220" w:lineRule="auto"/>
            </w:pPr>
            <w:r>
              <w:t>设备与准入</w:t>
            </w:r>
          </w:p>
        </w:tc>
        <w:tc>
          <w:tcPr>
            <w:tcW w:w="3888" w:type="dxa"/>
            <w:tcMar>
              <w:top w:w="60" w:type="dxa"/>
              <w:start w:w="85" w:type="dxa"/>
              <w:bottom w:w="60" w:type="dxa"/>
              <w:end w:w="85" w:type="dxa"/>
            </w:tcMar>
          </w:tcPr>
          <w:p>
            <w:pPr>
              <w:pStyle w:val="BodyText"/>
              <w:spacing w:before="0" w:after="0" w:line="220" w:lineRule="auto"/>
            </w:pPr>
            <w:r>
              <w:t>设备或信息技术负责人；Windows检查与数据说明</w:t>
            </w:r>
          </w:p>
        </w:tc>
        <w:tc>
          <w:tcPr>
            <w:tcW w:w="3478" w:type="dxa"/>
            <w:tcMar>
              <w:top w:w="60" w:type="dxa"/>
              <w:start w:w="85" w:type="dxa"/>
              <w:bottom w:w="60" w:type="dxa"/>
              <w:end w:w="85" w:type="dxa"/>
            </w:tcMar>
          </w:tcPr>
          <w:p>
            <w:pPr>
              <w:pStyle w:val="BodyText"/>
              <w:spacing w:before="0" w:after="0" w:line="220" w:lineRule="auto"/>
            </w:pPr>
            <w:r>
              <w:t>可安装运行，模型网络和权限符合机构要求</w:t>
            </w:r>
          </w:p>
        </w:tc>
      </w:tr>
      <w:tr>
        <w:trPr>
          <w:cantSplit/>
        </w:trPr>
        <w:tc>
          <w:tcPr>
            <w:tcW w:w="1584" w:type="dxa"/>
            <w:tcMar>
              <w:top w:w="60" w:type="dxa"/>
              <w:start w:w="85" w:type="dxa"/>
              <w:bottom w:w="60" w:type="dxa"/>
              <w:end w:w="85" w:type="dxa"/>
            </w:tcMar>
          </w:tcPr>
          <w:p>
            <w:pPr>
              <w:pStyle w:val="BodyText"/>
              <w:spacing w:before="0" w:after="0" w:line="220" w:lineRule="auto"/>
            </w:pPr>
            <w:r>
              <w:t>活动与复用</w:t>
            </w:r>
          </w:p>
        </w:tc>
        <w:tc>
          <w:tcPr>
            <w:tcW w:w="3888" w:type="dxa"/>
            <w:tcMar>
              <w:top w:w="60" w:type="dxa"/>
              <w:start w:w="85" w:type="dxa"/>
              <w:bottom w:w="60" w:type="dxa"/>
              <w:end w:w="85" w:type="dxa"/>
            </w:tcMar>
          </w:tcPr>
          <w:p>
            <w:pPr>
              <w:pStyle w:val="BodyText"/>
              <w:spacing w:before="0" w:after="0" w:line="220" w:lineRule="auto"/>
            </w:pPr>
            <w:r>
              <w:t>组织教师；试用安排、教师指南与记录表</w:t>
            </w:r>
          </w:p>
        </w:tc>
        <w:tc>
          <w:tcPr>
            <w:tcW w:w="3478" w:type="dxa"/>
            <w:tcMar>
              <w:top w:w="60" w:type="dxa"/>
              <w:start w:w="85" w:type="dxa"/>
              <w:bottom w:w="60" w:type="dxa"/>
              <w:end w:w="85" w:type="dxa"/>
            </w:tcMar>
          </w:tcPr>
          <w:p>
            <w:pPr>
              <w:pStyle w:val="BodyText"/>
              <w:spacing w:before="0" w:after="0" w:line="220" w:lineRule="auto"/>
            </w:pPr>
            <w:r>
              <w:t>能独立准备和重开项目，明确支持需求</w:t>
            </w:r>
          </w:p>
        </w:tc>
      </w:tr>
      <w:tr>
        <w:trPr>
          <w:cantSplit/>
        </w:trPr>
        <w:tc>
          <w:tcPr>
            <w:tcW w:w="1584" w:type="dxa"/>
            <w:tcMar>
              <w:top w:w="60" w:type="dxa"/>
              <w:start w:w="85" w:type="dxa"/>
              <w:bottom w:w="60" w:type="dxa"/>
              <w:end w:w="85" w:type="dxa"/>
            </w:tcMar>
          </w:tcPr>
          <w:p>
            <w:pPr>
              <w:pStyle w:val="BodyText"/>
              <w:spacing w:before="0" w:after="0" w:line="220" w:lineRule="auto"/>
            </w:pPr>
            <w:r>
              <w:t>范围与预算</w:t>
            </w:r>
          </w:p>
        </w:tc>
        <w:tc>
          <w:tcPr>
            <w:tcW w:w="3888" w:type="dxa"/>
            <w:tcMar>
              <w:top w:w="60" w:type="dxa"/>
              <w:start w:w="85" w:type="dxa"/>
              <w:bottom w:w="60" w:type="dxa"/>
              <w:end w:w="85" w:type="dxa"/>
            </w:tcMar>
          </w:tcPr>
          <w:p>
            <w:pPr>
              <w:pStyle w:val="BodyText"/>
              <w:spacing w:before="0" w:after="0" w:line="220" w:lineRule="auto"/>
            </w:pPr>
            <w:r>
              <w:t>机构负责人及采购人员；服务清单、费用与付款计划</w:t>
            </w:r>
          </w:p>
        </w:tc>
        <w:tc>
          <w:tcPr>
            <w:tcW w:w="3478" w:type="dxa"/>
            <w:tcMar>
              <w:top w:w="60" w:type="dxa"/>
              <w:start w:w="85" w:type="dxa"/>
              <w:bottom w:w="60" w:type="dxa"/>
              <w:end w:w="85" w:type="dxa"/>
            </w:tcMar>
          </w:tcPr>
          <w:p>
            <w:pPr>
              <w:pStyle w:val="BodyText"/>
              <w:spacing w:before="0" w:after="0" w:line="220" w:lineRule="auto"/>
            </w:pPr>
            <w:r>
              <w:t>主体、范围、额度、验收和付款条件一致</w:t>
            </w:r>
          </w:p>
        </w:tc>
      </w:tr>
      <w:tr>
        <w:trPr>
          <w:cantSplit/>
        </w:trPr>
        <w:tc>
          <w:tcPr>
            <w:tcW w:w="1584" w:type="dxa"/>
            <w:tcMar>
              <w:top w:w="60" w:type="dxa"/>
              <w:start w:w="85" w:type="dxa"/>
              <w:bottom w:w="60" w:type="dxa"/>
              <w:end w:w="85" w:type="dxa"/>
            </w:tcMar>
          </w:tcPr>
          <w:p>
            <w:pPr>
              <w:pStyle w:val="BodyText"/>
              <w:spacing w:before="0" w:after="0" w:line="220" w:lineRule="auto"/>
            </w:pPr>
            <w:r>
              <w:t>交付与结算</w:t>
            </w:r>
          </w:p>
        </w:tc>
        <w:tc>
          <w:tcPr>
            <w:tcW w:w="3888" w:type="dxa"/>
            <w:tcMar>
              <w:top w:w="60" w:type="dxa"/>
              <w:start w:w="85" w:type="dxa"/>
              <w:bottom w:w="60" w:type="dxa"/>
              <w:end w:w="85" w:type="dxa"/>
            </w:tcMar>
          </w:tcPr>
          <w:p>
            <w:pPr>
              <w:pStyle w:val="BodyText"/>
              <w:spacing w:before="0" w:after="0" w:line="220" w:lineRule="auto"/>
            </w:pPr>
            <w:r>
              <w:t>教师、负责人及付款人员；交付资产和工时清单</w:t>
            </w:r>
          </w:p>
        </w:tc>
        <w:tc>
          <w:tcPr>
            <w:tcW w:w="3478" w:type="dxa"/>
            <w:tcMar>
              <w:top w:w="60" w:type="dxa"/>
              <w:start w:w="85" w:type="dxa"/>
              <w:bottom w:w="60" w:type="dxa"/>
              <w:end w:w="85" w:type="dxa"/>
            </w:tcMar>
          </w:tcPr>
          <w:p>
            <w:pPr>
              <w:pStyle w:val="BodyText"/>
              <w:spacing w:before="0" w:after="0" w:line="220" w:lineRule="auto"/>
            </w:pPr>
            <w:r>
              <w:t>按约定核对成果，记录变更并完成结算</w:t>
            </w:r>
          </w:p>
        </w:tc>
      </w:tr>
    </w:tbl>
    <w:p>
      <w:pPr>
        <w:pStyle w:val="Heading2"/>
      </w:pPr>
      <w:bookmarkStart w:id="1007" w:name="_TocBlocky7"/>
      <w:r>
        <w:t>2.2 试点教育服务与报价</w:t>
      </w:r>
      <w:bookmarkEnd w:id="1007"/>
    </w:p>
    <w:p>
      <w:pPr>
        <w:pStyle w:val="BodyText"/>
      </w:pPr>
      <w:r>
        <w:t>机构服务覆盖课程准备、教师培训、Windows配置检查及约定期限支持。个人版按完整功能免费方向持续开发；外部模型由机构自备账户或按合同约定额度承担费用；课程、部署、培训与支持按范围报价。Table 6（表6）给出A24服务设计样例，用于解释80小时预算如何对应实际交付，正式合同可调整活动、设备和支持规模。</w:t>
      </w:r>
    </w:p>
    <w:p>
      <w:pPr>
        <w:pStyle w:val="Tabletitle"/>
        <w:keepNext/>
      </w:pPr>
      <w:r>
        <w:t>Table 6. 机构服务设计样例A24</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5472"/>
        <w:gridCol w:w="1678"/>
      </w:tblGrid>
      <w:tr>
        <w:trPr>
          <w:cantSplit/>
          <w:tblHeader w:val="true"/>
        </w:trPr>
        <w:tc>
          <w:tcPr>
            <w:tcW w:w="1800" w:type="dxa"/>
            <w:tcMar>
              <w:top w:w="60" w:type="dxa"/>
              <w:start w:w="85" w:type="dxa"/>
              <w:bottom w:w="60" w:type="dxa"/>
              <w:end w:w="85" w:type="dxa"/>
            </w:tcMar>
          </w:tcPr>
          <w:p>
            <w:pPr>
              <w:pStyle w:val="BodyText"/>
              <w:spacing w:before="0" w:after="0" w:line="220" w:lineRule="auto"/>
            </w:pPr>
            <w:r>
              <w:t>范围</w:t>
            </w:r>
          </w:p>
        </w:tc>
        <w:tc>
          <w:tcPr>
            <w:tcW w:w="5472" w:type="dxa"/>
            <w:tcMar>
              <w:top w:w="60" w:type="dxa"/>
              <w:start w:w="85" w:type="dxa"/>
              <w:bottom w:w="60" w:type="dxa"/>
              <w:end w:w="85" w:type="dxa"/>
            </w:tcMar>
          </w:tcPr>
          <w:p>
            <w:pPr>
              <w:pStyle w:val="BodyText"/>
              <w:spacing w:before="0" w:after="0" w:line="220" w:lineRule="auto"/>
            </w:pPr>
            <w:r>
              <w:t>参考交付</w:t>
            </w:r>
          </w:p>
        </w:tc>
        <w:tc>
          <w:tcPr>
            <w:tcW w:w="1678" w:type="dxa"/>
            <w:tcMar>
              <w:top w:w="60" w:type="dxa"/>
              <w:start w:w="85" w:type="dxa"/>
              <w:bottom w:w="60" w:type="dxa"/>
              <w:end w:w="85" w:type="dxa"/>
            </w:tcMar>
          </w:tcPr>
          <w:p>
            <w:pPr>
              <w:pStyle w:val="BodyText"/>
              <w:spacing w:before="0" w:after="0" w:line="220" w:lineRule="auto"/>
            </w:pPr>
            <w:r>
              <w:t>工时预算（小时）</w:t>
            </w:r>
          </w:p>
        </w:tc>
      </w:tr>
      <w:tr>
        <w:trPr>
          <w:cantSplit/>
        </w:trPr>
        <w:tc>
          <w:tcPr>
            <w:tcW w:w="1800" w:type="dxa"/>
            <w:tcMar>
              <w:top w:w="60" w:type="dxa"/>
              <w:start w:w="85" w:type="dxa"/>
              <w:bottom w:w="60" w:type="dxa"/>
              <w:end w:w="85" w:type="dxa"/>
            </w:tcMar>
          </w:tcPr>
          <w:p>
            <w:pPr>
              <w:pStyle w:val="BodyText"/>
              <w:spacing w:before="0" w:after="0" w:line="220" w:lineRule="auto"/>
            </w:pPr>
            <w:r>
              <w:t>教学作品准备</w:t>
            </w:r>
          </w:p>
        </w:tc>
        <w:tc>
          <w:tcPr>
            <w:tcW w:w="5472" w:type="dxa"/>
            <w:tcMar>
              <w:top w:w="60" w:type="dxa"/>
              <w:start w:w="85" w:type="dxa"/>
              <w:bottom w:w="60" w:type="dxa"/>
              <w:end w:w="85" w:type="dxa"/>
            </w:tcMar>
          </w:tcPr>
          <w:p>
            <w:pPr>
              <w:pStyle w:val="BodyText"/>
              <w:spacing w:before="0" w:after="0" w:line="220" w:lineRule="auto"/>
            </w:pPr>
            <w:r>
              <w:t>1所机构、1班30名学生、6次创作活动；3个可编辑教学作品与教师指南</w:t>
            </w:r>
          </w:p>
        </w:tc>
        <w:tc>
          <w:tcPr>
            <w:tcW w:w="1678" w:type="dxa"/>
            <w:tcMar>
              <w:top w:w="60" w:type="dxa"/>
              <w:start w:w="85" w:type="dxa"/>
              <w:bottom w:w="60" w:type="dxa"/>
              <w:end w:w="85" w:type="dxa"/>
            </w:tcMar>
          </w:tcPr>
          <w:p>
            <w:pPr>
              <w:pStyle w:val="BodyText"/>
              <w:spacing w:before="0" w:after="0" w:line="220" w:lineRule="auto"/>
              <w:jc w:val="right"/>
            </w:pPr>
            <w:r>
              <w:t>24</w:t>
            </w:r>
          </w:p>
        </w:tc>
      </w:tr>
      <w:tr>
        <w:trPr>
          <w:cantSplit/>
        </w:trPr>
        <w:tc>
          <w:tcPr>
            <w:tcW w:w="1800" w:type="dxa"/>
            <w:tcMar>
              <w:top w:w="60" w:type="dxa"/>
              <w:start w:w="85" w:type="dxa"/>
              <w:bottom w:w="60" w:type="dxa"/>
              <w:end w:w="85" w:type="dxa"/>
            </w:tcMar>
          </w:tcPr>
          <w:p>
            <w:pPr>
              <w:pStyle w:val="BodyText"/>
              <w:spacing w:before="0" w:after="0" w:line="220" w:lineRule="auto"/>
            </w:pPr>
            <w:r>
              <w:t>教师培训</w:t>
            </w:r>
          </w:p>
        </w:tc>
        <w:tc>
          <w:tcPr>
            <w:tcW w:w="5472" w:type="dxa"/>
            <w:tcMar>
              <w:top w:w="60" w:type="dxa"/>
              <w:start w:w="85" w:type="dxa"/>
              <w:bottom w:w="60" w:type="dxa"/>
              <w:end w:w="85" w:type="dxa"/>
            </w:tcMar>
          </w:tcPr>
          <w:p>
            <w:pPr>
              <w:pStyle w:val="BodyText"/>
              <w:spacing w:before="0" w:after="0" w:line="220" w:lineRule="auto"/>
            </w:pPr>
            <w:r>
              <w:t>2次教师培训，含操作演练和独立复用准备</w:t>
            </w:r>
          </w:p>
        </w:tc>
        <w:tc>
          <w:tcPr>
            <w:tcW w:w="1678" w:type="dxa"/>
            <w:tcMar>
              <w:top w:w="60" w:type="dxa"/>
              <w:start w:w="85" w:type="dxa"/>
              <w:bottom w:w="60" w:type="dxa"/>
              <w:end w:w="85" w:type="dxa"/>
            </w:tcMar>
          </w:tcPr>
          <w:p>
            <w:pPr>
              <w:pStyle w:val="BodyText"/>
              <w:spacing w:before="0" w:after="0" w:line="220" w:lineRule="auto"/>
              <w:jc w:val="right"/>
            </w:pPr>
            <w:r>
              <w:t>16</w:t>
            </w:r>
          </w:p>
        </w:tc>
      </w:tr>
      <w:tr>
        <w:trPr>
          <w:cantSplit/>
        </w:trPr>
        <w:tc>
          <w:tcPr>
            <w:tcW w:w="1800" w:type="dxa"/>
            <w:tcMar>
              <w:top w:w="60" w:type="dxa"/>
              <w:start w:w="85" w:type="dxa"/>
              <w:bottom w:w="60" w:type="dxa"/>
              <w:end w:w="85" w:type="dxa"/>
            </w:tcMar>
          </w:tcPr>
          <w:p>
            <w:pPr>
              <w:pStyle w:val="BodyText"/>
              <w:spacing w:before="0" w:after="0" w:line="220" w:lineRule="auto"/>
            </w:pPr>
            <w:r>
              <w:t>环境配置</w:t>
            </w:r>
          </w:p>
        </w:tc>
        <w:tc>
          <w:tcPr>
            <w:tcW w:w="5472" w:type="dxa"/>
            <w:tcMar>
              <w:top w:w="60" w:type="dxa"/>
              <w:start w:w="85" w:type="dxa"/>
              <w:bottom w:w="60" w:type="dxa"/>
              <w:end w:w="85" w:type="dxa"/>
            </w:tcMar>
          </w:tcPr>
          <w:p>
            <w:pPr>
              <w:pStyle w:val="BodyText"/>
              <w:spacing w:before="0" w:after="0" w:line="220" w:lineRule="auto"/>
            </w:pPr>
            <w:r>
              <w:t>30台Windows设备配置检查，模型与权限确认</w:t>
            </w:r>
          </w:p>
        </w:tc>
        <w:tc>
          <w:tcPr>
            <w:tcW w:w="1678" w:type="dxa"/>
            <w:tcMar>
              <w:top w:w="60" w:type="dxa"/>
              <w:start w:w="85" w:type="dxa"/>
              <w:bottom w:w="60" w:type="dxa"/>
              <w:end w:w="85" w:type="dxa"/>
            </w:tcMar>
          </w:tcPr>
          <w:p>
            <w:pPr>
              <w:pStyle w:val="BodyText"/>
              <w:spacing w:before="0" w:after="0" w:line="220" w:lineRule="auto"/>
              <w:jc w:val="right"/>
            </w:pPr>
            <w:r>
              <w:t>16</w:t>
            </w:r>
          </w:p>
        </w:tc>
      </w:tr>
      <w:tr>
        <w:trPr>
          <w:cantSplit/>
        </w:trPr>
        <w:tc>
          <w:tcPr>
            <w:tcW w:w="1800" w:type="dxa"/>
            <w:tcMar>
              <w:top w:w="60" w:type="dxa"/>
              <w:start w:w="85" w:type="dxa"/>
              <w:bottom w:w="60" w:type="dxa"/>
              <w:end w:w="85" w:type="dxa"/>
            </w:tcMar>
          </w:tcPr>
          <w:p>
            <w:pPr>
              <w:pStyle w:val="BodyText"/>
              <w:spacing w:before="0" w:after="0" w:line="220" w:lineRule="auto"/>
            </w:pPr>
            <w:r>
              <w:t>恢复与支持</w:t>
            </w:r>
          </w:p>
        </w:tc>
        <w:tc>
          <w:tcPr>
            <w:tcW w:w="5472" w:type="dxa"/>
            <w:tcMar>
              <w:top w:w="60" w:type="dxa"/>
              <w:start w:w="85" w:type="dxa"/>
              <w:bottom w:w="60" w:type="dxa"/>
              <w:end w:w="85" w:type="dxa"/>
            </w:tcMar>
          </w:tcPr>
          <w:p>
            <w:pPr>
              <w:pStyle w:val="BodyText"/>
              <w:spacing w:before="0" w:after="0" w:line="220" w:lineRule="auto"/>
            </w:pPr>
            <w:r>
              <w:t>8周预约支持、故障记录、项目恢复指导与复盘</w:t>
            </w:r>
          </w:p>
        </w:tc>
        <w:tc>
          <w:tcPr>
            <w:tcW w:w="1678" w:type="dxa"/>
            <w:tcMar>
              <w:top w:w="60" w:type="dxa"/>
              <w:start w:w="85" w:type="dxa"/>
              <w:bottom w:w="60" w:type="dxa"/>
              <w:end w:w="85" w:type="dxa"/>
            </w:tcMar>
          </w:tcPr>
          <w:p>
            <w:pPr>
              <w:pStyle w:val="BodyText"/>
              <w:spacing w:before="0" w:after="0" w:line="220" w:lineRule="auto"/>
              <w:jc w:val="right"/>
            </w:pPr>
            <w:r>
              <w:t>24</w:t>
            </w:r>
          </w:p>
        </w:tc>
      </w:tr>
    </w:tbl>
    <w:p>
      <w:pPr>
        <w:pStyle w:val="BodyText"/>
      </w:pPr>
      <w:r>
        <w:t>Table 6（表6）四项合计80小时。A24是服务设计样例，既不是固定公示报价，也不是已成交合同；财务仍采用每份1.8万元的规划均价。作品、培训、设备和支持数量改变时，应重新约定范围并核对工时，不以增加软件功能限制迫使用户购买服务。活动课时、培训时长和响应安排需在双方排期时明确。</w:t>
      </w:r>
    </w:p>
    <w:p>
      <w:pPr>
        <w:pStyle w:val="BodyText"/>
      </w:pPr>
      <w:r>
        <w:t>财务模型采用每份合同1.8万元的基准预算，仅用于估算履约与现金压力。该值不构成正式价目表。若机构自带模型账户，应重新核定模型费用与支持职责；若需要尚未实现的机构管理功能，应先明确开发范围、时间与费用，不能作为现成标准服务销售。</w:t>
      </w:r>
    </w:p>
    <w:p>
      <w:pPr>
        <w:pStyle w:val="BodyText"/>
      </w:pPr>
      <w:r>
        <w:t>教师可先用免费软件和合成资料评估作品流程。进入付费前，双方需明确交付物、课时或培训次数、所需权限、故障支持和验收条件。技术支持聚焦安装、项目与已约定课程流程；外部模型的回答质量需由教师检查，不以引用功能承诺答案始终正确。</w:t>
      </w:r>
    </w:p>
    <w:p>
      <w:pPr>
        <w:pStyle w:val="Heading2"/>
      </w:pPr>
      <w:bookmarkStart w:id="1008" w:name="_TocBlocky8"/>
      <w:r>
        <w:t>2.3 机构组织后台建设</w:t>
      </w:r>
      <w:bookmarkEnd w:id="1008"/>
    </w:p>
    <w:p>
      <w:pPr>
        <w:pStyle w:val="BodyText"/>
      </w:pPr>
      <w:r>
        <w:t>机构/K12付费方向增加组织后台配置，以师生账户、课堂管理、进度分析、课程支持及优先支持为参考。[S3][S4] Tynker学校Premium按学生数与学校需求定制报价，课堂课程页面另展示30学生许可证样例，并公开课堂管理、自动评分、进度及培训支持。[S8][S9][S10] 这些维度支持设计机构方案，不证明Blocky后台已经完成，也不把Tynker课堂样例当所有学校方案的统一规格。</w:t>
      </w:r>
    </w:p>
    <w:p>
      <w:pPr>
        <w:pStyle w:val="Tabletitle"/>
        <w:keepNext/>
      </w:pPr>
      <w:r>
        <w:t>Table 7. 组织后台建设与服务配置规划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888"/>
        <w:gridCol w:w="3262"/>
      </w:tblGrid>
      <w:tr>
        <w:trPr>
          <w:cantSplit/>
          <w:tblHeader w:val="true"/>
        </w:trPr>
        <w:tc>
          <w:tcPr>
            <w:tcW w:w="1800" w:type="dxa"/>
            <w:tcMar>
              <w:top w:w="60" w:type="dxa"/>
              <w:start w:w="85" w:type="dxa"/>
              <w:bottom w:w="60" w:type="dxa"/>
              <w:end w:w="85" w:type="dxa"/>
            </w:tcMar>
          </w:tcPr>
          <w:p>
            <w:pPr>
              <w:pStyle w:val="BodyText"/>
              <w:spacing w:before="0" w:after="0" w:line="220" w:lineRule="auto"/>
            </w:pPr>
            <w:r>
              <w:t>组织需求</w:t>
            </w:r>
          </w:p>
        </w:tc>
        <w:tc>
          <w:tcPr>
            <w:tcW w:w="3888" w:type="dxa"/>
            <w:tcMar>
              <w:top w:w="60" w:type="dxa"/>
              <w:start w:w="85" w:type="dxa"/>
              <w:bottom w:w="60" w:type="dxa"/>
              <w:end w:w="85" w:type="dxa"/>
            </w:tcMar>
          </w:tcPr>
          <w:p>
            <w:pPr>
              <w:pStyle w:val="BodyText"/>
              <w:spacing w:before="0" w:after="0" w:line="220" w:lineRule="auto"/>
            </w:pPr>
            <w:r>
              <w:t>拟议配置与交付</w:t>
            </w:r>
          </w:p>
        </w:tc>
        <w:tc>
          <w:tcPr>
            <w:tcW w:w="3262" w:type="dxa"/>
            <w:tcMar>
              <w:top w:w="60" w:type="dxa"/>
              <w:start w:w="85" w:type="dxa"/>
              <w:bottom w:w="60" w:type="dxa"/>
              <w:end w:w="85" w:type="dxa"/>
            </w:tcMar>
          </w:tcPr>
          <w:p>
            <w:pPr>
              <w:pStyle w:val="BodyText"/>
              <w:spacing w:before="0" w:after="0" w:line="220" w:lineRule="auto"/>
            </w:pPr>
            <w:r>
              <w:t>当前进入条件</w:t>
            </w:r>
          </w:p>
        </w:tc>
      </w:tr>
      <w:tr>
        <w:trPr>
          <w:cantSplit/>
        </w:trPr>
        <w:tc>
          <w:tcPr>
            <w:tcW w:w="1800" w:type="dxa"/>
            <w:tcMar>
              <w:top w:w="60" w:type="dxa"/>
              <w:start w:w="85" w:type="dxa"/>
              <w:bottom w:w="60" w:type="dxa"/>
              <w:end w:w="85" w:type="dxa"/>
            </w:tcMar>
          </w:tcPr>
          <w:p>
            <w:pPr>
              <w:pStyle w:val="BodyText"/>
              <w:spacing w:before="0" w:after="0" w:line="220" w:lineRule="auto"/>
            </w:pPr>
            <w:r>
              <w:t>人员与课堂</w:t>
            </w:r>
          </w:p>
        </w:tc>
        <w:tc>
          <w:tcPr>
            <w:tcW w:w="3888" w:type="dxa"/>
            <w:tcMar>
              <w:top w:w="60" w:type="dxa"/>
              <w:start w:w="85" w:type="dxa"/>
              <w:bottom w:w="60" w:type="dxa"/>
              <w:end w:w="85" w:type="dxa"/>
            </w:tcMar>
          </w:tcPr>
          <w:p>
            <w:pPr>
              <w:pStyle w:val="BodyText"/>
              <w:spacing w:before="0" w:after="0" w:line="220" w:lineRule="auto"/>
            </w:pPr>
            <w:r>
              <w:t>师生账户、角色、班级及项目分发</w:t>
            </w:r>
          </w:p>
        </w:tc>
        <w:tc>
          <w:tcPr>
            <w:tcW w:w="3262" w:type="dxa"/>
            <w:tcMar>
              <w:top w:w="60" w:type="dxa"/>
              <w:start w:w="85" w:type="dxa"/>
              <w:bottom w:w="60" w:type="dxa"/>
              <w:end w:w="85" w:type="dxa"/>
            </w:tcMar>
          </w:tcPr>
          <w:p>
            <w:pPr>
              <w:pStyle w:val="BodyText"/>
              <w:spacing w:before="0" w:after="0" w:line="220" w:lineRule="auto"/>
            </w:pPr>
            <w:r>
              <w:t>先确认机构角色、名单责任与现用组织流程</w:t>
            </w:r>
          </w:p>
        </w:tc>
      </w:tr>
      <w:tr>
        <w:trPr>
          <w:cantSplit/>
        </w:trPr>
        <w:tc>
          <w:tcPr>
            <w:tcW w:w="1800" w:type="dxa"/>
            <w:tcMar>
              <w:top w:w="60" w:type="dxa"/>
              <w:start w:w="85" w:type="dxa"/>
              <w:bottom w:w="60" w:type="dxa"/>
              <w:end w:w="85" w:type="dxa"/>
            </w:tcMar>
          </w:tcPr>
          <w:p>
            <w:pPr>
              <w:pStyle w:val="BodyText"/>
              <w:spacing w:before="0" w:after="0" w:line="220" w:lineRule="auto"/>
            </w:pPr>
            <w:r>
              <w:t>学习与进度</w:t>
            </w:r>
          </w:p>
        </w:tc>
        <w:tc>
          <w:tcPr>
            <w:tcW w:w="3888" w:type="dxa"/>
            <w:tcMar>
              <w:top w:w="60" w:type="dxa"/>
              <w:start w:w="85" w:type="dxa"/>
              <w:bottom w:w="60" w:type="dxa"/>
              <w:end w:w="85" w:type="dxa"/>
            </w:tcMar>
          </w:tcPr>
          <w:p>
            <w:pPr>
              <w:pStyle w:val="BodyText"/>
              <w:spacing w:before="0" w:after="0" w:line="220" w:lineRule="auto"/>
            </w:pPr>
            <w:r>
              <w:t>活动进度记录、作品汇总、教师观察及评分辅助</w:t>
            </w:r>
          </w:p>
        </w:tc>
        <w:tc>
          <w:tcPr>
            <w:tcW w:w="3262" w:type="dxa"/>
            <w:tcMar>
              <w:top w:w="60" w:type="dxa"/>
              <w:start w:w="85" w:type="dxa"/>
              <w:bottom w:w="60" w:type="dxa"/>
              <w:end w:w="85" w:type="dxa"/>
            </w:tcMar>
          </w:tcPr>
          <w:p>
            <w:pPr>
              <w:pStyle w:val="BodyText"/>
              <w:spacing w:before="0" w:after="0" w:line="220" w:lineRule="auto"/>
            </w:pPr>
            <w:r>
              <w:t>先采用匿名观察表；自动评分需另定标准并与教师核对</w:t>
            </w:r>
          </w:p>
        </w:tc>
      </w:tr>
      <w:tr>
        <w:trPr>
          <w:cantSplit/>
        </w:trPr>
        <w:tc>
          <w:tcPr>
            <w:tcW w:w="1800" w:type="dxa"/>
            <w:tcMar>
              <w:top w:w="60" w:type="dxa"/>
              <w:start w:w="85" w:type="dxa"/>
              <w:bottom w:w="60" w:type="dxa"/>
              <w:end w:w="85" w:type="dxa"/>
            </w:tcMar>
          </w:tcPr>
          <w:p>
            <w:pPr>
              <w:pStyle w:val="BodyText"/>
              <w:spacing w:before="0" w:after="0" w:line="220" w:lineRule="auto"/>
            </w:pPr>
            <w:r>
              <w:t>课程与支持</w:t>
            </w:r>
          </w:p>
        </w:tc>
        <w:tc>
          <w:tcPr>
            <w:tcW w:w="3888" w:type="dxa"/>
            <w:tcMar>
              <w:top w:w="60" w:type="dxa"/>
              <w:start w:w="85" w:type="dxa"/>
              <w:bottom w:w="60" w:type="dxa"/>
              <w:end w:w="85" w:type="dxa"/>
            </w:tcMar>
          </w:tcPr>
          <w:p>
            <w:pPr>
              <w:pStyle w:val="BodyText"/>
              <w:spacing w:before="0" w:after="0" w:line="220" w:lineRule="auto"/>
            </w:pPr>
            <w:r>
              <w:t>机构课程配置、教师培训、优先支持与恢复</w:t>
            </w:r>
          </w:p>
        </w:tc>
        <w:tc>
          <w:tcPr>
            <w:tcW w:w="3262" w:type="dxa"/>
            <w:tcMar>
              <w:top w:w="60" w:type="dxa"/>
              <w:start w:w="85" w:type="dxa"/>
              <w:bottom w:w="60" w:type="dxa"/>
              <w:end w:w="85" w:type="dxa"/>
            </w:tcMar>
          </w:tcPr>
          <w:p>
            <w:pPr>
              <w:pStyle w:val="BodyText"/>
              <w:spacing w:before="0" w:after="0" w:line="220" w:lineRule="auto"/>
            </w:pPr>
            <w:r>
              <w:t>现有试点按服务清单交付；后台功能须单独验收后加入范围</w:t>
            </w:r>
          </w:p>
        </w:tc>
      </w:tr>
      <w:tr>
        <w:trPr>
          <w:cantSplit/>
        </w:trPr>
        <w:tc>
          <w:tcPr>
            <w:tcW w:w="1800" w:type="dxa"/>
            <w:tcMar>
              <w:top w:w="60" w:type="dxa"/>
              <w:start w:w="85" w:type="dxa"/>
              <w:bottom w:w="60" w:type="dxa"/>
              <w:end w:w="85" w:type="dxa"/>
            </w:tcMar>
          </w:tcPr>
          <w:p>
            <w:pPr>
              <w:pStyle w:val="BodyText"/>
              <w:spacing w:before="0" w:after="0" w:line="220" w:lineRule="auto"/>
            </w:pPr>
            <w:r>
              <w:t>报价与续用</w:t>
            </w:r>
          </w:p>
        </w:tc>
        <w:tc>
          <w:tcPr>
            <w:tcW w:w="3888" w:type="dxa"/>
            <w:tcMar>
              <w:top w:w="60" w:type="dxa"/>
              <w:start w:w="85" w:type="dxa"/>
              <w:bottom w:w="60" w:type="dxa"/>
              <w:end w:w="85" w:type="dxa"/>
            </w:tcMar>
          </w:tcPr>
          <w:p>
            <w:pPr>
              <w:pStyle w:val="BodyText"/>
              <w:spacing w:before="0" w:after="0" w:line="220" w:lineRule="auto"/>
            </w:pPr>
            <w:r>
              <w:t>按学生规模、学校需求、后台功能和支持期限形成方案</w:t>
            </w:r>
          </w:p>
        </w:tc>
        <w:tc>
          <w:tcPr>
            <w:tcW w:w="3262" w:type="dxa"/>
            <w:tcMar>
              <w:top w:w="60" w:type="dxa"/>
              <w:start w:w="85" w:type="dxa"/>
              <w:bottom w:w="60" w:type="dxa"/>
              <w:end w:w="85" w:type="dxa"/>
            </w:tcMar>
          </w:tcPr>
          <w:p>
            <w:pPr>
              <w:pStyle w:val="BodyText"/>
              <w:spacing w:before="0" w:after="0" w:line="220" w:lineRule="auto"/>
            </w:pPr>
            <w:r>
              <w:t>报价单位、合同周期、用户数和后台成本经采证后独立测算</w:t>
            </w:r>
          </w:p>
        </w:tc>
      </w:tr>
    </w:tbl>
    <w:p>
      <w:pPr>
        <w:pStyle w:val="BodyText"/>
      </w:pPr>
      <w:r>
        <w:t>Table 7（表7）是建设规划。软件当前不提供机构统一账号、课堂后台、进度分析或自动评分，早期用教师作品文件与观察记录组织试点。后台配置形成机构收费范围后，应明确权限、名单导入、数据保留、作品访问与退出迁移；同一机构人数变化及支持范围变化按约定调整，不把试点服务1.8万元当成固定组织订阅价格。</w:t>
      </w:r>
    </w:p>
    <w:p>
      <w:pPr>
        <w:pStyle w:val="Heading2"/>
      </w:pPr>
      <w:bookmarkStart w:id="1009" w:name="_TocBlocky9"/>
      <w:r>
        <w:t>2.4 独立算力与模型账户</w:t>
      </w:r>
      <w:bookmarkEnd w:id="1009"/>
    </w:p>
    <w:p>
      <w:pPr>
        <w:pStyle w:val="BodyText"/>
      </w:pPr>
      <w:r>
        <w:t>算力与免费软件、组织后台及人工服务分别核算。机构可采用独立模型订阅或约定额度，具备条件时也可自带模型账户（BYOK）；模型提供方、实际模型、共享范围、额度通知与超额处理在使用前明确。订阅价格与收入尚未确定，不以软件免费承诺无限模型调用。</w:t>
      </w:r>
    </w:p>
    <w:p>
      <w:pPr>
        <w:pStyle w:val="BodyText"/>
      </w:pPr>
      <w:r>
        <w:t>Table 8（表8）比较公开收费与用量结构，金额、积分和余额不作跨产品等价换算。现有Host模型资源配置支持按适配条件使用自己的账户；统一组织额度、订阅账单和托管算力属于建设规划。[P3] 先采集教学活动的调用长度、失败重试与供应商实际支出，再确定订阅、额度或自带账户安排。组织服务与算力结算分别说明。</w:t>
      </w:r>
    </w:p>
    <w:p>
      <w:pPr>
        <w:pStyle w:val="Tabletitle"/>
        <w:keepNext/>
      </w:pPr>
      <w:r>
        <w:t>Table 8. 算力与组织预算公开参照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600"/>
        <w:gridCol w:w="3550"/>
      </w:tblGrid>
      <w:tr>
        <w:trPr>
          <w:cantSplit/>
          <w:tblHeader w:val="true"/>
        </w:trPr>
        <w:tc>
          <w:tcPr>
            <w:tcW w:w="1800" w:type="dxa"/>
            <w:tcMar>
              <w:top w:w="60" w:type="dxa"/>
              <w:start w:w="85" w:type="dxa"/>
              <w:bottom w:w="60" w:type="dxa"/>
              <w:end w:w="85" w:type="dxa"/>
            </w:tcMar>
          </w:tcPr>
          <w:p>
            <w:pPr>
              <w:pStyle w:val="BodyText"/>
              <w:spacing w:before="0" w:after="0" w:line="220" w:lineRule="auto"/>
            </w:pPr>
            <w:r>
              <w:t>工具</w:t>
            </w:r>
          </w:p>
        </w:tc>
        <w:tc>
          <w:tcPr>
            <w:tcW w:w="3600" w:type="dxa"/>
            <w:tcMar>
              <w:top w:w="60" w:type="dxa"/>
              <w:start w:w="85" w:type="dxa"/>
              <w:bottom w:w="60" w:type="dxa"/>
              <w:end w:w="85" w:type="dxa"/>
            </w:tcMar>
          </w:tcPr>
          <w:p>
            <w:pPr>
              <w:pStyle w:val="BodyText"/>
              <w:spacing w:before="0" w:after="0" w:line="220" w:lineRule="auto"/>
            </w:pPr>
            <w:r>
              <w:t>官方收费或管理结构</w:t>
            </w:r>
          </w:p>
        </w:tc>
        <w:tc>
          <w:tcPr>
            <w:tcW w:w="3550" w:type="dxa"/>
            <w:tcMar>
              <w:top w:w="60" w:type="dxa"/>
              <w:start w:w="85" w:type="dxa"/>
              <w:bottom w:w="60" w:type="dxa"/>
              <w:end w:w="85" w:type="dxa"/>
            </w:tcMar>
          </w:tcPr>
          <w:p>
            <w:pPr>
              <w:pStyle w:val="BodyText"/>
              <w:spacing w:before="0" w:after="0" w:line="220" w:lineRule="auto"/>
            </w:pPr>
            <w:r>
              <w:t>Blocky设计启发</w:t>
            </w:r>
          </w:p>
        </w:tc>
      </w:tr>
      <w:tr>
        <w:trPr>
          <w:cantSplit/>
        </w:trPr>
        <w:tc>
          <w:tcPr>
            <w:tcW w:w="1800" w:type="dxa"/>
            <w:tcMar>
              <w:top w:w="60" w:type="dxa"/>
              <w:start w:w="85" w:type="dxa"/>
              <w:bottom w:w="60" w:type="dxa"/>
              <w:end w:w="85" w:type="dxa"/>
            </w:tcMar>
          </w:tcPr>
          <w:p>
            <w:pPr>
              <w:pStyle w:val="BodyText"/>
              <w:spacing w:before="0" w:after="0" w:line="220" w:lineRule="auto"/>
            </w:pPr>
            <w:r>
              <w:t>WorkBuddy [S11]</w:t>
            </w:r>
          </w:p>
        </w:tc>
        <w:tc>
          <w:tcPr>
            <w:tcW w:w="3600" w:type="dxa"/>
            <w:tcMar>
              <w:top w:w="60" w:type="dxa"/>
              <w:start w:w="85" w:type="dxa"/>
              <w:bottom w:w="60" w:type="dxa"/>
              <w:end w:w="85" w:type="dxa"/>
            </w:tcMar>
          </w:tcPr>
          <w:p>
            <w:pPr>
              <w:pStyle w:val="BodyText"/>
              <w:spacing w:before="0" w:after="0" w:line="220" w:lineRule="auto"/>
            </w:pPr>
            <w:r>
              <w:t>订阅含月度积分，额外积分加量，提供用量查看</w:t>
            </w:r>
          </w:p>
        </w:tc>
        <w:tc>
          <w:tcPr>
            <w:tcW w:w="3550" w:type="dxa"/>
            <w:tcMar>
              <w:top w:w="60" w:type="dxa"/>
              <w:start w:w="85" w:type="dxa"/>
              <w:bottom w:w="60" w:type="dxa"/>
              <w:end w:w="85" w:type="dxa"/>
            </w:tcMar>
          </w:tcPr>
          <w:p>
            <w:pPr>
              <w:pStyle w:val="BodyText"/>
              <w:spacing w:before="0" w:after="0" w:line="220" w:lineRule="auto"/>
            </w:pPr>
            <w:r>
              <w:t>月度额度与额外补充分别展示；不把积分直接当Token</w:t>
            </w:r>
          </w:p>
        </w:tc>
      </w:tr>
      <w:tr>
        <w:trPr>
          <w:cantSplit/>
        </w:trPr>
        <w:tc>
          <w:tcPr>
            <w:tcW w:w="1800" w:type="dxa"/>
            <w:tcMar>
              <w:top w:w="60" w:type="dxa"/>
              <w:start w:w="85" w:type="dxa"/>
              <w:bottom w:w="60" w:type="dxa"/>
              <w:end w:w="85" w:type="dxa"/>
            </w:tcMar>
          </w:tcPr>
          <w:p>
            <w:pPr>
              <w:pStyle w:val="BodyText"/>
              <w:spacing w:before="0" w:after="0" w:line="220" w:lineRule="auto"/>
            </w:pPr>
            <w:r>
              <w:t>Cursor [S12]</w:t>
            </w:r>
          </w:p>
        </w:tc>
        <w:tc>
          <w:tcPr>
            <w:tcW w:w="3600" w:type="dxa"/>
            <w:tcMar>
              <w:top w:w="60" w:type="dxa"/>
              <w:start w:w="85" w:type="dxa"/>
              <w:bottom w:w="60" w:type="dxa"/>
              <w:end w:w="85" w:type="dxa"/>
            </w:tcMar>
          </w:tcPr>
          <w:p>
            <w:pPr>
              <w:pStyle w:val="BodyText"/>
              <w:spacing w:before="0" w:after="0" w:line="220" w:lineRule="auto"/>
            </w:pPr>
            <w:r>
              <w:t>套餐含用量，额外按量；团队集中账单与使用分析</w:t>
            </w:r>
          </w:p>
        </w:tc>
        <w:tc>
          <w:tcPr>
            <w:tcW w:w="3550" w:type="dxa"/>
            <w:tcMar>
              <w:top w:w="60" w:type="dxa"/>
              <w:start w:w="85" w:type="dxa"/>
              <w:bottom w:w="60" w:type="dxa"/>
              <w:end w:w="85" w:type="dxa"/>
            </w:tcMar>
          </w:tcPr>
          <w:p>
            <w:pPr>
              <w:pStyle w:val="BodyText"/>
              <w:spacing w:before="0" w:after="0" w:line="220" w:lineRule="auto"/>
            </w:pPr>
            <w:r>
              <w:t>区分订阅和超额规则；组织可核对用量与责任</w:t>
            </w:r>
          </w:p>
        </w:tc>
      </w:tr>
      <w:tr>
        <w:trPr>
          <w:cantSplit/>
        </w:trPr>
        <w:tc>
          <w:tcPr>
            <w:tcW w:w="1800" w:type="dxa"/>
            <w:tcMar>
              <w:top w:w="60" w:type="dxa"/>
              <w:start w:w="85" w:type="dxa"/>
              <w:bottom w:w="60" w:type="dxa"/>
              <w:end w:w="85" w:type="dxa"/>
            </w:tcMar>
          </w:tcPr>
          <w:p>
            <w:pPr>
              <w:pStyle w:val="BodyText"/>
              <w:spacing w:before="0" w:after="0" w:line="220" w:lineRule="auto"/>
            </w:pPr>
            <w:r>
              <w:t>TRAE [S13]</w:t>
            </w:r>
          </w:p>
        </w:tc>
        <w:tc>
          <w:tcPr>
            <w:tcW w:w="3600" w:type="dxa"/>
            <w:tcMar>
              <w:top w:w="60" w:type="dxa"/>
              <w:start w:w="85" w:type="dxa"/>
              <w:bottom w:w="60" w:type="dxa"/>
              <w:end w:w="85" w:type="dxa"/>
            </w:tcMar>
          </w:tcPr>
          <w:p>
            <w:pPr>
              <w:pStyle w:val="BodyText"/>
              <w:spacing w:before="0" w:after="0" w:line="220" w:lineRule="auto"/>
            </w:pPr>
            <w:r>
              <w:t>套餐Usage余额按模型请求Token扣减，周期刷新</w:t>
            </w:r>
          </w:p>
        </w:tc>
        <w:tc>
          <w:tcPr>
            <w:tcW w:w="3550" w:type="dxa"/>
            <w:tcMar>
              <w:top w:w="60" w:type="dxa"/>
              <w:start w:w="85" w:type="dxa"/>
              <w:bottom w:w="60" w:type="dxa"/>
              <w:end w:w="85" w:type="dxa"/>
            </w:tcMar>
          </w:tcPr>
          <w:p>
            <w:pPr>
              <w:pStyle w:val="BodyText"/>
              <w:spacing w:before="0" w:after="0" w:line="220" w:lineRule="auto"/>
            </w:pPr>
            <w:r>
              <w:t>说明模型、上下文及输出如何影响额度；不搬用金额</w:t>
            </w:r>
          </w:p>
        </w:tc>
      </w:tr>
      <w:tr>
        <w:trPr>
          <w:cantSplit/>
        </w:trPr>
        <w:tc>
          <w:tcPr>
            <w:tcW w:w="1800" w:type="dxa"/>
            <w:tcMar>
              <w:top w:w="60" w:type="dxa"/>
              <w:start w:w="85" w:type="dxa"/>
              <w:bottom w:w="60" w:type="dxa"/>
              <w:end w:w="85" w:type="dxa"/>
            </w:tcMar>
          </w:tcPr>
          <w:p>
            <w:pPr>
              <w:pStyle w:val="BodyText"/>
              <w:spacing w:before="0" w:after="0" w:line="220" w:lineRule="auto"/>
            </w:pPr>
            <w:r>
              <w:t>OpenCode Zen [S14]</w:t>
            </w:r>
          </w:p>
        </w:tc>
        <w:tc>
          <w:tcPr>
            <w:tcW w:w="3600" w:type="dxa"/>
            <w:tcMar>
              <w:top w:w="60" w:type="dxa"/>
              <w:start w:w="85" w:type="dxa"/>
              <w:bottom w:w="60" w:type="dxa"/>
              <w:end w:w="85" w:type="dxa"/>
            </w:tcMar>
          </w:tcPr>
          <w:p>
            <w:pPr>
              <w:pStyle w:val="BodyText"/>
              <w:spacing w:before="0" w:after="0" w:line="220" w:lineRule="auto"/>
            </w:pPr>
            <w:r>
              <w:t>按量模型服务、组织与成员上限；BYOK由供应商收Token费</w:t>
            </w:r>
          </w:p>
        </w:tc>
        <w:tc>
          <w:tcPr>
            <w:tcW w:w="3550" w:type="dxa"/>
            <w:tcMar>
              <w:top w:w="60" w:type="dxa"/>
              <w:start w:w="85" w:type="dxa"/>
              <w:bottom w:w="60" w:type="dxa"/>
              <w:end w:w="85" w:type="dxa"/>
            </w:tcMar>
          </w:tcPr>
          <w:p>
            <w:pPr>
              <w:pStyle w:val="BodyText"/>
              <w:spacing w:before="0" w:after="0" w:line="220" w:lineRule="auto"/>
            </w:pPr>
            <w:r>
              <w:t>开放客户端与可选算力分账；账户与预算上限分别设计</w:t>
            </w:r>
          </w:p>
        </w:tc>
      </w:tr>
    </w:tbl>
    <w:p>
      <w:pPr>
        <w:pStyle w:val="Heading2"/>
      </w:pPr>
      <w:bookmarkStart w:id="1010" w:name="_TocBlocky10"/>
      <w:r>
        <w:t>2.5 获客与验证路径</w:t>
      </w:r>
      <w:bookmarkEnd w:id="1010"/>
    </w:p>
    <w:p>
      <w:pPr>
        <w:pStyle w:val="BodyText"/>
      </w:pPr>
      <w:r>
        <w:t>前90天以教师访谈、作品演示和小规模试用为主。计划从能直接接触的课程负责人开始建立名单，访谈其现有教学任务、使用工具、失败环节和采购条件。没有可靠学校名单和转化数据前，不将网络曝光或群成员数写成有效客户线索。</w:t>
      </w:r>
    </w:p>
    <w:p>
      <w:pPr>
        <w:pStyle w:val="BodyText"/>
      </w:pPr>
      <w:r>
        <w:t>2027年销售漏斗暂按20次有效机构接触、8次深入演示、4份付费交付合同规划。每一步都必须记录对方课程角色、下一次行动和未推进原因。这是目标而非实测转化率；若8次演示没有形成付费意向，应重新核定服务范围与报价，不能单纯加大推广费用。</w:t>
      </w:r>
    </w:p>
    <w:p>
      <w:pPr>
        <w:pStyle w:val="Tabletitle"/>
        <w:keepNext/>
      </w:pPr>
      <w:r>
        <w:t>Table 9. 自下而上可触达规划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8"/>
        <w:gridCol w:w="3672"/>
        <w:gridCol w:w="3550"/>
      </w:tblGrid>
      <w:tr>
        <w:trPr>
          <w:cantSplit/>
          <w:tblHeader w:val="true"/>
        </w:trPr>
        <w:tc>
          <w:tcPr>
            <w:tcW w:w="1728" w:type="dxa"/>
            <w:tcMar>
              <w:top w:w="60" w:type="dxa"/>
              <w:start w:w="85" w:type="dxa"/>
              <w:bottom w:w="60" w:type="dxa"/>
              <w:end w:w="85" w:type="dxa"/>
            </w:tcMar>
          </w:tcPr>
          <w:p>
            <w:pPr>
              <w:pStyle w:val="BodyText"/>
              <w:spacing w:before="0" w:after="0" w:line="220" w:lineRule="auto"/>
            </w:pPr>
            <w:r>
              <w:t>阶段目标</w:t>
            </w:r>
          </w:p>
        </w:tc>
        <w:tc>
          <w:tcPr>
            <w:tcW w:w="3672" w:type="dxa"/>
            <w:tcMar>
              <w:top w:w="60" w:type="dxa"/>
              <w:start w:w="85" w:type="dxa"/>
              <w:bottom w:w="60" w:type="dxa"/>
              <w:end w:w="85" w:type="dxa"/>
            </w:tcMar>
          </w:tcPr>
          <w:p>
            <w:pPr>
              <w:pStyle w:val="BodyText"/>
              <w:spacing w:before="0" w:after="0" w:line="220" w:lineRule="auto"/>
            </w:pPr>
            <w:r>
              <w:t>来源与行动</w:t>
            </w:r>
          </w:p>
        </w:tc>
        <w:tc>
          <w:tcPr>
            <w:tcW w:w="3550" w:type="dxa"/>
            <w:tcMar>
              <w:top w:w="60" w:type="dxa"/>
              <w:start w:w="85" w:type="dxa"/>
              <w:bottom w:w="60" w:type="dxa"/>
              <w:end w:w="85" w:type="dxa"/>
            </w:tcMar>
          </w:tcPr>
          <w:p>
            <w:pPr>
              <w:pStyle w:val="BodyText"/>
              <w:spacing w:before="0" w:after="0" w:line="220" w:lineRule="auto"/>
            </w:pPr>
            <w:r>
              <w:t>进入下一阶段的证据</w:t>
            </w:r>
          </w:p>
        </w:tc>
      </w:tr>
      <w:tr>
        <w:trPr>
          <w:cantSplit/>
        </w:trPr>
        <w:tc>
          <w:tcPr>
            <w:tcW w:w="1728" w:type="dxa"/>
            <w:tcMar>
              <w:top w:w="60" w:type="dxa"/>
              <w:start w:w="85" w:type="dxa"/>
              <w:bottom w:w="60" w:type="dxa"/>
              <w:end w:w="85" w:type="dxa"/>
            </w:tcMar>
          </w:tcPr>
          <w:p>
            <w:pPr>
              <w:pStyle w:val="BodyText"/>
              <w:spacing w:before="0" w:after="0" w:line="220" w:lineRule="auto"/>
            </w:pPr>
            <w:r>
              <w:t>20次有效机构接触</w:t>
            </w:r>
          </w:p>
        </w:tc>
        <w:tc>
          <w:tcPr>
            <w:tcW w:w="3672" w:type="dxa"/>
            <w:tcMar>
              <w:top w:w="60" w:type="dxa"/>
              <w:start w:w="85" w:type="dxa"/>
              <w:bottom w:w="60" w:type="dxa"/>
              <w:end w:w="85" w:type="dxa"/>
            </w:tcMar>
          </w:tcPr>
          <w:p>
            <w:pPr>
              <w:pStyle w:val="BodyText"/>
              <w:spacing w:before="0" w:after="0" w:line="220" w:lineRule="auto"/>
            </w:pPr>
            <w:r>
              <w:t>教研、科学实践或社团、教育机构联系；去重并确认角色</w:t>
            </w:r>
          </w:p>
        </w:tc>
        <w:tc>
          <w:tcPr>
            <w:tcW w:w="3550" w:type="dxa"/>
            <w:tcMar>
              <w:top w:w="60" w:type="dxa"/>
              <w:start w:w="85" w:type="dxa"/>
              <w:bottom w:w="60" w:type="dxa"/>
              <w:end w:w="85" w:type="dxa"/>
            </w:tcMar>
          </w:tcPr>
          <w:p>
            <w:pPr>
              <w:pStyle w:val="BodyText"/>
              <w:spacing w:before="0" w:after="0" w:line="220" w:lineRule="auto"/>
            </w:pPr>
            <w:r>
              <w:t>有具体课程任务、设备条件和约定下一次行动</w:t>
            </w:r>
          </w:p>
        </w:tc>
      </w:tr>
      <w:tr>
        <w:trPr>
          <w:cantSplit/>
        </w:trPr>
        <w:tc>
          <w:tcPr>
            <w:tcW w:w="1728" w:type="dxa"/>
            <w:tcMar>
              <w:top w:w="60" w:type="dxa"/>
              <w:start w:w="85" w:type="dxa"/>
              <w:bottom w:w="60" w:type="dxa"/>
              <w:end w:w="85" w:type="dxa"/>
            </w:tcMar>
          </w:tcPr>
          <w:p>
            <w:pPr>
              <w:pStyle w:val="BodyText"/>
              <w:spacing w:before="0" w:after="0" w:line="220" w:lineRule="auto"/>
            </w:pPr>
            <w:r>
              <w:t>8次深入演示</w:t>
            </w:r>
          </w:p>
        </w:tc>
        <w:tc>
          <w:tcPr>
            <w:tcW w:w="3672" w:type="dxa"/>
            <w:tcMar>
              <w:top w:w="60" w:type="dxa"/>
              <w:start w:w="85" w:type="dxa"/>
              <w:bottom w:w="60" w:type="dxa"/>
              <w:end w:w="85" w:type="dxa"/>
            </w:tcMar>
          </w:tcPr>
          <w:p>
            <w:pPr>
              <w:pStyle w:val="BodyText"/>
              <w:spacing w:before="0" w:after="0" w:line="220" w:lineRule="auto"/>
            </w:pPr>
            <w:r>
              <w:t>对可组织活动的联系展示同一教学项目与修改</w:t>
            </w:r>
          </w:p>
        </w:tc>
        <w:tc>
          <w:tcPr>
            <w:tcW w:w="3550" w:type="dxa"/>
            <w:tcMar>
              <w:top w:w="60" w:type="dxa"/>
              <w:start w:w="85" w:type="dxa"/>
              <w:bottom w:w="60" w:type="dxa"/>
              <w:end w:w="85" w:type="dxa"/>
            </w:tcMar>
          </w:tcPr>
          <w:p>
            <w:pPr>
              <w:pStyle w:val="BodyText"/>
              <w:spacing w:before="0" w:after="0" w:line="220" w:lineRule="auto"/>
            </w:pPr>
            <w:r>
              <w:t>教师确认任务适配，能说明准备负担、复用与采购条件</w:t>
            </w:r>
          </w:p>
        </w:tc>
      </w:tr>
      <w:tr>
        <w:trPr>
          <w:cantSplit/>
        </w:trPr>
        <w:tc>
          <w:tcPr>
            <w:tcW w:w="1728" w:type="dxa"/>
            <w:tcMar>
              <w:top w:w="60" w:type="dxa"/>
              <w:start w:w="85" w:type="dxa"/>
              <w:bottom w:w="60" w:type="dxa"/>
              <w:end w:w="85" w:type="dxa"/>
            </w:tcMar>
          </w:tcPr>
          <w:p>
            <w:pPr>
              <w:pStyle w:val="BodyText"/>
              <w:spacing w:before="0" w:after="0" w:line="220" w:lineRule="auto"/>
            </w:pPr>
            <w:r>
              <w:t>4份服务合同</w:t>
            </w:r>
          </w:p>
        </w:tc>
        <w:tc>
          <w:tcPr>
            <w:tcW w:w="3672" w:type="dxa"/>
            <w:tcMar>
              <w:top w:w="60" w:type="dxa"/>
              <w:start w:w="85" w:type="dxa"/>
              <w:bottom w:w="60" w:type="dxa"/>
              <w:end w:w="85" w:type="dxa"/>
            </w:tcMar>
          </w:tcPr>
          <w:p>
            <w:pPr>
              <w:pStyle w:val="BodyText"/>
              <w:spacing w:before="0" w:after="0" w:line="220" w:lineRule="auto"/>
            </w:pPr>
            <w:r>
              <w:t>对明确范围与预算的机构形成服务方案</w:t>
            </w:r>
          </w:p>
        </w:tc>
        <w:tc>
          <w:tcPr>
            <w:tcW w:w="3550" w:type="dxa"/>
            <w:tcMar>
              <w:top w:w="60" w:type="dxa"/>
              <w:start w:w="85" w:type="dxa"/>
              <w:bottom w:w="60" w:type="dxa"/>
              <w:end w:w="85" w:type="dxa"/>
            </w:tcMar>
          </w:tcPr>
          <w:p>
            <w:pPr>
              <w:pStyle w:val="BodyText"/>
              <w:spacing w:before="0" w:after="0" w:line="220" w:lineRule="auto"/>
            </w:pPr>
            <w:r>
              <w:t>授权主体确认范围、验收、付款和可履约排期</w:t>
            </w:r>
          </w:p>
        </w:tc>
      </w:tr>
    </w:tbl>
    <w:p>
      <w:pPr>
        <w:pStyle w:val="BodyText"/>
      </w:pPr>
      <w:r>
        <w:t>Table 9（表9）是2027年规划漏斗，20次接触至8次演示、8次演示至4份合同的比率仅为预算目标。20条去重有效记录由渠道联系逐条形成，不能用群人数、浏览量或下载数替代。4份合同对应7.20万元预测收入，与财务一致；同一机构可能采购不同批次服务，合同数不等同学校数。</w:t>
      </w:r>
    </w:p>
    <w:p>
      <w:pPr>
        <w:pStyle w:val="BodyText"/>
      </w:pPr>
      <w:r>
        <w:t>获客时间记录分为名单核对、约访、演示准备、演示与回访，并标明是否进入合同交付。预合同工作计入通用维护、教研与获客的160小时/月资源上限；合同后的专属准备计入80小时样例，避免重复核算。按渠道比较有效接触、教师复用、报价反馈、投入小时和未推进原因，优先保留产生具体行动的渠道。</w:t>
      </w:r>
    </w:p>
    <w:p>
      <w:pPr>
        <w:pStyle w:val="BodyText"/>
      </w:pPr>
      <w:r>
        <w:t>内容渠道以可下载课程案例、教师演示和公开作品说明为主。早期避免高额广告和泛办公业务拓展，把有限时间用于降低教师复用门槛。每月复盘接触到试用、试用到独立复用、复用到报价的转化，同时记录单份合同实际支持工时。</w:t>
      </w:r>
    </w:p>
    <w:p>
      <w:pPr>
        <w:pStyle w:val="Heading1"/>
      </w:pPr>
      <w:bookmarkStart w:id="1011" w:name="_TocBlocky11"/>
      <w:r>
        <w:t>3. 运营计划</w:t>
      </w:r>
      <w:bookmarkEnd w:id="1011"/>
    </w:p>
    <w:p>
      <w:pPr>
        <w:pStyle w:val="BodyText"/>
      </w:pPr>
      <w:r>
        <w:t>项目先采用轻量远程协作与预约现场支持，不假设租用独立办公室。交付前完成设备与网络检查，用公开或合成资料配置课程，形成教师操作说明和可恢复的项目文件。现场活动结束后整理反馈和问题，不把未确认学生信息用于演示或市场传播。</w:t>
      </w:r>
    </w:p>
    <w:p>
      <w:pPr>
        <w:pStyle w:val="BodyText"/>
      </w:pPr>
      <w:r>
        <w:t>基准预算按2名等效人力投入、每月合计240小时测算，其中160小时用于通用产品维护、教研素材与获客，剩余80小时用于具体合同交付。合同交付专项报酬与固定核心工作预算分别核算；高峰月份超出的交付工时按外部增援计费，最多160小时/月。外部人员尚未聘用，无法安排增援时应改期或拒绝超额订单。</w:t>
      </w:r>
    </w:p>
    <w:p>
      <w:pPr>
        <w:pStyle w:val="BodyText"/>
      </w:pPr>
      <w:r>
        <w:t>服务验收需同时检查教师能按说明独立准备作品、学生有可观察的设计选择、失败可以定位并恢复。技术角色保障环境与权限，教学运营角色负责适龄任务和反馈，教师负责内容和课堂组织。实际开展前共同核对资料权利、未成年人信息、模型条款和学校要求；没有机构许可或不能满足使用要求时暂停试用。</w:t>
      </w:r>
    </w:p>
    <w:p>
      <w:pPr>
        <w:pStyle w:val="BodyText"/>
      </w:pPr>
      <w:r>
        <w:t>技术与成本供应方主要是模型服务商、必要的云与网络服务，以及临时课程支持人员。当前没有签订供应合同。模型预算单价只是管理假设，正式报价前须用实际选定模型的价格、调用长度、重试率与班级规模重算；任何替换都应保留课程结果和费用记录的可比性。</w:t>
      </w:r>
    </w:p>
    <w:p>
      <w:pPr>
        <w:pStyle w:val="BodyText"/>
      </w:pPr>
      <w:r>
        <w:t>服务恢复应提供可执行步骤而非笼统承诺。Table 10（表10）将安装、作品与模型问题分别处理；支持以预约工作时间和约定渠道开展，A24样例拟在一个工作日内确认问题并安排处理，不保证供应商恢复时间，也不包含无限重做或全天候值守。</w:t>
      </w:r>
    </w:p>
    <w:p>
      <w:pPr>
        <w:pStyle w:val="Tabletitle"/>
        <w:keepNext/>
      </w:pPr>
      <w:r>
        <w:t>Table 10. 项目恢复与支持边界</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960"/>
        <w:gridCol w:w="3190"/>
      </w:tblGrid>
      <w:tr>
        <w:trPr>
          <w:cantSplit/>
          <w:tblHeader w:val="true"/>
        </w:trPr>
        <w:tc>
          <w:tcPr>
            <w:tcW w:w="1800" w:type="dxa"/>
            <w:tcMar>
              <w:top w:w="60" w:type="dxa"/>
              <w:start w:w="85" w:type="dxa"/>
              <w:bottom w:w="60" w:type="dxa"/>
              <w:end w:w="85" w:type="dxa"/>
            </w:tcMar>
          </w:tcPr>
          <w:p>
            <w:pPr>
              <w:pStyle w:val="BodyText"/>
              <w:spacing w:before="0" w:after="0" w:line="220" w:lineRule="auto"/>
            </w:pPr>
            <w:r>
              <w:t>问题场景</w:t>
            </w:r>
          </w:p>
        </w:tc>
        <w:tc>
          <w:tcPr>
            <w:tcW w:w="3960" w:type="dxa"/>
            <w:tcMar>
              <w:top w:w="60" w:type="dxa"/>
              <w:start w:w="85" w:type="dxa"/>
              <w:bottom w:w="60" w:type="dxa"/>
              <w:end w:w="85" w:type="dxa"/>
            </w:tcMar>
          </w:tcPr>
          <w:p>
            <w:pPr>
              <w:pStyle w:val="BodyText"/>
              <w:spacing w:before="0" w:after="0" w:line="220" w:lineRule="auto"/>
            </w:pPr>
            <w:r>
              <w:t>支持动作与恢复资产</w:t>
            </w:r>
          </w:p>
        </w:tc>
        <w:tc>
          <w:tcPr>
            <w:tcW w:w="3190" w:type="dxa"/>
            <w:tcMar>
              <w:top w:w="60" w:type="dxa"/>
              <w:start w:w="85" w:type="dxa"/>
              <w:bottom w:w="60" w:type="dxa"/>
              <w:end w:w="85" w:type="dxa"/>
            </w:tcMar>
          </w:tcPr>
          <w:p>
            <w:pPr>
              <w:pStyle w:val="BodyText"/>
              <w:spacing w:before="0" w:after="0" w:line="220" w:lineRule="auto"/>
            </w:pPr>
            <w:r>
              <w:t>范围与升级</w:t>
            </w:r>
          </w:p>
        </w:tc>
      </w:tr>
      <w:tr>
        <w:trPr>
          <w:cantSplit/>
        </w:trPr>
        <w:tc>
          <w:tcPr>
            <w:tcW w:w="1800" w:type="dxa"/>
            <w:tcMar>
              <w:top w:w="60" w:type="dxa"/>
              <w:start w:w="85" w:type="dxa"/>
              <w:bottom w:w="60" w:type="dxa"/>
              <w:end w:w="85" w:type="dxa"/>
            </w:tcMar>
          </w:tcPr>
          <w:p>
            <w:pPr>
              <w:pStyle w:val="BodyText"/>
              <w:spacing w:before="0" w:after="0" w:line="220" w:lineRule="auto"/>
            </w:pPr>
            <w:r>
              <w:t>安装或配置失败</w:t>
            </w:r>
          </w:p>
        </w:tc>
        <w:tc>
          <w:tcPr>
            <w:tcW w:w="3960" w:type="dxa"/>
            <w:tcMar>
              <w:top w:w="60" w:type="dxa"/>
              <w:start w:w="85" w:type="dxa"/>
              <w:bottom w:w="60" w:type="dxa"/>
              <w:end w:w="85" w:type="dxa"/>
            </w:tcMar>
          </w:tcPr>
          <w:p>
            <w:pPr>
              <w:pStyle w:val="BodyText"/>
              <w:spacing w:before="0" w:after="0" w:line="220" w:lineRule="auto"/>
            </w:pPr>
            <w:r>
              <w:t>核对设备检查表，保留配置说明并回到可运行配置</w:t>
            </w:r>
          </w:p>
        </w:tc>
        <w:tc>
          <w:tcPr>
            <w:tcW w:w="3190" w:type="dxa"/>
            <w:tcMar>
              <w:top w:w="60" w:type="dxa"/>
              <w:start w:w="85" w:type="dxa"/>
              <w:bottom w:w="60" w:type="dxa"/>
              <w:end w:w="85" w:type="dxa"/>
            </w:tcMar>
          </w:tcPr>
          <w:p>
            <w:pPr>
              <w:pStyle w:val="BodyText"/>
              <w:spacing w:before="0" w:after="0" w:line="220" w:lineRule="auto"/>
            </w:pPr>
            <w:r>
              <w:t>系统或网络由机构协调；新增设备先确认范围</w:t>
            </w:r>
          </w:p>
        </w:tc>
      </w:tr>
      <w:tr>
        <w:trPr>
          <w:cantSplit/>
        </w:trPr>
        <w:tc>
          <w:tcPr>
            <w:tcW w:w="1800" w:type="dxa"/>
            <w:tcMar>
              <w:top w:w="60" w:type="dxa"/>
              <w:start w:w="85" w:type="dxa"/>
              <w:bottom w:w="60" w:type="dxa"/>
              <w:end w:w="85" w:type="dxa"/>
            </w:tcMar>
          </w:tcPr>
          <w:p>
            <w:pPr>
              <w:pStyle w:val="BodyText"/>
              <w:spacing w:before="0" w:after="0" w:line="220" w:lineRule="auto"/>
            </w:pPr>
            <w:r>
              <w:t>作品修改后无法运行</w:t>
            </w:r>
          </w:p>
        </w:tc>
        <w:tc>
          <w:tcPr>
            <w:tcW w:w="3960" w:type="dxa"/>
            <w:tcMar>
              <w:top w:w="60" w:type="dxa"/>
              <w:start w:w="85" w:type="dxa"/>
              <w:bottom w:w="60" w:type="dxa"/>
              <w:end w:w="85" w:type="dxa"/>
            </w:tcMar>
          </w:tcPr>
          <w:p>
            <w:pPr>
              <w:pStyle w:val="BodyText"/>
              <w:spacing w:before="0" w:after="0" w:line="220" w:lineRule="auto"/>
            </w:pPr>
            <w:r>
              <w:t>保留原项目和修订副本，利用轨迹定位并恢复最近可用作品</w:t>
            </w:r>
          </w:p>
        </w:tc>
        <w:tc>
          <w:tcPr>
            <w:tcW w:w="3190" w:type="dxa"/>
            <w:tcMar>
              <w:top w:w="60" w:type="dxa"/>
              <w:start w:w="85" w:type="dxa"/>
              <w:bottom w:w="60" w:type="dxa"/>
              <w:end w:w="85" w:type="dxa"/>
            </w:tcMar>
          </w:tcPr>
          <w:p>
            <w:pPr>
              <w:pStyle w:val="BodyText"/>
              <w:spacing w:before="0" w:after="0" w:line="220" w:lineRule="auto"/>
            </w:pPr>
            <w:r>
              <w:t>指导教师恢复；新功能需求另行估时</w:t>
            </w:r>
          </w:p>
        </w:tc>
      </w:tr>
      <w:tr>
        <w:trPr>
          <w:cantSplit/>
        </w:trPr>
        <w:tc>
          <w:tcPr>
            <w:tcW w:w="1800" w:type="dxa"/>
            <w:tcMar>
              <w:top w:w="60" w:type="dxa"/>
              <w:start w:w="85" w:type="dxa"/>
              <w:bottom w:w="60" w:type="dxa"/>
              <w:end w:w="85" w:type="dxa"/>
            </w:tcMar>
          </w:tcPr>
          <w:p>
            <w:pPr>
              <w:pStyle w:val="BodyText"/>
              <w:spacing w:before="0" w:after="0" w:line="220" w:lineRule="auto"/>
            </w:pPr>
            <w:r>
              <w:t>模型不可用或输出不适合</w:t>
            </w:r>
          </w:p>
        </w:tc>
        <w:tc>
          <w:tcPr>
            <w:tcW w:w="3960" w:type="dxa"/>
            <w:tcMar>
              <w:top w:w="60" w:type="dxa"/>
              <w:start w:w="85" w:type="dxa"/>
              <w:bottom w:w="60" w:type="dxa"/>
              <w:end w:w="85" w:type="dxa"/>
            </w:tcMar>
          </w:tcPr>
          <w:p>
            <w:pPr>
              <w:pStyle w:val="BodyText"/>
              <w:spacing w:before="0" w:after="0" w:line="220" w:lineRule="auto"/>
            </w:pPr>
            <w:r>
              <w:t>核对资源与用量，切回规则练习或已有合成输入</w:t>
            </w:r>
          </w:p>
        </w:tc>
        <w:tc>
          <w:tcPr>
            <w:tcW w:w="3190" w:type="dxa"/>
            <w:tcMar>
              <w:top w:w="60" w:type="dxa"/>
              <w:start w:w="85" w:type="dxa"/>
              <w:bottom w:w="60" w:type="dxa"/>
              <w:end w:w="85" w:type="dxa"/>
            </w:tcMar>
          </w:tcPr>
          <w:p>
            <w:pPr>
              <w:pStyle w:val="BodyText"/>
              <w:spacing w:before="0" w:after="0" w:line="220" w:lineRule="auto"/>
            </w:pPr>
            <w:r>
              <w:t>外部服务故障按供应商处理；教师决定内容使用</w:t>
            </w:r>
          </w:p>
        </w:tc>
      </w:tr>
      <w:tr>
        <w:trPr>
          <w:cantSplit/>
        </w:trPr>
        <w:tc>
          <w:tcPr>
            <w:tcW w:w="1800" w:type="dxa"/>
            <w:tcMar>
              <w:top w:w="60" w:type="dxa"/>
              <w:start w:w="85" w:type="dxa"/>
              <w:bottom w:w="60" w:type="dxa"/>
              <w:end w:w="85" w:type="dxa"/>
            </w:tcMar>
          </w:tcPr>
          <w:p>
            <w:pPr>
              <w:pStyle w:val="BodyText"/>
              <w:spacing w:before="0" w:after="0" w:line="220" w:lineRule="auto"/>
            </w:pPr>
            <w:r>
              <w:t>活动中断或支持超时</w:t>
            </w:r>
          </w:p>
        </w:tc>
        <w:tc>
          <w:tcPr>
            <w:tcW w:w="3960" w:type="dxa"/>
            <w:tcMar>
              <w:top w:w="60" w:type="dxa"/>
              <w:start w:w="85" w:type="dxa"/>
              <w:bottom w:w="60" w:type="dxa"/>
              <w:end w:w="85" w:type="dxa"/>
            </w:tcMar>
          </w:tcPr>
          <w:p>
            <w:pPr>
              <w:pStyle w:val="BodyText"/>
              <w:spacing w:before="0" w:after="0" w:line="220" w:lineRule="auto"/>
            </w:pPr>
            <w:r>
              <w:t>记录影响、已完成步骤和剩余任务，调整预约与活动计划</w:t>
            </w:r>
          </w:p>
        </w:tc>
        <w:tc>
          <w:tcPr>
            <w:tcW w:w="3190" w:type="dxa"/>
            <w:tcMar>
              <w:top w:w="60" w:type="dxa"/>
              <w:start w:w="85" w:type="dxa"/>
              <w:bottom w:w="60" w:type="dxa"/>
              <w:end w:w="85" w:type="dxa"/>
            </w:tcMar>
          </w:tcPr>
          <w:p>
            <w:pPr>
              <w:pStyle w:val="BodyText"/>
              <w:spacing w:before="0" w:after="0" w:line="220" w:lineRule="auto"/>
            </w:pPr>
            <w:r>
              <w:t>超过约定8周或24小时支持工时前协商变更</w:t>
            </w:r>
          </w:p>
        </w:tc>
      </w:tr>
    </w:tbl>
    <w:p>
      <w:pPr>
        <w:pStyle w:val="Heading1"/>
      </w:pPr>
      <w:bookmarkStart w:id="1012" w:name="_TocBlocky12"/>
      <w:r>
        <w:t>4. 交付资源与复用资产</w:t>
      </w:r>
      <w:bookmarkEnd w:id="1012"/>
    </w:p>
    <w:p>
      <w:pPr>
        <w:pStyle w:val="BodyText"/>
      </w:pPr>
      <w:r>
        <w:t>交付依托当前Windows桌面阶段成果、版本化可编辑项目、受控资源配置和运行轨迹。可核对的产品成果包括作品保存重开、积木运行定位、模型资源配置与构建助手修改审阅；故事条件对照与普通包资料演示提供不同范围的实际能力证据。[P1][P2][P3] 教学资产围绕这些成果形成，不把等效人力预算当成现实人员配置。</w:t>
      </w:r>
    </w:p>
    <w:p>
      <w:pPr>
        <w:pStyle w:val="BodyText"/>
      </w:pPr>
      <w:r>
        <w:t>可重复交付资产分为三个层次：产品层保留可撤销项目与版本，作品层保留3个精简教学项目、修改对照及恢复副本，组织层保留教师指南、两次培训演练材料、设备检查表和支持记录。机构专属资料与通用课程资产分别管理，未经许可不将学生资料或机构内容复用到下一份服务。</w:t>
      </w:r>
    </w:p>
    <w:p>
      <w:pPr>
        <w:pStyle w:val="BodyText"/>
      </w:pPr>
      <w:r>
        <w:t>合作资源安排从教师共创开始，由具备活动组织条件的教师协助确认课时、语言难度和观察方法；机构提供设备、网络和课堂许可。需要现场配置、课程设计或专业判断时按具体任务协调支持，并在排期前确认可用时间与费用。固定投入和外援上限沿用财务预算，形成合同前才据实际资源承诺交付。</w:t>
      </w:r>
    </w:p>
    <w:p>
      <w:pPr>
        <w:pStyle w:val="BodyText"/>
      </w:pPr>
      <w:r>
        <w:t>个人版采取完全开源与完整功能免费策略，社区以蓝图、可编辑作品、教学任务、CLI使用说明和问题复现资料开展共创。公开代码和贡献流程属于发布安排，不将规划表述为已经形成活跃社区；首批优先形成可重现的作品和清晰贡献入口，再以实际贡献、作品复用和问题解决记录判断社区价值。</w:t>
      </w:r>
    </w:p>
    <w:p>
      <w:pPr>
        <w:pStyle w:val="BodyText"/>
      </w:pPr>
      <w:r>
        <w:t>社区贡献首先进入可审查候选，作品说明保留适用版本、资源配置与许可来源，再验证后纳入通用资产。教师可贡献活动变体与匿名反馈，开发者可贡献兼容、工具和文档改进；学校专属内容及学生资料需要独立授权，避免把机构交付资产直接公开。</w:t>
      </w:r>
    </w:p>
    <w:p>
      <w:pPr>
        <w:pStyle w:val="Heading1"/>
      </w:pPr>
      <w:bookmarkStart w:id="1013" w:name="_TocBlocky13"/>
      <w:r>
        <w:t>5. 战略实施与财务安排</w:t>
      </w:r>
      <w:bookmarkEnd w:id="1013"/>
    </w:p>
    <w:p>
      <w:pPr>
        <w:pStyle w:val="BodyText"/>
      </w:pPr>
      <w:r>
        <w:t>实施顺序从需求验证进入可重复交付，再进入机构能力建设。每一步都要回答是否存在值得继续投入的用户价值与支付意愿。财务预测用于设置资源上限，不能替代客户证据。</w:t>
      </w:r>
    </w:p>
    <w:p>
      <w:pPr>
        <w:pStyle w:val="Heading2"/>
      </w:pPr>
      <w:bookmarkStart w:id="1014" w:name="_TocBlocky14"/>
      <w:r>
        <w:t>5.1 市场进入与定位</w:t>
      </w:r>
      <w:bookmarkEnd w:id="1014"/>
    </w:p>
    <w:p>
      <w:pPr>
        <w:pStyle w:val="BodyText"/>
      </w:pPr>
      <w:r>
        <w:t>第一阶段只进入小学Agent创作入门活动，先用故事角色和规则部件帮助孩子读懂结构，再在受控配置中引入模型。选择该任务是因为角色、任务、条件、输出和轨迹能对应到现有软件能力，且有明确学生行动；它仍需验证阅读与操作负担。教师能独立复用后才讨论机构服务报价，不先建设完整学校平台。</w:t>
      </w:r>
    </w:p>
    <w:p>
      <w:pPr>
        <w:pStyle w:val="BodyText"/>
      </w:pPr>
      <w:r>
        <w:t>OPC（一人公司）的Agent员工是后续方向，可用同一结构和轨迹审阅资料整理流程的职责、步骤与权限。当前投入优先服务小学作品与教师复用，OPC不进入收入、合同量或资源预算。</w:t>
      </w:r>
    </w:p>
    <w:p>
      <w:pPr>
        <w:pStyle w:val="BodyText"/>
      </w:pPr>
      <w:r>
        <w:t>小学阶段积累可编辑作品、教学修改对照、教师准备指南与问题恢复资料，再根据独立复用和支持工时判断扩展。进入更多学科与机构前，先确认同类任务能复用、交付资源可安排和采购条件可执行，避免只扩大下载规模。</w:t>
      </w:r>
    </w:p>
    <w:p>
      <w:pPr>
        <w:pStyle w:val="Heading2"/>
      </w:pPr>
      <w:bookmarkStart w:id="1015" w:name="_TocBlocky15"/>
      <w:r>
        <w:t>5.2 商业模式与单位经济</w:t>
      </w:r>
      <w:bookmarkEnd w:id="1015"/>
    </w:p>
    <w:p>
      <w:pPr>
        <w:pStyle w:val="BodyText"/>
      </w:pPr>
      <w:r>
        <w:t>当前财务仅测算试点教育服务，个人软件许可收入为零；新增组织后台订阅、独立算力收入和OPC未计入预测，后台研发及运营成本也未新增。基准合同单价1.8万元，80小时交付按内部工时80元/小时预算，再计模型额度1400元、交通资料等600元和收入2%的税费现金预留。基准单份合同在全部由内部人员交付时，留出9240元覆盖固定运营与发展；若交付全部使用100元/小时的外部增援，留出7640元。</w:t>
      </w:r>
    </w:p>
    <w:p>
      <w:pPr>
        <w:pStyle w:val="BodyText"/>
      </w:pPr>
      <w:r>
        <w:t>上述余额尚须承担每年9.36万元固定核心报酬及运营费和0.4万元设备折旧。按内部交付静态计算，年度损益平衡约需11份合同；实际高峰排期需要增援，因此应以逐月模型为准，不将11份作为保证盈利的销量门槛。合同数增加而支持工时不下降，可能放大收入同时持续占用现金。</w:t>
      </w:r>
    </w:p>
    <w:p>
      <w:pPr>
        <w:pStyle w:val="BodyText"/>
      </w:pPr>
      <w:r>
        <w:t>个人软件免费与完全开源策略降低开始和改造门槛，外部模型成本仍需独立安排。当前服务情景保留每份1400元模型成本预留；新的算力订阅需要另行核定价格、用量、供应商成本与账户责任，不能从旧服务均价中推导出算力利润。组织后台也需先核对功能、采购意愿和建设成本，再增加独立收入与成本测算。</w:t>
      </w:r>
    </w:p>
    <w:p>
      <w:pPr>
        <w:pStyle w:val="BodyText"/>
      </w:pPr>
      <w:r>
        <w:t>现有试点服务模型预留1400元按合同周期共享上限管理，不是30位学生分别拥有相同费用，也不意味着必须花完。输入与输出Token预算由现有财务假设决定，本次不改动。独立算力订阅属于新增商业方向，其收入与成本以后单独测算；服务样例的1班30人、6次活动只解释使用规模，实际消耗还取决于上下文、输出长度、调用次数与重试。</w:t>
      </w:r>
    </w:p>
    <w:p>
      <w:pPr>
        <w:pStyle w:val="BodyText"/>
      </w:pPr>
      <w:r>
        <w:t>首轮用量采集按匿名活动编号记录参与人数、模型实际名称、输入与输出Token、成功调用和重试次数，再按“人数×活动次数×人均调用次数×平均输入/输出长度”估算合同周期。教师演示与配置测试单独记录并计入共享上限；达到约定阈值时通知教师、缩短上下文或调整后续安排，新增额度须重新确认。不能从100百万Token预算推导出已发生消耗或学生使用成效。</w:t>
      </w:r>
    </w:p>
    <w:p>
      <w:pPr>
        <w:pStyle w:val="Heading2"/>
      </w:pPr>
      <w:bookmarkStart w:id="1016" w:name="_TocBlocky16"/>
      <w:r>
        <w:t>5.3 阶段目标</w:t>
      </w:r>
      <w:bookmarkEnd w:id="1016"/>
    </w:p>
    <w:p>
      <w:pPr>
        <w:pStyle w:val="BodyText"/>
      </w:pPr>
      <w:r>
        <w:t>进展主要衡量学生能否解释结构、自主修改并为不同目标搭建，以及教师能否独立复用。Table 11（表11）为计划目标，基线均未测；人数、完成率、提示次数、教师代操作和失败原因必须同时记录。两轮试用仅支持方向判断，不能用于宣称普遍教育提升或课程已规模化。</w:t>
      </w:r>
    </w:p>
    <w:p>
      <w:pPr>
        <w:pStyle w:val="Tabletitle"/>
        <w:keepNext/>
      </w:pPr>
      <w:r>
        <w:t>Table 11. 阶段目标与责任</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356"/>
        <w:gridCol w:w="2577"/>
        <w:gridCol w:w="2305"/>
        <w:gridCol w:w="2712"/>
      </w:tblGrid>
      <w:tr>
        <w:trPr>
          <w:cantSplit/>
          <w:tblHeader w:val="true"/>
        </w:trPr>
        <w:tc>
          <w:tcPr>
            <w:tcW w:w="1356" w:type="dxa"/>
            <w:tcMar>
              <w:top w:w="60" w:type="dxa"/>
              <w:start w:w="85" w:type="dxa"/>
              <w:bottom w:w="60" w:type="dxa"/>
              <w:end w:w="85" w:type="dxa"/>
            </w:tcMar>
          </w:tcPr>
          <w:p>
            <w:pPr>
              <w:pStyle w:val="BodyText"/>
              <w:spacing w:before="0" w:after="0" w:line="220" w:lineRule="auto"/>
            </w:pPr>
            <w:r>
              <w:t>目标</w:t>
            </w:r>
          </w:p>
        </w:tc>
        <w:tc>
          <w:tcPr>
            <w:tcW w:w="2577" w:type="dxa"/>
            <w:tcMar>
              <w:top w:w="60" w:type="dxa"/>
              <w:start w:w="85" w:type="dxa"/>
              <w:bottom w:w="60" w:type="dxa"/>
              <w:end w:w="85" w:type="dxa"/>
            </w:tcMar>
          </w:tcPr>
          <w:p>
            <w:pPr>
              <w:pStyle w:val="BodyText"/>
              <w:spacing w:before="0" w:after="0" w:line="220" w:lineRule="auto"/>
            </w:pPr>
            <w:r>
              <w:t>基线及计划目标</w:t>
            </w:r>
          </w:p>
        </w:tc>
        <w:tc>
          <w:tcPr>
            <w:tcW w:w="2305" w:type="dxa"/>
            <w:tcMar>
              <w:top w:w="60" w:type="dxa"/>
              <w:start w:w="85" w:type="dxa"/>
              <w:bottom w:w="60" w:type="dxa"/>
              <w:end w:w="85" w:type="dxa"/>
            </w:tcMar>
          </w:tcPr>
          <w:p>
            <w:pPr>
              <w:pStyle w:val="BodyText"/>
              <w:spacing w:before="0" w:after="0" w:line="220" w:lineRule="auto"/>
            </w:pPr>
            <w:r>
              <w:t>时间与责任</w:t>
            </w:r>
          </w:p>
        </w:tc>
        <w:tc>
          <w:tcPr>
            <w:tcW w:w="2712" w:type="dxa"/>
            <w:tcMar>
              <w:top w:w="60" w:type="dxa"/>
              <w:start w:w="85" w:type="dxa"/>
              <w:bottom w:w="60" w:type="dxa"/>
              <w:end w:w="85" w:type="dxa"/>
            </w:tcMar>
          </w:tcPr>
          <w:p>
            <w:pPr>
              <w:pStyle w:val="BodyText"/>
              <w:spacing w:before="0" w:after="0" w:line="220" w:lineRule="auto"/>
            </w:pPr>
            <w:r>
              <w:t>判定依据</w:t>
            </w:r>
          </w:p>
        </w:tc>
      </w:tr>
      <w:tr>
        <w:trPr>
          <w:cantSplit/>
        </w:trPr>
        <w:tc>
          <w:tcPr>
            <w:tcW w:w="1356" w:type="dxa"/>
            <w:tcMar>
              <w:top w:w="60" w:type="dxa"/>
              <w:start w:w="85" w:type="dxa"/>
              <w:bottom w:w="60" w:type="dxa"/>
              <w:end w:w="85" w:type="dxa"/>
            </w:tcMar>
          </w:tcPr>
          <w:p>
            <w:pPr>
              <w:pStyle w:val="BodyText"/>
              <w:spacing w:before="0" w:after="0" w:line="220" w:lineRule="auto"/>
            </w:pPr>
            <w:r>
              <w:t>需求确认</w:t>
            </w:r>
          </w:p>
        </w:tc>
        <w:tc>
          <w:tcPr>
            <w:tcW w:w="2577" w:type="dxa"/>
            <w:tcMar>
              <w:top w:w="60" w:type="dxa"/>
              <w:start w:w="85" w:type="dxa"/>
              <w:bottom w:w="60" w:type="dxa"/>
              <w:end w:w="85" w:type="dxa"/>
            </w:tcMar>
          </w:tcPr>
          <w:p>
            <w:pPr>
              <w:pStyle w:val="BodyText"/>
              <w:spacing w:before="0" w:after="0" w:line="220" w:lineRule="auto"/>
            </w:pPr>
            <w:r>
              <w:t>基线未测；至少10次教师访谈</w:t>
            </w:r>
          </w:p>
        </w:tc>
        <w:tc>
          <w:tcPr>
            <w:tcW w:w="2305" w:type="dxa"/>
            <w:tcMar>
              <w:top w:w="60" w:type="dxa"/>
              <w:start w:w="85" w:type="dxa"/>
              <w:bottom w:w="60" w:type="dxa"/>
              <w:end w:w="85" w:type="dxa"/>
            </w:tcMar>
          </w:tcPr>
          <w:p>
            <w:pPr>
              <w:pStyle w:val="BodyText"/>
              <w:spacing w:before="0" w:after="0" w:line="220" w:lineRule="auto"/>
            </w:pPr>
            <w:r>
              <w:t>2026年11月；教学运营</w:t>
            </w:r>
          </w:p>
        </w:tc>
        <w:tc>
          <w:tcPr>
            <w:tcW w:w="2712" w:type="dxa"/>
            <w:tcMar>
              <w:top w:w="60" w:type="dxa"/>
              <w:start w:w="85" w:type="dxa"/>
              <w:bottom w:w="60" w:type="dxa"/>
              <w:end w:w="85" w:type="dxa"/>
            </w:tcMar>
          </w:tcPr>
          <w:p>
            <w:pPr>
              <w:pStyle w:val="BodyText"/>
              <w:spacing w:before="0" w:after="0" w:line="220" w:lineRule="auto"/>
            </w:pPr>
            <w:r>
              <w:t>具体任务、现有做法、阻碍和采购条件</w:t>
            </w:r>
          </w:p>
        </w:tc>
      </w:tr>
      <w:tr>
        <w:trPr>
          <w:cantSplit/>
        </w:trPr>
        <w:tc>
          <w:tcPr>
            <w:tcW w:w="1356" w:type="dxa"/>
            <w:tcMar>
              <w:top w:w="60" w:type="dxa"/>
              <w:start w:w="85" w:type="dxa"/>
              <w:bottom w:w="60" w:type="dxa"/>
              <w:end w:w="85" w:type="dxa"/>
            </w:tcMar>
          </w:tcPr>
          <w:p>
            <w:pPr>
              <w:pStyle w:val="BodyText"/>
              <w:spacing w:before="0" w:after="0" w:line="220" w:lineRule="auto"/>
            </w:pPr>
            <w:r>
              <w:t>课程试用</w:t>
            </w:r>
          </w:p>
        </w:tc>
        <w:tc>
          <w:tcPr>
            <w:tcW w:w="2577" w:type="dxa"/>
            <w:tcMar>
              <w:top w:w="60" w:type="dxa"/>
              <w:start w:w="85" w:type="dxa"/>
              <w:bottom w:w="60" w:type="dxa"/>
              <w:end w:w="85" w:type="dxa"/>
            </w:tcMar>
          </w:tcPr>
          <w:p>
            <w:pPr>
              <w:pStyle w:val="BodyText"/>
              <w:spacing w:before="0" w:after="0" w:line="220" w:lineRule="auto"/>
            </w:pPr>
            <w:r>
              <w:t>基线未测；2次完整试用</w:t>
            </w:r>
          </w:p>
        </w:tc>
        <w:tc>
          <w:tcPr>
            <w:tcW w:w="2305" w:type="dxa"/>
            <w:tcMar>
              <w:top w:w="60" w:type="dxa"/>
              <w:start w:w="85" w:type="dxa"/>
              <w:bottom w:w="60" w:type="dxa"/>
              <w:end w:w="85" w:type="dxa"/>
            </w:tcMar>
          </w:tcPr>
          <w:p>
            <w:pPr>
              <w:pStyle w:val="BodyText"/>
              <w:spacing w:before="0" w:after="0" w:line="220" w:lineRule="auto"/>
            </w:pPr>
            <w:r>
              <w:t>2026年12月；交付安排</w:t>
            </w:r>
          </w:p>
        </w:tc>
        <w:tc>
          <w:tcPr>
            <w:tcW w:w="2712" w:type="dxa"/>
            <w:tcMar>
              <w:top w:w="60" w:type="dxa"/>
              <w:start w:w="85" w:type="dxa"/>
              <w:bottom w:w="60" w:type="dxa"/>
              <w:end w:w="85" w:type="dxa"/>
            </w:tcMar>
          </w:tcPr>
          <w:p>
            <w:pPr>
              <w:pStyle w:val="BodyText"/>
              <w:spacing w:before="0" w:after="0" w:line="220" w:lineRule="auto"/>
            </w:pPr>
            <w:r>
              <w:t>记录预测、改造、自主搭建和解释，注明提示程度</w:t>
            </w:r>
          </w:p>
        </w:tc>
      </w:tr>
      <w:tr>
        <w:trPr>
          <w:cantSplit/>
        </w:trPr>
        <w:tc>
          <w:tcPr>
            <w:tcW w:w="1356" w:type="dxa"/>
            <w:tcMar>
              <w:top w:w="60" w:type="dxa"/>
              <w:start w:w="85" w:type="dxa"/>
              <w:bottom w:w="60" w:type="dxa"/>
              <w:end w:w="85" w:type="dxa"/>
            </w:tcMar>
          </w:tcPr>
          <w:p>
            <w:pPr>
              <w:pStyle w:val="BodyText"/>
              <w:spacing w:before="0" w:after="0" w:line="220" w:lineRule="auto"/>
            </w:pPr>
            <w:r>
              <w:t>教师复用</w:t>
            </w:r>
          </w:p>
        </w:tc>
        <w:tc>
          <w:tcPr>
            <w:tcW w:w="2577" w:type="dxa"/>
            <w:tcMar>
              <w:top w:w="60" w:type="dxa"/>
              <w:start w:w="85" w:type="dxa"/>
              <w:bottom w:w="60" w:type="dxa"/>
              <w:end w:w="85" w:type="dxa"/>
            </w:tcMar>
          </w:tcPr>
          <w:p>
            <w:pPr>
              <w:pStyle w:val="BodyText"/>
              <w:spacing w:before="0" w:after="0" w:line="220" w:lineRule="auto"/>
            </w:pPr>
            <w:r>
              <w:t>基线未测；至少1位教师独立复用</w:t>
            </w:r>
          </w:p>
        </w:tc>
        <w:tc>
          <w:tcPr>
            <w:tcW w:w="2305" w:type="dxa"/>
            <w:tcMar>
              <w:top w:w="60" w:type="dxa"/>
              <w:start w:w="85" w:type="dxa"/>
              <w:bottom w:w="60" w:type="dxa"/>
              <w:end w:w="85" w:type="dxa"/>
            </w:tcMar>
          </w:tcPr>
          <w:p>
            <w:pPr>
              <w:pStyle w:val="BodyText"/>
              <w:spacing w:before="0" w:after="0" w:line="220" w:lineRule="auto"/>
            </w:pPr>
            <w:r>
              <w:t>2027年1月；教学运营</w:t>
            </w:r>
          </w:p>
        </w:tc>
        <w:tc>
          <w:tcPr>
            <w:tcW w:w="2712" w:type="dxa"/>
            <w:tcMar>
              <w:top w:w="60" w:type="dxa"/>
              <w:start w:w="85" w:type="dxa"/>
              <w:bottom w:w="60" w:type="dxa"/>
              <w:end w:w="85" w:type="dxa"/>
            </w:tcMar>
          </w:tcPr>
          <w:p>
            <w:pPr>
              <w:pStyle w:val="BodyText"/>
              <w:spacing w:before="0" w:after="0" w:line="220" w:lineRule="auto"/>
            </w:pPr>
            <w:r>
              <w:t>教师不由团队代操作，独立准备并组织创作活动</w:t>
            </w:r>
          </w:p>
        </w:tc>
      </w:tr>
      <w:tr>
        <w:trPr>
          <w:cantSplit/>
        </w:trPr>
        <w:tc>
          <w:tcPr>
            <w:tcW w:w="1356" w:type="dxa"/>
            <w:tcMar>
              <w:top w:w="60" w:type="dxa"/>
              <w:start w:w="85" w:type="dxa"/>
              <w:bottom w:w="60" w:type="dxa"/>
              <w:end w:w="85" w:type="dxa"/>
            </w:tcMar>
          </w:tcPr>
          <w:p>
            <w:pPr>
              <w:pStyle w:val="BodyText"/>
              <w:spacing w:before="0" w:after="0" w:line="220" w:lineRule="auto"/>
            </w:pPr>
            <w:r>
              <w:t>付费交付</w:t>
            </w:r>
          </w:p>
        </w:tc>
        <w:tc>
          <w:tcPr>
            <w:tcW w:w="2577" w:type="dxa"/>
            <w:tcMar>
              <w:top w:w="60" w:type="dxa"/>
              <w:start w:w="85" w:type="dxa"/>
              <w:bottom w:w="60" w:type="dxa"/>
              <w:end w:w="85" w:type="dxa"/>
            </w:tcMar>
          </w:tcPr>
          <w:p>
            <w:pPr>
              <w:pStyle w:val="BodyText"/>
              <w:spacing w:before="0" w:after="0" w:line="220" w:lineRule="auto"/>
            </w:pPr>
            <w:r>
              <w:t>当前无确认合同；2027年4份目标</w:t>
            </w:r>
          </w:p>
        </w:tc>
        <w:tc>
          <w:tcPr>
            <w:tcW w:w="2305" w:type="dxa"/>
            <w:tcMar>
              <w:top w:w="60" w:type="dxa"/>
              <w:start w:w="85" w:type="dxa"/>
              <w:bottom w:w="60" w:type="dxa"/>
              <w:end w:w="85" w:type="dxa"/>
            </w:tcMar>
          </w:tcPr>
          <w:p>
            <w:pPr>
              <w:pStyle w:val="BodyText"/>
              <w:spacing w:before="0" w:after="0" w:line="220" w:lineRule="auto"/>
            </w:pPr>
            <w:r>
              <w:t>2027年；教学运营</w:t>
            </w:r>
          </w:p>
        </w:tc>
        <w:tc>
          <w:tcPr>
            <w:tcW w:w="2712" w:type="dxa"/>
            <w:tcMar>
              <w:top w:w="60" w:type="dxa"/>
              <w:start w:w="85" w:type="dxa"/>
              <w:bottom w:w="60" w:type="dxa"/>
              <w:end w:w="85" w:type="dxa"/>
            </w:tcMar>
          </w:tcPr>
          <w:p>
            <w:pPr>
              <w:pStyle w:val="BodyText"/>
              <w:spacing w:before="0" w:after="0" w:line="220" w:lineRule="auto"/>
            </w:pPr>
            <w:r>
              <w:t>范围、回款、工时与客户确认完整</w:t>
            </w:r>
          </w:p>
        </w:tc>
      </w:tr>
    </w:tbl>
    <w:p>
      <w:pPr>
        <w:pStyle w:val="BodyText"/>
      </w:pPr>
      <w:r>
        <w:t>初步决策门槛是至少80%的参与者在约定课时完成结构识别和一次自主改造，教师不代操作；另记录自主搭建和解释的完成情况，至少1位教师在支持方不代操作时独立复用。阈值是内部计划标准，非课程效果承诺。若样本小、帮助频繁或只完成模仿，应降低结论强度并继续修改入门任务。</w:t>
      </w:r>
    </w:p>
    <w:p>
      <w:pPr>
        <w:pStyle w:val="BodyText"/>
      </w:pPr>
      <w:r>
        <w:t>学习记录采用同一任务卡、固定课时和匿名编号，保存原项目、修改项目及解释。帮助等级约定为H0独立完成，H1仅重述任务，H2指出部件或提示步骤，H3教师代操作。Table 12（表12）列出观察规则；完成与帮助分开统计，H3不计自主完成，按原始参与人数报告分母及缺失原因。</w:t>
      </w:r>
    </w:p>
    <w:p>
      <w:pPr>
        <w:pStyle w:val="Tabletitle"/>
        <w:keepNext/>
      </w:pPr>
      <w:r>
        <w:t>Table 12. 学习与教师复用的观察规则</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6"/>
        <w:gridCol w:w="3672"/>
        <w:gridCol w:w="3622"/>
      </w:tblGrid>
      <w:tr>
        <w:trPr>
          <w:cantSplit/>
          <w:tblHeader w:val="true"/>
        </w:trPr>
        <w:tc>
          <w:tcPr>
            <w:tcW w:w="1656" w:type="dxa"/>
            <w:tcMar>
              <w:top w:w="60" w:type="dxa"/>
              <w:start w:w="85" w:type="dxa"/>
              <w:bottom w:w="60" w:type="dxa"/>
              <w:end w:w="85" w:type="dxa"/>
            </w:tcMar>
          </w:tcPr>
          <w:p>
            <w:pPr>
              <w:pStyle w:val="BodyText"/>
              <w:spacing w:before="0" w:after="0" w:line="220" w:lineRule="auto"/>
            </w:pPr>
            <w:r>
              <w:t>观察任务</w:t>
            </w:r>
          </w:p>
        </w:tc>
        <w:tc>
          <w:tcPr>
            <w:tcW w:w="3672" w:type="dxa"/>
            <w:tcMar>
              <w:top w:w="60" w:type="dxa"/>
              <w:start w:w="85" w:type="dxa"/>
              <w:bottom w:w="60" w:type="dxa"/>
              <w:end w:w="85" w:type="dxa"/>
            </w:tcMar>
          </w:tcPr>
          <w:p>
            <w:pPr>
              <w:pStyle w:val="BodyText"/>
              <w:spacing w:before="0" w:after="0" w:line="220" w:lineRule="auto"/>
            </w:pPr>
            <w:r>
              <w:t>采集证据</w:t>
            </w:r>
          </w:p>
        </w:tc>
        <w:tc>
          <w:tcPr>
            <w:tcW w:w="3622" w:type="dxa"/>
            <w:tcMar>
              <w:top w:w="60" w:type="dxa"/>
              <w:start w:w="85" w:type="dxa"/>
              <w:bottom w:w="60" w:type="dxa"/>
              <w:end w:w="85" w:type="dxa"/>
            </w:tcMar>
          </w:tcPr>
          <w:p>
            <w:pPr>
              <w:pStyle w:val="BodyText"/>
              <w:spacing w:before="0" w:after="0" w:line="220" w:lineRule="auto"/>
            </w:pPr>
            <w:r>
              <w:t>计划判读</w:t>
            </w:r>
          </w:p>
        </w:tc>
      </w:tr>
      <w:tr>
        <w:trPr>
          <w:cantSplit/>
        </w:trPr>
        <w:tc>
          <w:tcPr>
            <w:tcW w:w="1656" w:type="dxa"/>
            <w:tcMar>
              <w:top w:w="60" w:type="dxa"/>
              <w:start w:w="85" w:type="dxa"/>
              <w:bottom w:w="60" w:type="dxa"/>
              <w:end w:w="85" w:type="dxa"/>
            </w:tcMar>
          </w:tcPr>
          <w:p>
            <w:pPr>
              <w:pStyle w:val="BodyText"/>
              <w:spacing w:before="0" w:after="0" w:line="220" w:lineRule="auto"/>
            </w:pPr>
            <w:r>
              <w:t>结构预测</w:t>
            </w:r>
          </w:p>
        </w:tc>
        <w:tc>
          <w:tcPr>
            <w:tcW w:w="3672" w:type="dxa"/>
            <w:tcMar>
              <w:top w:w="60" w:type="dxa"/>
              <w:start w:w="85" w:type="dxa"/>
              <w:bottom w:w="60" w:type="dxa"/>
              <w:end w:w="85" w:type="dxa"/>
            </w:tcMar>
          </w:tcPr>
          <w:p>
            <w:pPr>
              <w:pStyle w:val="BodyText"/>
              <w:spacing w:before="0" w:after="0" w:line="220" w:lineRule="auto"/>
            </w:pPr>
            <w:r>
              <w:t>运行前标出角色、输入、条件与输出并预测分支</w:t>
            </w:r>
          </w:p>
        </w:tc>
        <w:tc>
          <w:tcPr>
            <w:tcW w:w="3622" w:type="dxa"/>
            <w:tcMar>
              <w:top w:w="60" w:type="dxa"/>
              <w:start w:w="85" w:type="dxa"/>
              <w:bottom w:w="60" w:type="dxa"/>
              <w:end w:w="85" w:type="dxa"/>
            </w:tcMar>
          </w:tcPr>
          <w:p>
            <w:pPr>
              <w:pStyle w:val="BodyText"/>
              <w:spacing w:before="0" w:after="0" w:line="220" w:lineRule="auto"/>
            </w:pPr>
            <w:r>
              <w:t>记录正确项与理由；不以运行后照抄替代预测</w:t>
            </w:r>
          </w:p>
        </w:tc>
      </w:tr>
      <w:tr>
        <w:trPr>
          <w:cantSplit/>
        </w:trPr>
        <w:tc>
          <w:tcPr>
            <w:tcW w:w="1656" w:type="dxa"/>
            <w:tcMar>
              <w:top w:w="60" w:type="dxa"/>
              <w:start w:w="85" w:type="dxa"/>
              <w:bottom w:w="60" w:type="dxa"/>
              <w:end w:w="85" w:type="dxa"/>
            </w:tcMar>
          </w:tcPr>
          <w:p>
            <w:pPr>
              <w:pStyle w:val="BodyText"/>
              <w:spacing w:before="0" w:after="0" w:line="220" w:lineRule="auto"/>
            </w:pPr>
            <w:r>
              <w:t>单处改造</w:t>
            </w:r>
          </w:p>
        </w:tc>
        <w:tc>
          <w:tcPr>
            <w:tcW w:w="3672" w:type="dxa"/>
            <w:tcMar>
              <w:top w:w="60" w:type="dxa"/>
              <w:start w:w="85" w:type="dxa"/>
              <w:bottom w:w="60" w:type="dxa"/>
              <w:end w:w="85" w:type="dxa"/>
            </w:tcMar>
          </w:tcPr>
          <w:p>
            <w:pPr>
              <w:pStyle w:val="BodyText"/>
              <w:spacing w:before="0" w:after="0" w:line="220" w:lineRule="auto"/>
            </w:pPr>
            <w:r>
              <w:t>只改一个条件的项目副本与两次结果</w:t>
            </w:r>
          </w:p>
        </w:tc>
        <w:tc>
          <w:tcPr>
            <w:tcW w:w="3622" w:type="dxa"/>
            <w:tcMar>
              <w:top w:w="60" w:type="dxa"/>
              <w:start w:w="85" w:type="dxa"/>
              <w:bottom w:w="60" w:type="dxa"/>
              <w:end w:w="85" w:type="dxa"/>
            </w:tcMar>
          </w:tcPr>
          <w:p>
            <w:pPr>
              <w:pStyle w:val="BodyText"/>
              <w:spacing w:before="0" w:after="0" w:line="220" w:lineRule="auto"/>
            </w:pPr>
            <w:r>
              <w:t>记录修改位置、结果差异与H0至H3帮助</w:t>
            </w:r>
          </w:p>
        </w:tc>
      </w:tr>
      <w:tr>
        <w:trPr>
          <w:cantSplit/>
        </w:trPr>
        <w:tc>
          <w:tcPr>
            <w:tcW w:w="1656" w:type="dxa"/>
            <w:tcMar>
              <w:top w:w="60" w:type="dxa"/>
              <w:start w:w="85" w:type="dxa"/>
              <w:bottom w:w="60" w:type="dxa"/>
              <w:end w:w="85" w:type="dxa"/>
            </w:tcMar>
          </w:tcPr>
          <w:p>
            <w:pPr>
              <w:pStyle w:val="BodyText"/>
              <w:spacing w:before="0" w:after="0" w:line="220" w:lineRule="auto"/>
            </w:pPr>
            <w:r>
              <w:t>迁移搭建</w:t>
            </w:r>
          </w:p>
        </w:tc>
        <w:tc>
          <w:tcPr>
            <w:tcW w:w="3672" w:type="dxa"/>
            <w:tcMar>
              <w:top w:w="60" w:type="dxa"/>
              <w:start w:w="85" w:type="dxa"/>
              <w:bottom w:w="60" w:type="dxa"/>
              <w:end w:w="85" w:type="dxa"/>
            </w:tcMar>
          </w:tcPr>
          <w:p>
            <w:pPr>
              <w:pStyle w:val="BodyText"/>
              <w:spacing w:before="0" w:after="0" w:line="220" w:lineRule="auto"/>
            </w:pPr>
            <w:r>
              <w:t>换一个目标使用有限部件建立新项目</w:t>
            </w:r>
          </w:p>
        </w:tc>
        <w:tc>
          <w:tcPr>
            <w:tcW w:w="3622" w:type="dxa"/>
            <w:tcMar>
              <w:top w:w="60" w:type="dxa"/>
              <w:start w:w="85" w:type="dxa"/>
              <w:bottom w:w="60" w:type="dxa"/>
              <w:end w:w="85" w:type="dxa"/>
            </w:tcMar>
          </w:tcPr>
          <w:p>
            <w:pPr>
              <w:pStyle w:val="BodyText"/>
              <w:spacing w:before="0" w:after="0" w:line="220" w:lineRule="auto"/>
            </w:pPr>
            <w:r>
              <w:t>能解释部件选择；模仿原项目单列</w:t>
            </w:r>
          </w:p>
        </w:tc>
      </w:tr>
      <w:tr>
        <w:trPr>
          <w:cantSplit/>
        </w:trPr>
        <w:tc>
          <w:tcPr>
            <w:tcW w:w="1656" w:type="dxa"/>
            <w:tcMar>
              <w:top w:w="60" w:type="dxa"/>
              <w:start w:w="85" w:type="dxa"/>
              <w:bottom w:w="60" w:type="dxa"/>
              <w:end w:w="85" w:type="dxa"/>
            </w:tcMar>
          </w:tcPr>
          <w:p>
            <w:pPr>
              <w:pStyle w:val="BodyText"/>
              <w:spacing w:before="0" w:after="0" w:line="220" w:lineRule="auto"/>
            </w:pPr>
            <w:r>
              <w:t>调试解释</w:t>
            </w:r>
          </w:p>
        </w:tc>
        <w:tc>
          <w:tcPr>
            <w:tcW w:w="3672" w:type="dxa"/>
            <w:tcMar>
              <w:top w:w="60" w:type="dxa"/>
              <w:start w:w="85" w:type="dxa"/>
              <w:bottom w:w="60" w:type="dxa"/>
              <w:end w:w="85" w:type="dxa"/>
            </w:tcMar>
          </w:tcPr>
          <w:p>
            <w:pPr>
              <w:pStyle w:val="BodyText"/>
              <w:spacing w:before="0" w:after="0" w:line="220" w:lineRule="auto"/>
            </w:pPr>
            <w:r>
              <w:t>指出错误积木、修改并对照轨迹</w:t>
            </w:r>
          </w:p>
        </w:tc>
        <w:tc>
          <w:tcPr>
            <w:tcW w:w="3622" w:type="dxa"/>
            <w:tcMar>
              <w:top w:w="60" w:type="dxa"/>
              <w:start w:w="85" w:type="dxa"/>
              <w:bottom w:w="60" w:type="dxa"/>
              <w:end w:w="85" w:type="dxa"/>
            </w:tcMar>
          </w:tcPr>
          <w:p>
            <w:pPr>
              <w:pStyle w:val="BodyText"/>
              <w:spacing w:before="0" w:after="0" w:line="220" w:lineRule="auto"/>
            </w:pPr>
            <w:r>
              <w:t>0未解释，1描述现象，2指出原因，3用事件支持原因</w:t>
            </w:r>
          </w:p>
        </w:tc>
      </w:tr>
      <w:tr>
        <w:trPr>
          <w:cantSplit/>
        </w:trPr>
        <w:tc>
          <w:tcPr>
            <w:tcW w:w="1656" w:type="dxa"/>
            <w:tcMar>
              <w:top w:w="60" w:type="dxa"/>
              <w:start w:w="85" w:type="dxa"/>
              <w:bottom w:w="60" w:type="dxa"/>
              <w:end w:w="85" w:type="dxa"/>
            </w:tcMar>
          </w:tcPr>
          <w:p>
            <w:pPr>
              <w:pStyle w:val="BodyText"/>
              <w:spacing w:before="0" w:after="0" w:line="220" w:lineRule="auto"/>
            </w:pPr>
            <w:r>
              <w:t>教师独立复用</w:t>
            </w:r>
          </w:p>
        </w:tc>
        <w:tc>
          <w:tcPr>
            <w:tcW w:w="3672" w:type="dxa"/>
            <w:tcMar>
              <w:top w:w="60" w:type="dxa"/>
              <w:start w:w="85" w:type="dxa"/>
              <w:bottom w:w="60" w:type="dxa"/>
              <w:end w:w="85" w:type="dxa"/>
            </w:tcMar>
          </w:tcPr>
          <w:p>
            <w:pPr>
              <w:pStyle w:val="BodyText"/>
              <w:spacing w:before="0" w:after="0" w:line="220" w:lineRule="auto"/>
            </w:pPr>
            <w:r>
              <w:t>准备时长、设备检查、分发及恢复记录</w:t>
            </w:r>
          </w:p>
        </w:tc>
        <w:tc>
          <w:tcPr>
            <w:tcW w:w="3622" w:type="dxa"/>
            <w:tcMar>
              <w:top w:w="60" w:type="dxa"/>
              <w:start w:w="85" w:type="dxa"/>
              <w:bottom w:w="60" w:type="dxa"/>
              <w:end w:w="85" w:type="dxa"/>
            </w:tcMar>
          </w:tcPr>
          <w:p>
            <w:pPr>
              <w:pStyle w:val="BodyText"/>
              <w:spacing w:before="0" w:after="0" w:line="220" w:lineRule="auto"/>
            </w:pPr>
            <w:r>
              <w:t>教师独立准备组织；产品方代操作不计独立复用</w:t>
            </w:r>
          </w:p>
        </w:tc>
      </w:tr>
    </w:tbl>
    <w:p>
      <w:pPr>
        <w:pStyle w:val="BodyText"/>
      </w:pPr>
      <w:r>
        <w:t>Table 12（表12）的80%结构识别和自主改造门槛用于决定是否继续推进，须同时报告样本数、年级、课时和帮助分布。自主搭建与解释分别记录，不用一次完成率替代全部学习能力；两轮结果用于修改任务，不外推普遍教育提升。教师复用评价以一次独立准备和组织为起点，再观察第二次准备是否减少工时。</w:t>
      </w:r>
    </w:p>
    <w:p>
      <w:pPr>
        <w:pStyle w:val="Heading2"/>
      </w:pPr>
      <w:bookmarkStart w:id="1017" w:name="_TocBlocky17"/>
      <w:r>
        <w:t>5.4 近期项目与退出条件</w:t>
      </w:r>
      <w:bookmarkEnd w:id="1017"/>
    </w:p>
    <w:p>
      <w:pPr>
        <w:pStyle w:val="BodyText"/>
      </w:pPr>
      <w:r>
        <w:t>近期形成故事搭档、单条件对照和迁移搭建三个可编辑教学作品，配套教师指南、安装与权限检查、项目恢复说明。规则对照提供现有运行证据，模型扩展另行采集实际输入、输出与事件。机构账户、班级管理、进度分析、自动评分与订阅计费列为后台建设规划；首批服务按现有作品与配置能力安排。</w:t>
      </w:r>
    </w:p>
    <w:p>
      <w:pPr>
        <w:pStyle w:val="BodyText"/>
      </w:pPr>
      <w:r>
        <w:t>两轮任务修改后若学生仍主要依靠教师代操作，先减少积木数量并缩短任务；若没有教师愿意独立复用，暂停机构扩展。若教学复用存在但没有采购预算，测试较小的培训与配置服务并重估合同均价。不得以扩大下载目标掩盖小学适配或付款条件缺失。</w:t>
      </w:r>
    </w:p>
    <w:p>
      <w:pPr>
        <w:pStyle w:val="Heading2"/>
      </w:pPr>
      <w:bookmarkStart w:id="1018" w:name="_TocBlocky18"/>
      <w:r>
        <w:t>5.5 资源与资金需求</w:t>
      </w:r>
      <w:bookmarkEnd w:id="1018"/>
    </w:p>
    <w:p>
      <w:pPr>
        <w:pStyle w:val="BodyText"/>
      </w:pPr>
      <w:r>
        <w:t>基准2027年费用预算为13.264万元，另有1.2万元设备现金投入。Table 13（表13）将首年费用分为互不重复的用途；设备费用以36个月直线折旧进入损益。期初自有资金2万元同样是假设，未获得到账证据。</w:t>
      </w:r>
    </w:p>
    <w:p>
      <w:pPr>
        <w:pStyle w:val="Tabletitle"/>
        <w:keepNext/>
      </w:pPr>
      <w:r>
        <w:t>Table 13. 基准首年预算用途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304"/>
        <w:gridCol w:w="1800"/>
        <w:gridCol w:w="4846"/>
      </w:tblGrid>
      <w:tr>
        <w:trPr>
          <w:cantSplit/>
          <w:tblHeader w:val="true"/>
        </w:trPr>
        <w:tc>
          <w:tcPr>
            <w:tcW w:w="2304" w:type="dxa"/>
            <w:tcMar>
              <w:top w:w="60" w:type="dxa"/>
              <w:start w:w="85" w:type="dxa"/>
              <w:bottom w:w="60" w:type="dxa"/>
              <w:end w:w="85" w:type="dxa"/>
            </w:tcMar>
          </w:tcPr>
          <w:p>
            <w:pPr>
              <w:pStyle w:val="BodyText"/>
              <w:spacing w:before="0" w:after="0" w:line="220" w:lineRule="auto"/>
            </w:pPr>
            <w:r>
              <w:t>用途</w:t>
            </w:r>
          </w:p>
        </w:tc>
        <w:tc>
          <w:tcPr>
            <w:tcW w:w="1800" w:type="dxa"/>
            <w:tcMar>
              <w:top w:w="60" w:type="dxa"/>
              <w:start w:w="85" w:type="dxa"/>
              <w:bottom w:w="60" w:type="dxa"/>
              <w:end w:w="85" w:type="dxa"/>
            </w:tcMar>
          </w:tcPr>
          <w:p>
            <w:pPr>
              <w:pStyle w:val="BodyText"/>
              <w:spacing w:before="0" w:after="0" w:line="220" w:lineRule="auto"/>
            </w:pPr>
            <w:r>
              <w:t>费用预算（元）</w:t>
            </w:r>
          </w:p>
        </w:tc>
        <w:tc>
          <w:tcPr>
            <w:tcW w:w="4846" w:type="dxa"/>
            <w:tcMar>
              <w:top w:w="60" w:type="dxa"/>
              <w:start w:w="85" w:type="dxa"/>
              <w:bottom w:w="60" w:type="dxa"/>
              <w:end w:w="85" w:type="dxa"/>
            </w:tcMar>
          </w:tcPr>
          <w:p>
            <w:pPr>
              <w:pStyle w:val="BodyText"/>
              <w:spacing w:before="0" w:after="0" w:line="220" w:lineRule="auto"/>
            </w:pPr>
            <w:r>
              <w:t>计算依据</w:t>
            </w:r>
          </w:p>
        </w:tc>
      </w:tr>
      <w:tr>
        <w:trPr>
          <w:cantSplit/>
        </w:trPr>
        <w:tc>
          <w:tcPr>
            <w:tcW w:w="2304" w:type="dxa"/>
            <w:tcMar>
              <w:top w:w="60" w:type="dxa"/>
              <w:start w:w="85" w:type="dxa"/>
              <w:bottom w:w="60" w:type="dxa"/>
              <w:end w:w="85" w:type="dxa"/>
            </w:tcMar>
          </w:tcPr>
          <w:p>
            <w:pPr>
              <w:pStyle w:val="BodyText"/>
              <w:spacing w:before="0" w:after="0" w:line="220" w:lineRule="auto"/>
            </w:pPr>
            <w:r>
              <w:t>固定核心工作</w:t>
            </w:r>
          </w:p>
        </w:tc>
        <w:tc>
          <w:tcPr>
            <w:tcW w:w="1800" w:type="dxa"/>
            <w:tcMar>
              <w:top w:w="60" w:type="dxa"/>
              <w:start w:w="85" w:type="dxa"/>
              <w:bottom w:w="60" w:type="dxa"/>
              <w:end w:w="85" w:type="dxa"/>
            </w:tcMar>
          </w:tcPr>
          <w:p>
            <w:pPr>
              <w:pStyle w:val="BodyText"/>
              <w:spacing w:before="0" w:after="0" w:line="220" w:lineRule="auto"/>
              <w:jc w:val="right"/>
            </w:pPr>
            <w:r>
              <w:t>72,000</w:t>
            </w:r>
          </w:p>
        </w:tc>
        <w:tc>
          <w:tcPr>
            <w:tcW w:w="4846" w:type="dxa"/>
            <w:tcMar>
              <w:top w:w="60" w:type="dxa"/>
              <w:start w:w="85" w:type="dxa"/>
              <w:bottom w:w="60" w:type="dxa"/>
              <w:end w:w="85" w:type="dxa"/>
            </w:tcMar>
          </w:tcPr>
          <w:p>
            <w:pPr>
              <w:pStyle w:val="BodyText"/>
              <w:spacing w:before="0" w:after="0" w:line="220" w:lineRule="auto"/>
            </w:pPr>
            <w:r>
              <w:t>6,000元/月，12个月</w:t>
            </w:r>
          </w:p>
        </w:tc>
      </w:tr>
      <w:tr>
        <w:trPr>
          <w:cantSplit/>
        </w:trPr>
        <w:tc>
          <w:tcPr>
            <w:tcW w:w="2304" w:type="dxa"/>
            <w:tcMar>
              <w:top w:w="60" w:type="dxa"/>
              <w:start w:w="85" w:type="dxa"/>
              <w:bottom w:w="60" w:type="dxa"/>
              <w:end w:w="85" w:type="dxa"/>
            </w:tcMar>
          </w:tcPr>
          <w:p>
            <w:pPr>
              <w:pStyle w:val="BodyText"/>
              <w:spacing w:before="0" w:after="0" w:line="220" w:lineRule="auto"/>
            </w:pPr>
            <w:r>
              <w:t>固定运营</w:t>
            </w:r>
          </w:p>
        </w:tc>
        <w:tc>
          <w:tcPr>
            <w:tcW w:w="1800" w:type="dxa"/>
            <w:tcMar>
              <w:top w:w="60" w:type="dxa"/>
              <w:start w:w="85" w:type="dxa"/>
              <w:bottom w:w="60" w:type="dxa"/>
              <w:end w:w="85" w:type="dxa"/>
            </w:tcMar>
          </w:tcPr>
          <w:p>
            <w:pPr>
              <w:pStyle w:val="BodyText"/>
              <w:spacing w:before="0" w:after="0" w:line="220" w:lineRule="auto"/>
              <w:jc w:val="right"/>
            </w:pPr>
            <w:r>
              <w:t>21,600</w:t>
            </w:r>
          </w:p>
        </w:tc>
        <w:tc>
          <w:tcPr>
            <w:tcW w:w="4846" w:type="dxa"/>
            <w:tcMar>
              <w:top w:w="60" w:type="dxa"/>
              <w:start w:w="85" w:type="dxa"/>
              <w:bottom w:w="60" w:type="dxa"/>
              <w:end w:w="85" w:type="dxa"/>
            </w:tcMar>
          </w:tcPr>
          <w:p>
            <w:pPr>
              <w:pStyle w:val="BodyText"/>
              <w:spacing w:before="0" w:after="0" w:line="220" w:lineRule="auto"/>
            </w:pPr>
            <w:r>
              <w:t>1,800元/月，12个月</w:t>
            </w:r>
          </w:p>
        </w:tc>
      </w:tr>
      <w:tr>
        <w:trPr>
          <w:cantSplit/>
        </w:trPr>
        <w:tc>
          <w:tcPr>
            <w:tcW w:w="2304" w:type="dxa"/>
            <w:tcMar>
              <w:top w:w="60" w:type="dxa"/>
              <w:start w:w="85" w:type="dxa"/>
              <w:bottom w:w="60" w:type="dxa"/>
              <w:end w:w="85" w:type="dxa"/>
            </w:tcMar>
          </w:tcPr>
          <w:p>
            <w:pPr>
              <w:pStyle w:val="BodyText"/>
              <w:spacing w:before="0" w:after="0" w:line="220" w:lineRule="auto"/>
            </w:pPr>
            <w:r>
              <w:t>合同交付人工</w:t>
            </w:r>
          </w:p>
        </w:tc>
        <w:tc>
          <w:tcPr>
            <w:tcW w:w="1800" w:type="dxa"/>
            <w:tcMar>
              <w:top w:w="60" w:type="dxa"/>
              <w:start w:w="85" w:type="dxa"/>
              <w:bottom w:w="60" w:type="dxa"/>
              <w:end w:w="85" w:type="dxa"/>
            </w:tcMar>
          </w:tcPr>
          <w:p>
            <w:pPr>
              <w:pStyle w:val="BodyText"/>
              <w:spacing w:before="0" w:after="0" w:line="220" w:lineRule="auto"/>
              <w:jc w:val="right"/>
            </w:pPr>
            <w:r>
              <w:t>25,600</w:t>
            </w:r>
          </w:p>
        </w:tc>
        <w:tc>
          <w:tcPr>
            <w:tcW w:w="4846" w:type="dxa"/>
            <w:tcMar>
              <w:top w:w="60" w:type="dxa"/>
              <w:start w:w="85" w:type="dxa"/>
              <w:bottom w:w="60" w:type="dxa"/>
              <w:end w:w="85" w:type="dxa"/>
            </w:tcMar>
          </w:tcPr>
          <w:p>
            <w:pPr>
              <w:pStyle w:val="BodyText"/>
              <w:spacing w:before="0" w:after="0" w:line="220" w:lineRule="auto"/>
            </w:pPr>
            <w:r>
              <w:t>4份 × 80小时 × 80元</w:t>
            </w:r>
          </w:p>
        </w:tc>
      </w:tr>
      <w:tr>
        <w:trPr>
          <w:cantSplit/>
        </w:trPr>
        <w:tc>
          <w:tcPr>
            <w:tcW w:w="2304" w:type="dxa"/>
            <w:tcMar>
              <w:top w:w="60" w:type="dxa"/>
              <w:start w:w="85" w:type="dxa"/>
              <w:bottom w:w="60" w:type="dxa"/>
              <w:end w:w="85" w:type="dxa"/>
            </w:tcMar>
          </w:tcPr>
          <w:p>
            <w:pPr>
              <w:pStyle w:val="BodyText"/>
              <w:spacing w:before="0" w:after="0" w:line="220" w:lineRule="auto"/>
            </w:pPr>
            <w:r>
              <w:t>合同模型额度</w:t>
            </w:r>
          </w:p>
        </w:tc>
        <w:tc>
          <w:tcPr>
            <w:tcW w:w="1800" w:type="dxa"/>
            <w:tcMar>
              <w:top w:w="60" w:type="dxa"/>
              <w:start w:w="85" w:type="dxa"/>
              <w:bottom w:w="60" w:type="dxa"/>
              <w:end w:w="85" w:type="dxa"/>
            </w:tcMar>
          </w:tcPr>
          <w:p>
            <w:pPr>
              <w:pStyle w:val="BodyText"/>
              <w:spacing w:before="0" w:after="0" w:line="220" w:lineRule="auto"/>
              <w:jc w:val="right"/>
            </w:pPr>
            <w:r>
              <w:t>5,600</w:t>
            </w:r>
          </w:p>
        </w:tc>
        <w:tc>
          <w:tcPr>
            <w:tcW w:w="4846" w:type="dxa"/>
            <w:tcMar>
              <w:top w:w="60" w:type="dxa"/>
              <w:start w:w="85" w:type="dxa"/>
              <w:bottom w:w="60" w:type="dxa"/>
              <w:end w:w="85" w:type="dxa"/>
            </w:tcMar>
          </w:tcPr>
          <w:p>
            <w:pPr>
              <w:pStyle w:val="BodyText"/>
              <w:spacing w:before="0" w:after="0" w:line="220" w:lineRule="auto"/>
            </w:pPr>
            <w:r>
              <w:t>4份 × 1,400元</w:t>
            </w:r>
          </w:p>
        </w:tc>
      </w:tr>
      <w:tr>
        <w:trPr>
          <w:cantSplit/>
        </w:trPr>
        <w:tc>
          <w:tcPr>
            <w:tcW w:w="2304" w:type="dxa"/>
            <w:tcMar>
              <w:top w:w="60" w:type="dxa"/>
              <w:start w:w="85" w:type="dxa"/>
              <w:bottom w:w="60" w:type="dxa"/>
              <w:end w:w="85" w:type="dxa"/>
            </w:tcMar>
          </w:tcPr>
          <w:p>
            <w:pPr>
              <w:pStyle w:val="BodyText"/>
              <w:spacing w:before="0" w:after="0" w:line="220" w:lineRule="auto"/>
            </w:pPr>
            <w:r>
              <w:t>其他直接支出</w:t>
            </w:r>
          </w:p>
        </w:tc>
        <w:tc>
          <w:tcPr>
            <w:tcW w:w="1800" w:type="dxa"/>
            <w:tcMar>
              <w:top w:w="60" w:type="dxa"/>
              <w:start w:w="85" w:type="dxa"/>
              <w:bottom w:w="60" w:type="dxa"/>
              <w:end w:w="85" w:type="dxa"/>
            </w:tcMar>
          </w:tcPr>
          <w:p>
            <w:pPr>
              <w:pStyle w:val="BodyText"/>
              <w:spacing w:before="0" w:after="0" w:line="220" w:lineRule="auto"/>
              <w:jc w:val="right"/>
            </w:pPr>
            <w:r>
              <w:t>2,400</w:t>
            </w:r>
          </w:p>
        </w:tc>
        <w:tc>
          <w:tcPr>
            <w:tcW w:w="4846" w:type="dxa"/>
            <w:tcMar>
              <w:top w:w="60" w:type="dxa"/>
              <w:start w:w="85" w:type="dxa"/>
              <w:bottom w:w="60" w:type="dxa"/>
              <w:end w:w="85" w:type="dxa"/>
            </w:tcMar>
          </w:tcPr>
          <w:p>
            <w:pPr>
              <w:pStyle w:val="BodyText"/>
              <w:spacing w:before="0" w:after="0" w:line="220" w:lineRule="auto"/>
            </w:pPr>
            <w:r>
              <w:t>4份 × 600元</w:t>
            </w:r>
          </w:p>
        </w:tc>
      </w:tr>
      <w:tr>
        <w:trPr>
          <w:cantSplit/>
        </w:trPr>
        <w:tc>
          <w:tcPr>
            <w:tcW w:w="2304" w:type="dxa"/>
            <w:tcMar>
              <w:top w:w="60" w:type="dxa"/>
              <w:start w:w="85" w:type="dxa"/>
              <w:bottom w:w="60" w:type="dxa"/>
              <w:end w:w="85" w:type="dxa"/>
            </w:tcMar>
          </w:tcPr>
          <w:p>
            <w:pPr>
              <w:pStyle w:val="BodyText"/>
              <w:spacing w:before="0" w:after="0" w:line="220" w:lineRule="auto"/>
            </w:pPr>
            <w:r>
              <w:t>税费现金预留</w:t>
            </w:r>
          </w:p>
        </w:tc>
        <w:tc>
          <w:tcPr>
            <w:tcW w:w="1800" w:type="dxa"/>
            <w:tcMar>
              <w:top w:w="60" w:type="dxa"/>
              <w:start w:w="85" w:type="dxa"/>
              <w:bottom w:w="60" w:type="dxa"/>
              <w:end w:w="85" w:type="dxa"/>
            </w:tcMar>
          </w:tcPr>
          <w:p>
            <w:pPr>
              <w:pStyle w:val="BodyText"/>
              <w:spacing w:before="0" w:after="0" w:line="220" w:lineRule="auto"/>
              <w:jc w:val="right"/>
            </w:pPr>
            <w:r>
              <w:t>1,440</w:t>
            </w:r>
          </w:p>
        </w:tc>
        <w:tc>
          <w:tcPr>
            <w:tcW w:w="4846" w:type="dxa"/>
            <w:tcMar>
              <w:top w:w="60" w:type="dxa"/>
              <w:start w:w="85" w:type="dxa"/>
              <w:bottom w:w="60" w:type="dxa"/>
              <w:end w:w="85" w:type="dxa"/>
            </w:tcMar>
          </w:tcPr>
          <w:p>
            <w:pPr>
              <w:pStyle w:val="BodyText"/>
              <w:spacing w:before="0" w:after="0" w:line="220" w:lineRule="auto"/>
            </w:pPr>
            <w:r>
              <w:t>收入 × 2%，非法定税率</w:t>
            </w:r>
          </w:p>
        </w:tc>
      </w:tr>
      <w:tr>
        <w:trPr>
          <w:cantSplit/>
        </w:trPr>
        <w:tc>
          <w:tcPr>
            <w:tcW w:w="2304" w:type="dxa"/>
            <w:tcMar>
              <w:top w:w="60" w:type="dxa"/>
              <w:start w:w="85" w:type="dxa"/>
              <w:bottom w:w="60" w:type="dxa"/>
              <w:end w:w="85" w:type="dxa"/>
            </w:tcMar>
          </w:tcPr>
          <w:p>
            <w:pPr>
              <w:pStyle w:val="BodyText"/>
              <w:spacing w:before="0" w:after="0" w:line="220" w:lineRule="auto"/>
            </w:pPr>
            <w:r>
              <w:t>设备折旧</w:t>
            </w:r>
          </w:p>
        </w:tc>
        <w:tc>
          <w:tcPr>
            <w:tcW w:w="1800" w:type="dxa"/>
            <w:tcMar>
              <w:top w:w="60" w:type="dxa"/>
              <w:start w:w="85" w:type="dxa"/>
              <w:bottom w:w="60" w:type="dxa"/>
              <w:end w:w="85" w:type="dxa"/>
            </w:tcMar>
          </w:tcPr>
          <w:p>
            <w:pPr>
              <w:pStyle w:val="BodyText"/>
              <w:spacing w:before="0" w:after="0" w:line="220" w:lineRule="auto"/>
              <w:jc w:val="right"/>
            </w:pPr>
            <w:r>
              <w:t>4,000</w:t>
            </w:r>
          </w:p>
        </w:tc>
        <w:tc>
          <w:tcPr>
            <w:tcW w:w="4846" w:type="dxa"/>
            <w:tcMar>
              <w:top w:w="60" w:type="dxa"/>
              <w:start w:w="85" w:type="dxa"/>
              <w:bottom w:w="60" w:type="dxa"/>
              <w:end w:w="85" w:type="dxa"/>
            </w:tcMar>
          </w:tcPr>
          <w:p>
            <w:pPr>
              <w:pStyle w:val="BodyText"/>
              <w:spacing w:before="0" w:after="0" w:line="220" w:lineRule="auto"/>
            </w:pPr>
            <w:r>
              <w:t>12,000元 ÷ 36月 × 12月</w:t>
            </w:r>
          </w:p>
        </w:tc>
      </w:tr>
    </w:tbl>
    <w:p>
      <w:pPr>
        <w:pStyle w:val="BodyText"/>
      </w:pPr>
      <w:r>
        <w:t>月度收款假设为交付当月收50%、次月收余款，成本当月支付。基准情景在2028年9月出现8.30万元最大现金缺口，追加资金预算10.30万元包括2万元最低储备。该预算是资源需求，不是已承诺融资；资金可来自确认后的自有投入、适用支持或合同付款，但本计划不设定股权估值或融资回报。</w:t>
      </w:r>
    </w:p>
    <w:p>
      <w:pPr>
        <w:pStyle w:val="BodyText"/>
      </w:pPr>
      <w:r>
        <w:t>若追加资金未落实，不应按完整基准费用启动。优先减少固定承诺、按里程碑安排工作、争取合同预付款，并只接受可履约的订单。悲观情景的追加资金需求为28.11万元，说明单纯补充10.30万元不能覆盖销售持续低迷；此时须调整经营规模，不能无限补资。</w:t>
      </w:r>
    </w:p>
    <w:p>
      <w:pPr>
        <w:pStyle w:val="BodyText"/>
      </w:pPr>
      <w:r>
        <w:t>Table 14（表14）把既有首年费用预算连接到资产和里程碑，不增加新的支出。10.30万元追加资金是三年现金路径中的资源需求，不能再与首年费用重复相加；1.2万元设备现金投入与0.4万元折旧也需区分现金和损益。</w:t>
      </w:r>
    </w:p>
    <w:p>
      <w:pPr>
        <w:pStyle w:val="Tabletitle"/>
        <w:keepNext/>
      </w:pPr>
      <w:r>
        <w:t>Table 14. 资金用途与复用资产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232"/>
        <w:gridCol w:w="3168"/>
        <w:gridCol w:w="3550"/>
      </w:tblGrid>
      <w:tr>
        <w:trPr>
          <w:cantSplit/>
          <w:tblHeader w:val="true"/>
        </w:trPr>
        <w:tc>
          <w:tcPr>
            <w:tcW w:w="2232" w:type="dxa"/>
            <w:tcMar>
              <w:top w:w="60" w:type="dxa"/>
              <w:start w:w="85" w:type="dxa"/>
              <w:bottom w:w="60" w:type="dxa"/>
              <w:end w:w="85" w:type="dxa"/>
            </w:tcMar>
          </w:tcPr>
          <w:p>
            <w:pPr>
              <w:pStyle w:val="BodyText"/>
              <w:spacing w:before="0" w:after="0" w:line="220" w:lineRule="auto"/>
            </w:pPr>
            <w:r>
              <w:t>预算用途</w:t>
            </w:r>
          </w:p>
        </w:tc>
        <w:tc>
          <w:tcPr>
            <w:tcW w:w="3168" w:type="dxa"/>
            <w:tcMar>
              <w:top w:w="60" w:type="dxa"/>
              <w:start w:w="85" w:type="dxa"/>
              <w:bottom w:w="60" w:type="dxa"/>
              <w:end w:w="85" w:type="dxa"/>
            </w:tcMar>
          </w:tcPr>
          <w:p>
            <w:pPr>
              <w:pStyle w:val="BodyText"/>
              <w:spacing w:before="0" w:after="0" w:line="220" w:lineRule="auto"/>
            </w:pPr>
            <w:r>
              <w:t>形成资产</w:t>
            </w:r>
          </w:p>
        </w:tc>
        <w:tc>
          <w:tcPr>
            <w:tcW w:w="3550" w:type="dxa"/>
            <w:tcMar>
              <w:top w:w="60" w:type="dxa"/>
              <w:start w:w="85" w:type="dxa"/>
              <w:bottom w:w="60" w:type="dxa"/>
              <w:end w:w="85" w:type="dxa"/>
            </w:tcMar>
          </w:tcPr>
          <w:p>
            <w:pPr>
              <w:pStyle w:val="BodyText"/>
              <w:spacing w:before="0" w:after="0" w:line="220" w:lineRule="auto"/>
            </w:pPr>
            <w:r>
              <w:t>里程碑与后续作用</w:t>
            </w:r>
          </w:p>
        </w:tc>
      </w:tr>
      <w:tr>
        <w:trPr>
          <w:cantSplit/>
        </w:trPr>
        <w:tc>
          <w:tcPr>
            <w:tcW w:w="2232" w:type="dxa"/>
            <w:tcMar>
              <w:top w:w="60" w:type="dxa"/>
              <w:start w:w="85" w:type="dxa"/>
              <w:bottom w:w="60" w:type="dxa"/>
              <w:end w:w="85" w:type="dxa"/>
            </w:tcMar>
          </w:tcPr>
          <w:p>
            <w:pPr>
              <w:pStyle w:val="BodyText"/>
              <w:spacing w:before="0" w:after="0" w:line="220" w:lineRule="auto"/>
            </w:pPr>
            <w:r>
              <w:t>核心工作72,000元</w:t>
            </w:r>
          </w:p>
        </w:tc>
        <w:tc>
          <w:tcPr>
            <w:tcW w:w="3168" w:type="dxa"/>
            <w:tcMar>
              <w:top w:w="60" w:type="dxa"/>
              <w:start w:w="85" w:type="dxa"/>
              <w:bottom w:w="60" w:type="dxa"/>
              <w:end w:w="85" w:type="dxa"/>
            </w:tcMar>
          </w:tcPr>
          <w:p>
            <w:pPr>
              <w:pStyle w:val="BodyText"/>
              <w:spacing w:before="0" w:after="0" w:line="220" w:lineRule="auto"/>
            </w:pPr>
            <w:r>
              <w:t>作品版本、教师指南、恢复说明、课程修改记录</w:t>
            </w:r>
          </w:p>
        </w:tc>
        <w:tc>
          <w:tcPr>
            <w:tcW w:w="3550" w:type="dxa"/>
            <w:tcMar>
              <w:top w:w="60" w:type="dxa"/>
              <w:start w:w="85" w:type="dxa"/>
              <w:bottom w:w="60" w:type="dxa"/>
              <w:end w:w="85" w:type="dxa"/>
            </w:tcMar>
          </w:tcPr>
          <w:p>
            <w:pPr>
              <w:pStyle w:val="BodyText"/>
              <w:spacing w:before="0" w:after="0" w:line="220" w:lineRule="auto"/>
            </w:pPr>
            <w:r>
              <w:t>支持两轮活动修订与教师独立复用；实际工时逐项登记</w:t>
            </w:r>
          </w:p>
        </w:tc>
      </w:tr>
      <w:tr>
        <w:trPr>
          <w:cantSplit/>
        </w:trPr>
        <w:tc>
          <w:tcPr>
            <w:tcW w:w="2232" w:type="dxa"/>
            <w:tcMar>
              <w:top w:w="60" w:type="dxa"/>
              <w:start w:w="85" w:type="dxa"/>
              <w:bottom w:w="60" w:type="dxa"/>
              <w:end w:w="85" w:type="dxa"/>
            </w:tcMar>
          </w:tcPr>
          <w:p>
            <w:pPr>
              <w:pStyle w:val="BodyText"/>
              <w:spacing w:before="0" w:after="0" w:line="220" w:lineRule="auto"/>
            </w:pPr>
            <w:r>
              <w:t>运营21,600元</w:t>
            </w:r>
          </w:p>
        </w:tc>
        <w:tc>
          <w:tcPr>
            <w:tcW w:w="3168" w:type="dxa"/>
            <w:tcMar>
              <w:top w:w="60" w:type="dxa"/>
              <w:start w:w="85" w:type="dxa"/>
              <w:bottom w:w="60" w:type="dxa"/>
              <w:end w:w="85" w:type="dxa"/>
            </w:tcMar>
          </w:tcPr>
          <w:p>
            <w:pPr>
              <w:pStyle w:val="BodyText"/>
              <w:spacing w:before="0" w:after="0" w:line="220" w:lineRule="auto"/>
            </w:pPr>
            <w:r>
              <w:t>匿名需求记录、有效联系和报价范围清单</w:t>
            </w:r>
          </w:p>
        </w:tc>
        <w:tc>
          <w:tcPr>
            <w:tcW w:w="3550" w:type="dxa"/>
            <w:tcMar>
              <w:top w:w="60" w:type="dxa"/>
              <w:start w:w="85" w:type="dxa"/>
              <w:bottom w:w="60" w:type="dxa"/>
              <w:end w:w="85" w:type="dxa"/>
            </w:tcMar>
          </w:tcPr>
          <w:p>
            <w:pPr>
              <w:pStyle w:val="BodyText"/>
              <w:spacing w:before="0" w:after="0" w:line="220" w:lineRule="auto"/>
            </w:pPr>
            <w:r>
              <w:t>核对20次有效接触及8次深入演示，不以曝光替代</w:t>
            </w:r>
          </w:p>
        </w:tc>
      </w:tr>
      <w:tr>
        <w:trPr>
          <w:cantSplit/>
        </w:trPr>
        <w:tc>
          <w:tcPr>
            <w:tcW w:w="2232" w:type="dxa"/>
            <w:tcMar>
              <w:top w:w="60" w:type="dxa"/>
              <w:start w:w="85" w:type="dxa"/>
              <w:bottom w:w="60" w:type="dxa"/>
              <w:end w:w="85" w:type="dxa"/>
            </w:tcMar>
          </w:tcPr>
          <w:p>
            <w:pPr>
              <w:pStyle w:val="BodyText"/>
              <w:spacing w:before="0" w:after="0" w:line="220" w:lineRule="auto"/>
            </w:pPr>
            <w:r>
              <w:t>合同人工25,600元</w:t>
            </w:r>
          </w:p>
        </w:tc>
        <w:tc>
          <w:tcPr>
            <w:tcW w:w="3168" w:type="dxa"/>
            <w:tcMar>
              <w:top w:w="60" w:type="dxa"/>
              <w:start w:w="85" w:type="dxa"/>
              <w:bottom w:w="60" w:type="dxa"/>
              <w:end w:w="85" w:type="dxa"/>
            </w:tcMar>
          </w:tcPr>
          <w:p>
            <w:pPr>
              <w:pStyle w:val="BodyText"/>
              <w:spacing w:before="0" w:after="0" w:line="220" w:lineRule="auto"/>
            </w:pPr>
            <w:r>
              <w:t>4份范围确认及专属交付资产</w:t>
            </w:r>
          </w:p>
        </w:tc>
        <w:tc>
          <w:tcPr>
            <w:tcW w:w="3550" w:type="dxa"/>
            <w:tcMar>
              <w:top w:w="60" w:type="dxa"/>
              <w:start w:w="85" w:type="dxa"/>
              <w:bottom w:w="60" w:type="dxa"/>
              <w:end w:w="85" w:type="dxa"/>
            </w:tcMar>
          </w:tcPr>
          <w:p>
            <w:pPr>
              <w:pStyle w:val="BodyText"/>
              <w:spacing w:before="0" w:after="0" w:line="220" w:lineRule="auto"/>
            </w:pPr>
            <w:r>
              <w:t>按80小时设计样例核对交付、反馈和复用成本</w:t>
            </w:r>
          </w:p>
        </w:tc>
      </w:tr>
      <w:tr>
        <w:trPr>
          <w:cantSplit/>
        </w:trPr>
        <w:tc>
          <w:tcPr>
            <w:tcW w:w="2232" w:type="dxa"/>
            <w:tcMar>
              <w:top w:w="60" w:type="dxa"/>
              <w:start w:w="85" w:type="dxa"/>
              <w:bottom w:w="60" w:type="dxa"/>
              <w:end w:w="85" w:type="dxa"/>
            </w:tcMar>
          </w:tcPr>
          <w:p>
            <w:pPr>
              <w:pStyle w:val="BodyText"/>
              <w:spacing w:before="0" w:after="0" w:line="220" w:lineRule="auto"/>
            </w:pPr>
            <w:r>
              <w:t>模型额度5,600元及其他直接支出2,400元</w:t>
            </w:r>
          </w:p>
        </w:tc>
        <w:tc>
          <w:tcPr>
            <w:tcW w:w="3168" w:type="dxa"/>
            <w:tcMar>
              <w:top w:w="60" w:type="dxa"/>
              <w:start w:w="85" w:type="dxa"/>
              <w:bottom w:w="60" w:type="dxa"/>
              <w:end w:w="85" w:type="dxa"/>
            </w:tcMar>
          </w:tcPr>
          <w:p>
            <w:pPr>
              <w:pStyle w:val="BodyText"/>
              <w:spacing w:before="0" w:after="0" w:line="220" w:lineRule="auto"/>
            </w:pPr>
            <w:r>
              <w:t>活动用量与配置检查记录</w:t>
            </w:r>
          </w:p>
        </w:tc>
        <w:tc>
          <w:tcPr>
            <w:tcW w:w="3550" w:type="dxa"/>
            <w:tcMar>
              <w:top w:w="60" w:type="dxa"/>
              <w:start w:w="85" w:type="dxa"/>
              <w:bottom w:w="60" w:type="dxa"/>
              <w:end w:w="85" w:type="dxa"/>
            </w:tcMar>
          </w:tcPr>
          <w:p>
            <w:pPr>
              <w:pStyle w:val="BodyText"/>
              <w:spacing w:before="0" w:after="0" w:line="220" w:lineRule="auto"/>
            </w:pPr>
            <w:r>
              <w:t>4份合同各按共享额度上限与支出凭据结算</w:t>
            </w:r>
          </w:p>
        </w:tc>
      </w:tr>
      <w:tr>
        <w:trPr>
          <w:cantSplit/>
        </w:trPr>
        <w:tc>
          <w:tcPr>
            <w:tcW w:w="2232" w:type="dxa"/>
            <w:tcMar>
              <w:top w:w="60" w:type="dxa"/>
              <w:start w:w="85" w:type="dxa"/>
              <w:bottom w:w="60" w:type="dxa"/>
              <w:end w:w="85" w:type="dxa"/>
            </w:tcMar>
          </w:tcPr>
          <w:p>
            <w:pPr>
              <w:pStyle w:val="BodyText"/>
              <w:spacing w:before="0" w:after="0" w:line="220" w:lineRule="auto"/>
            </w:pPr>
            <w:r>
              <w:t>设备12,000元现金投入</w:t>
            </w:r>
          </w:p>
        </w:tc>
        <w:tc>
          <w:tcPr>
            <w:tcW w:w="3168" w:type="dxa"/>
            <w:tcMar>
              <w:top w:w="60" w:type="dxa"/>
              <w:start w:w="85" w:type="dxa"/>
              <w:bottom w:w="60" w:type="dxa"/>
              <w:end w:w="85" w:type="dxa"/>
            </w:tcMar>
          </w:tcPr>
          <w:p>
            <w:pPr>
              <w:pStyle w:val="BodyText"/>
              <w:spacing w:before="0" w:after="0" w:line="220" w:lineRule="auto"/>
            </w:pPr>
            <w:r>
              <w:t>配置及演示环境</w:t>
            </w:r>
          </w:p>
        </w:tc>
        <w:tc>
          <w:tcPr>
            <w:tcW w:w="3550" w:type="dxa"/>
            <w:tcMar>
              <w:top w:w="60" w:type="dxa"/>
              <w:start w:w="85" w:type="dxa"/>
              <w:bottom w:w="60" w:type="dxa"/>
              <w:end w:w="85" w:type="dxa"/>
            </w:tcMar>
          </w:tcPr>
          <w:p>
            <w:pPr>
              <w:pStyle w:val="BodyText"/>
              <w:spacing w:before="0" w:after="0" w:line="220" w:lineRule="auto"/>
            </w:pPr>
            <w:r>
              <w:t>形成稳定准备环境；折旧4,000元已在费用中</w:t>
            </w:r>
          </w:p>
        </w:tc>
      </w:tr>
      <w:tr>
        <w:trPr>
          <w:cantSplit/>
        </w:trPr>
        <w:tc>
          <w:tcPr>
            <w:tcW w:w="2232" w:type="dxa"/>
            <w:tcMar>
              <w:top w:w="60" w:type="dxa"/>
              <w:start w:w="85" w:type="dxa"/>
              <w:bottom w:w="60" w:type="dxa"/>
              <w:end w:w="85" w:type="dxa"/>
            </w:tcMar>
          </w:tcPr>
          <w:p>
            <w:pPr>
              <w:pStyle w:val="BodyText"/>
              <w:spacing w:before="0" w:after="0" w:line="220" w:lineRule="auto"/>
            </w:pPr>
            <w:r>
              <w:t>税费预留1,440元与最低储备20,000元</w:t>
            </w:r>
          </w:p>
        </w:tc>
        <w:tc>
          <w:tcPr>
            <w:tcW w:w="3168" w:type="dxa"/>
            <w:tcMar>
              <w:top w:w="60" w:type="dxa"/>
              <w:start w:w="85" w:type="dxa"/>
              <w:bottom w:w="60" w:type="dxa"/>
              <w:end w:w="85" w:type="dxa"/>
            </w:tcMar>
          </w:tcPr>
          <w:p>
            <w:pPr>
              <w:pStyle w:val="BodyText"/>
              <w:spacing w:before="0" w:after="0" w:line="220" w:lineRule="auto"/>
            </w:pPr>
            <w:r>
              <w:t>税费核对和现金缓冲</w:t>
            </w:r>
          </w:p>
        </w:tc>
        <w:tc>
          <w:tcPr>
            <w:tcW w:w="3550" w:type="dxa"/>
            <w:tcMar>
              <w:top w:w="60" w:type="dxa"/>
              <w:start w:w="85" w:type="dxa"/>
              <w:bottom w:w="60" w:type="dxa"/>
              <w:end w:w="85" w:type="dxa"/>
            </w:tcMar>
          </w:tcPr>
          <w:p>
            <w:pPr>
              <w:pStyle w:val="BodyText"/>
              <w:spacing w:before="0" w:after="0" w:line="220" w:lineRule="auto"/>
            </w:pPr>
            <w:r>
              <w:t>预留非法定税率；储备纳入追加资金需求而非费用</w:t>
            </w:r>
          </w:p>
        </w:tc>
      </w:tr>
    </w:tbl>
    <w:p>
      <w:pPr>
        <w:pStyle w:val="Heading2"/>
      </w:pPr>
      <w:bookmarkStart w:id="1019" w:name="_TocBlocky19"/>
      <w:r>
        <w:t>5.6 实施路线图</w:t>
      </w:r>
      <w:bookmarkEnd w:id="1019"/>
    </w:p>
    <w:p>
      <w:pPr>
        <w:pStyle w:val="BodyText"/>
      </w:pPr>
      <w:r>
        <w:t>Table 15（表15）安排近期课程与商业验证，Table 16（表16）连接后续产品建设。先找到愿意组织课程的教师，验证独立复用，再确认采购和合同条件。产品仍需持续开发，机构后台、多端与独立Agent App分别设置建设和验证关口；这些新建设项目未纳入现有试点服务财务预测。</w:t>
      </w:r>
    </w:p>
    <w:p>
      <w:pPr>
        <w:pStyle w:val="Tabletitle"/>
        <w:keepNext/>
      </w:pPr>
      <w:r>
        <w:t>Table 15. 实施路线图</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5"/>
        <w:gridCol w:w="2452"/>
        <w:gridCol w:w="2391"/>
        <w:gridCol w:w="2452"/>
      </w:tblGrid>
      <w:tr>
        <w:trPr>
          <w:cantSplit/>
          <w:tblHeader w:val="true"/>
        </w:trPr>
        <w:tc>
          <w:tcPr>
            <w:tcW w:w="1655" w:type="dxa"/>
            <w:tcMar>
              <w:top w:w="60" w:type="dxa"/>
              <w:start w:w="85" w:type="dxa"/>
              <w:bottom w:w="60" w:type="dxa"/>
              <w:end w:w="85" w:type="dxa"/>
            </w:tcMar>
          </w:tcPr>
          <w:p>
            <w:pPr>
              <w:pStyle w:val="BodyText"/>
              <w:spacing w:before="0" w:after="0" w:line="220" w:lineRule="auto"/>
            </w:pPr>
            <w:r>
              <w:t>阶段与时间</w:t>
            </w:r>
          </w:p>
        </w:tc>
        <w:tc>
          <w:tcPr>
            <w:tcW w:w="2452" w:type="dxa"/>
            <w:tcMar>
              <w:top w:w="60" w:type="dxa"/>
              <w:start w:w="85" w:type="dxa"/>
              <w:bottom w:w="60" w:type="dxa"/>
              <w:end w:w="85" w:type="dxa"/>
            </w:tcMar>
          </w:tcPr>
          <w:p>
            <w:pPr>
              <w:pStyle w:val="BodyText"/>
              <w:spacing w:before="0" w:after="0" w:line="220" w:lineRule="auto"/>
            </w:pPr>
            <w:r>
              <w:t>行动与责任</w:t>
            </w:r>
          </w:p>
        </w:tc>
        <w:tc>
          <w:tcPr>
            <w:tcW w:w="2391" w:type="dxa"/>
            <w:tcMar>
              <w:top w:w="60" w:type="dxa"/>
              <w:start w:w="85" w:type="dxa"/>
              <w:bottom w:w="60" w:type="dxa"/>
              <w:end w:w="85" w:type="dxa"/>
            </w:tcMar>
          </w:tcPr>
          <w:p>
            <w:pPr>
              <w:pStyle w:val="BodyText"/>
              <w:spacing w:before="0" w:after="0" w:line="220" w:lineRule="auto"/>
            </w:pPr>
            <w:r>
              <w:t>投入与依赖</w:t>
            </w:r>
          </w:p>
        </w:tc>
        <w:tc>
          <w:tcPr>
            <w:tcW w:w="2452" w:type="dxa"/>
            <w:tcMar>
              <w:top w:w="60" w:type="dxa"/>
              <w:start w:w="85" w:type="dxa"/>
              <w:bottom w:w="60" w:type="dxa"/>
              <w:end w:w="85" w:type="dxa"/>
            </w:tcMar>
          </w:tcPr>
          <w:p>
            <w:pPr>
              <w:pStyle w:val="BodyText"/>
              <w:spacing w:before="0" w:after="0" w:line="220" w:lineRule="auto"/>
            </w:pPr>
            <w:r>
              <w:t>退出条件</w:t>
            </w:r>
          </w:p>
        </w:tc>
      </w:tr>
      <w:tr>
        <w:trPr>
          <w:cantSplit/>
        </w:trPr>
        <w:tc>
          <w:tcPr>
            <w:tcW w:w="1655" w:type="dxa"/>
            <w:tcMar>
              <w:top w:w="60" w:type="dxa"/>
              <w:start w:w="85" w:type="dxa"/>
              <w:bottom w:w="60" w:type="dxa"/>
              <w:end w:w="85" w:type="dxa"/>
            </w:tcMar>
          </w:tcPr>
          <w:p>
            <w:pPr>
              <w:pStyle w:val="BodyText"/>
              <w:spacing w:before="0" w:after="0" w:line="220" w:lineRule="auto"/>
            </w:pPr>
            <w:r>
              <w:t>2026年10至11月</w:t>
            </w:r>
          </w:p>
        </w:tc>
        <w:tc>
          <w:tcPr>
            <w:tcW w:w="2452" w:type="dxa"/>
            <w:tcMar>
              <w:top w:w="60" w:type="dxa"/>
              <w:start w:w="85" w:type="dxa"/>
              <w:bottom w:w="60" w:type="dxa"/>
              <w:end w:w="85" w:type="dxa"/>
            </w:tcMar>
          </w:tcPr>
          <w:p>
            <w:pPr>
              <w:pStyle w:val="BodyText"/>
              <w:spacing w:before="0" w:after="0" w:line="220" w:lineRule="auto"/>
            </w:pPr>
            <w:r>
              <w:t>小学教师访谈、任务定义；教学运营</w:t>
            </w:r>
          </w:p>
        </w:tc>
        <w:tc>
          <w:tcPr>
            <w:tcW w:w="2391" w:type="dxa"/>
            <w:tcMar>
              <w:top w:w="60" w:type="dxa"/>
              <w:start w:w="85" w:type="dxa"/>
              <w:bottom w:w="60" w:type="dxa"/>
              <w:end w:w="85" w:type="dxa"/>
            </w:tcMar>
          </w:tcPr>
          <w:p>
            <w:pPr>
              <w:pStyle w:val="BodyText"/>
              <w:spacing w:before="0" w:after="0" w:line="220" w:lineRule="auto"/>
            </w:pPr>
            <w:r>
              <w:t>现有产品与合成案例；教师可约访</w:t>
            </w:r>
          </w:p>
        </w:tc>
        <w:tc>
          <w:tcPr>
            <w:tcW w:w="2452" w:type="dxa"/>
            <w:tcMar>
              <w:top w:w="60" w:type="dxa"/>
              <w:start w:w="85" w:type="dxa"/>
              <w:bottom w:w="60" w:type="dxa"/>
              <w:end w:w="85" w:type="dxa"/>
            </w:tcMar>
          </w:tcPr>
          <w:p>
            <w:pPr>
              <w:pStyle w:val="BodyText"/>
              <w:spacing w:before="0" w:after="0" w:line="220" w:lineRule="auto"/>
            </w:pPr>
            <w:r>
              <w:t>至少10次有效访谈，选定同类任务</w:t>
            </w:r>
          </w:p>
        </w:tc>
      </w:tr>
      <w:tr>
        <w:trPr>
          <w:cantSplit/>
        </w:trPr>
        <w:tc>
          <w:tcPr>
            <w:tcW w:w="1655" w:type="dxa"/>
            <w:tcMar>
              <w:top w:w="60" w:type="dxa"/>
              <w:start w:w="85" w:type="dxa"/>
              <w:bottom w:w="60" w:type="dxa"/>
              <w:end w:w="85" w:type="dxa"/>
            </w:tcMar>
          </w:tcPr>
          <w:p>
            <w:pPr>
              <w:pStyle w:val="BodyText"/>
              <w:spacing w:before="0" w:after="0" w:line="220" w:lineRule="auto"/>
            </w:pPr>
            <w:r>
              <w:t>2026年11至12月</w:t>
            </w:r>
          </w:p>
        </w:tc>
        <w:tc>
          <w:tcPr>
            <w:tcW w:w="2452" w:type="dxa"/>
            <w:tcMar>
              <w:top w:w="60" w:type="dxa"/>
              <w:start w:w="85" w:type="dxa"/>
              <w:bottom w:w="60" w:type="dxa"/>
              <w:end w:w="85" w:type="dxa"/>
            </w:tcMar>
          </w:tcPr>
          <w:p>
            <w:pPr>
              <w:pStyle w:val="BodyText"/>
              <w:spacing w:before="0" w:after="0" w:line="220" w:lineRule="auto"/>
            </w:pPr>
            <w:r>
              <w:t>故事搭档2次试用；技术与教学运营</w:t>
            </w:r>
          </w:p>
        </w:tc>
        <w:tc>
          <w:tcPr>
            <w:tcW w:w="2391" w:type="dxa"/>
            <w:tcMar>
              <w:top w:w="60" w:type="dxa"/>
              <w:start w:w="85" w:type="dxa"/>
              <w:bottom w:w="60" w:type="dxa"/>
              <w:end w:w="85" w:type="dxa"/>
            </w:tcMar>
          </w:tcPr>
          <w:p>
            <w:pPr>
              <w:pStyle w:val="BodyText"/>
              <w:spacing w:before="0" w:after="0" w:line="220" w:lineRule="auto"/>
            </w:pPr>
            <w:r>
              <w:t>课程组织许可、设备、教师；按实际费用核定</w:t>
            </w:r>
          </w:p>
        </w:tc>
        <w:tc>
          <w:tcPr>
            <w:tcW w:w="2452" w:type="dxa"/>
            <w:tcMar>
              <w:top w:w="60" w:type="dxa"/>
              <w:start w:w="85" w:type="dxa"/>
              <w:bottom w:w="60" w:type="dxa"/>
              <w:end w:w="85" w:type="dxa"/>
            </w:tcMar>
          </w:tcPr>
          <w:p>
            <w:pPr>
              <w:pStyle w:val="BodyText"/>
              <w:spacing w:before="0" w:after="0" w:line="220" w:lineRule="auto"/>
            </w:pPr>
            <w:r>
              <w:t>记录完整结果，问题进入下一轮修订</w:t>
            </w:r>
          </w:p>
        </w:tc>
      </w:tr>
      <w:tr>
        <w:trPr>
          <w:cantSplit/>
        </w:trPr>
        <w:tc>
          <w:tcPr>
            <w:tcW w:w="1655" w:type="dxa"/>
            <w:tcMar>
              <w:top w:w="60" w:type="dxa"/>
              <w:start w:w="85" w:type="dxa"/>
              <w:bottom w:w="60" w:type="dxa"/>
              <w:end w:w="85" w:type="dxa"/>
            </w:tcMar>
          </w:tcPr>
          <w:p>
            <w:pPr>
              <w:pStyle w:val="BodyText"/>
              <w:spacing w:before="0" w:after="0" w:line="220" w:lineRule="auto"/>
            </w:pPr>
            <w:r>
              <w:t>2027年1至3月</w:t>
            </w:r>
          </w:p>
        </w:tc>
        <w:tc>
          <w:tcPr>
            <w:tcW w:w="2452" w:type="dxa"/>
            <w:tcMar>
              <w:top w:w="60" w:type="dxa"/>
              <w:start w:w="85" w:type="dxa"/>
              <w:bottom w:w="60" w:type="dxa"/>
              <w:end w:w="85" w:type="dxa"/>
            </w:tcMar>
          </w:tcPr>
          <w:p>
            <w:pPr>
              <w:pStyle w:val="BodyText"/>
              <w:spacing w:before="0" w:after="0" w:line="220" w:lineRule="auto"/>
            </w:pPr>
            <w:r>
              <w:t>教师独立复用、报价验证；教学运营</w:t>
            </w:r>
          </w:p>
        </w:tc>
        <w:tc>
          <w:tcPr>
            <w:tcW w:w="2391" w:type="dxa"/>
            <w:tcMar>
              <w:top w:w="60" w:type="dxa"/>
              <w:start w:w="85" w:type="dxa"/>
              <w:bottom w:w="60" w:type="dxa"/>
              <w:end w:w="85" w:type="dxa"/>
            </w:tcMar>
          </w:tcPr>
          <w:p>
            <w:pPr>
              <w:pStyle w:val="BodyText"/>
              <w:spacing w:before="0" w:after="0" w:line="220" w:lineRule="auto"/>
            </w:pPr>
            <w:r>
              <w:t>1位复用教师；明确签约主体</w:t>
            </w:r>
          </w:p>
        </w:tc>
        <w:tc>
          <w:tcPr>
            <w:tcW w:w="2452" w:type="dxa"/>
            <w:tcMar>
              <w:top w:w="60" w:type="dxa"/>
              <w:start w:w="85" w:type="dxa"/>
              <w:bottom w:w="60" w:type="dxa"/>
              <w:end w:w="85" w:type="dxa"/>
            </w:tcMar>
          </w:tcPr>
          <w:p>
            <w:pPr>
              <w:pStyle w:val="BodyText"/>
              <w:spacing w:before="0" w:after="0" w:line="220" w:lineRule="auto"/>
            </w:pPr>
            <w:r>
              <w:t>取得具体报价反馈与可执行合同范围</w:t>
            </w:r>
          </w:p>
        </w:tc>
      </w:tr>
      <w:tr>
        <w:trPr>
          <w:cantSplit/>
        </w:trPr>
        <w:tc>
          <w:tcPr>
            <w:tcW w:w="1655" w:type="dxa"/>
            <w:tcMar>
              <w:top w:w="60" w:type="dxa"/>
              <w:start w:w="85" w:type="dxa"/>
              <w:bottom w:w="60" w:type="dxa"/>
              <w:end w:w="85" w:type="dxa"/>
            </w:tcMar>
          </w:tcPr>
          <w:p>
            <w:pPr>
              <w:pStyle w:val="BodyText"/>
              <w:spacing w:before="0" w:after="0" w:line="220" w:lineRule="auto"/>
            </w:pPr>
            <w:r>
              <w:t>2027年4至12月</w:t>
            </w:r>
          </w:p>
        </w:tc>
        <w:tc>
          <w:tcPr>
            <w:tcW w:w="2452" w:type="dxa"/>
            <w:tcMar>
              <w:top w:w="60" w:type="dxa"/>
              <w:start w:w="85" w:type="dxa"/>
              <w:bottom w:w="60" w:type="dxa"/>
              <w:end w:w="85" w:type="dxa"/>
            </w:tcMar>
          </w:tcPr>
          <w:p>
            <w:pPr>
              <w:pStyle w:val="BodyText"/>
              <w:spacing w:before="0" w:after="0" w:line="220" w:lineRule="auto"/>
            </w:pPr>
            <w:r>
              <w:t>按范围交付首批服务；技术与运营</w:t>
            </w:r>
          </w:p>
        </w:tc>
        <w:tc>
          <w:tcPr>
            <w:tcW w:w="2391" w:type="dxa"/>
            <w:tcMar>
              <w:top w:w="60" w:type="dxa"/>
              <w:start w:w="85" w:type="dxa"/>
              <w:bottom w:w="60" w:type="dxa"/>
              <w:end w:w="85" w:type="dxa"/>
            </w:tcMar>
          </w:tcPr>
          <w:p>
            <w:pPr>
              <w:pStyle w:val="BodyText"/>
              <w:spacing w:before="0" w:after="0" w:line="220" w:lineRule="auto"/>
            </w:pPr>
            <w:r>
              <w:t>资金落实、月度工时上限、支持方案</w:t>
            </w:r>
          </w:p>
        </w:tc>
        <w:tc>
          <w:tcPr>
            <w:tcW w:w="2452" w:type="dxa"/>
            <w:tcMar>
              <w:top w:w="60" w:type="dxa"/>
              <w:start w:w="85" w:type="dxa"/>
              <w:bottom w:w="60" w:type="dxa"/>
              <w:end w:w="85" w:type="dxa"/>
            </w:tcMar>
          </w:tcPr>
          <w:p>
            <w:pPr>
              <w:pStyle w:val="BodyText"/>
              <w:spacing w:before="0" w:after="0" w:line="220" w:lineRule="auto"/>
            </w:pPr>
            <w:r>
              <w:t>全年4份交付目标，按回款和工时复盘</w:t>
            </w:r>
          </w:p>
        </w:tc>
      </w:tr>
    </w:tbl>
    <w:p>
      <w:pPr>
        <w:pStyle w:val="BodyText"/>
      </w:pPr>
      <w:r>
        <w:t>首90天探索使用现有设备与可投入时间，实际费用另行登记；2027至2029财务预测不含未提供的2026历史研发投入。每次试用须形成参与人数、学生设计与帮助记录、教师复用反馈及费用清单。没有课时、设备或机构许可时顺延；路线图日期是计划，不是客户承诺。</w:t>
      </w:r>
    </w:p>
    <w:p>
      <w:pPr>
        <w:pStyle w:val="BodyText"/>
        <w:keepNext/>
      </w:pPr>
      <w:r>
        <w:t>Table 16（表16）的演进方向服务同一条创作链：用户在积木中组织Agent、检查行为，再按需要配置页面和运行端。时间取决于技术验证、教学反馈与资源落实；各建设方向完成前，不承诺完整个人版、多端一致性或一键应用发布。</w:t>
      </w:r>
    </w:p>
    <w:p>
      <w:pPr>
        <w:pStyle w:val="Tabletitle"/>
        <w:keepNext/>
      </w:pPr>
      <w:r>
        <w:t>Table 16. 产品演进与交付关口</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918"/>
        <w:gridCol w:w="3410"/>
        <w:gridCol w:w="3622"/>
      </w:tblGrid>
      <w:tr>
        <w:trPr>
          <w:cantSplit/>
          <w:tblHeader w:val="true"/>
        </w:trPr>
        <w:tc>
          <w:tcPr>
            <w:tcW w:w="1918" w:type="dxa"/>
            <w:tcMar>
              <w:top w:w="60" w:type="dxa"/>
              <w:start w:w="85" w:type="dxa"/>
              <w:bottom w:w="60" w:type="dxa"/>
              <w:end w:w="85" w:type="dxa"/>
            </w:tcMar>
          </w:tcPr>
          <w:p>
            <w:pPr>
              <w:pStyle w:val="BodyText"/>
              <w:spacing w:before="0" w:after="0" w:line="220" w:lineRule="auto"/>
            </w:pPr>
            <w:r>
              <w:t>建设方向</w:t>
            </w:r>
          </w:p>
        </w:tc>
        <w:tc>
          <w:tcPr>
            <w:tcW w:w="3410" w:type="dxa"/>
            <w:tcMar>
              <w:top w:w="60" w:type="dxa"/>
              <w:start w:w="85" w:type="dxa"/>
              <w:bottom w:w="60" w:type="dxa"/>
              <w:end w:w="85" w:type="dxa"/>
            </w:tcMar>
          </w:tcPr>
          <w:p>
            <w:pPr>
              <w:pStyle w:val="BodyText"/>
              <w:spacing w:before="0" w:after="0" w:line="220" w:lineRule="auto"/>
            </w:pPr>
            <w:r>
              <w:t>目标产出</w:t>
            </w:r>
          </w:p>
        </w:tc>
        <w:tc>
          <w:tcPr>
            <w:tcW w:w="3622" w:type="dxa"/>
            <w:tcMar>
              <w:top w:w="60" w:type="dxa"/>
              <w:start w:w="85" w:type="dxa"/>
              <w:bottom w:w="60" w:type="dxa"/>
              <w:end w:w="85" w:type="dxa"/>
            </w:tcMar>
          </w:tcPr>
          <w:p>
            <w:pPr>
              <w:pStyle w:val="BodyText"/>
              <w:spacing w:before="0" w:after="0" w:line="220" w:lineRule="auto"/>
            </w:pPr>
            <w:r>
              <w:t>验证与交付关口</w:t>
            </w:r>
          </w:p>
        </w:tc>
      </w:tr>
      <w:tr>
        <w:trPr>
          <w:cantSplit/>
        </w:trPr>
        <w:tc>
          <w:tcPr>
            <w:tcW w:w="1918" w:type="dxa"/>
            <w:tcMar>
              <w:top w:w="60" w:type="dxa"/>
              <w:start w:w="85" w:type="dxa"/>
              <w:bottom w:w="60" w:type="dxa"/>
              <w:end w:w="85" w:type="dxa"/>
            </w:tcMar>
          </w:tcPr>
          <w:p>
            <w:pPr>
              <w:pStyle w:val="BodyText"/>
              <w:spacing w:before="0" w:after="0" w:line="220" w:lineRule="auto"/>
            </w:pPr>
            <w:r>
              <w:t>当前桌面阶段成果</w:t>
            </w:r>
          </w:p>
        </w:tc>
        <w:tc>
          <w:tcPr>
            <w:tcW w:w="3410" w:type="dxa"/>
            <w:tcMar>
              <w:top w:w="60" w:type="dxa"/>
              <w:start w:w="85" w:type="dxa"/>
              <w:bottom w:w="60" w:type="dxa"/>
              <w:end w:w="85" w:type="dxa"/>
            </w:tcMar>
          </w:tcPr>
          <w:p>
            <w:pPr>
              <w:pStyle w:val="BodyText"/>
              <w:spacing w:before="0" w:after="0" w:line="220" w:lineRule="auto"/>
            </w:pPr>
            <w:r>
              <w:t>Windows作品画布、受控模型与工具、构建助手及运行轨迹</w:t>
            </w:r>
          </w:p>
        </w:tc>
        <w:tc>
          <w:tcPr>
            <w:tcW w:w="3622" w:type="dxa"/>
            <w:tcMar>
              <w:top w:w="60" w:type="dxa"/>
              <w:start w:w="85" w:type="dxa"/>
              <w:bottom w:w="60" w:type="dxa"/>
              <w:end w:w="85" w:type="dxa"/>
            </w:tcMar>
          </w:tcPr>
          <w:p>
            <w:pPr>
              <w:pStyle w:val="BodyText"/>
              <w:spacing w:before="0" w:after="0" w:line="220" w:lineRule="auto"/>
            </w:pPr>
            <w:r>
              <w:t>以可保存、可运行、可审阅作品作为基础；不等于完整成熟产品</w:t>
            </w:r>
          </w:p>
        </w:tc>
      </w:tr>
      <w:tr>
        <w:trPr>
          <w:cantSplit/>
        </w:trPr>
        <w:tc>
          <w:tcPr>
            <w:tcW w:w="1918" w:type="dxa"/>
            <w:tcMar>
              <w:top w:w="60" w:type="dxa"/>
              <w:start w:w="85" w:type="dxa"/>
              <w:bottom w:w="60" w:type="dxa"/>
              <w:end w:w="85" w:type="dxa"/>
            </w:tcMar>
          </w:tcPr>
          <w:p>
            <w:pPr>
              <w:pStyle w:val="BodyText"/>
              <w:spacing w:before="0" w:after="0" w:line="220" w:lineRule="auto"/>
            </w:pPr>
            <w:r>
              <w:t>兼容与创作接口</w:t>
            </w:r>
          </w:p>
        </w:tc>
        <w:tc>
          <w:tcPr>
            <w:tcW w:w="3410" w:type="dxa"/>
            <w:tcMar>
              <w:top w:w="60" w:type="dxa"/>
              <w:start w:w="85" w:type="dxa"/>
              <w:bottom w:w="60" w:type="dxa"/>
              <w:end w:w="85" w:type="dxa"/>
            </w:tcMar>
          </w:tcPr>
          <w:p>
            <w:pPr>
              <w:pStyle w:val="BodyText"/>
              <w:spacing w:before="0" w:after="0" w:line="220" w:lineRule="auto"/>
            </w:pPr>
            <w:r>
              <w:t>六模板分批推进；Blocks与文本互转、官方Skills和插件扩展</w:t>
            </w:r>
          </w:p>
        </w:tc>
        <w:tc>
          <w:tcPr>
            <w:tcW w:w="3622" w:type="dxa"/>
            <w:tcMar>
              <w:top w:w="60" w:type="dxa"/>
              <w:start w:w="85" w:type="dxa"/>
              <w:bottom w:w="60" w:type="dxa"/>
              <w:end w:w="85" w:type="dxa"/>
            </w:tcMar>
          </w:tcPr>
          <w:p>
            <w:pPr>
              <w:pStyle w:val="BodyText"/>
              <w:spacing w:before="0" w:after="0" w:line="220" w:lineRule="auto"/>
            </w:pPr>
            <w:r>
              <w:t>共享CLI已建；Pi构建助手不等于六模板兼容完成，接口和模板分别核对</w:t>
            </w:r>
          </w:p>
        </w:tc>
      </w:tr>
      <w:tr>
        <w:trPr>
          <w:cantSplit/>
        </w:trPr>
        <w:tc>
          <w:tcPr>
            <w:tcW w:w="1918" w:type="dxa"/>
            <w:tcMar>
              <w:top w:w="60" w:type="dxa"/>
              <w:start w:w="85" w:type="dxa"/>
              <w:bottom w:w="60" w:type="dxa"/>
              <w:end w:w="85" w:type="dxa"/>
            </w:tcMar>
          </w:tcPr>
          <w:p>
            <w:pPr>
              <w:pStyle w:val="BodyText"/>
              <w:spacing w:before="0" w:after="0" w:line="220" w:lineRule="auto"/>
            </w:pPr>
            <w:r>
              <w:t>教育与组织能力</w:t>
            </w:r>
          </w:p>
        </w:tc>
        <w:tc>
          <w:tcPr>
            <w:tcW w:w="3410" w:type="dxa"/>
            <w:tcMar>
              <w:top w:w="60" w:type="dxa"/>
              <w:start w:w="85" w:type="dxa"/>
              <w:bottom w:w="60" w:type="dxa"/>
              <w:end w:w="85" w:type="dxa"/>
            </w:tcMar>
          </w:tcPr>
          <w:p>
            <w:pPr>
              <w:pStyle w:val="BodyText"/>
              <w:spacing w:before="0" w:after="0" w:line="220" w:lineRule="auto"/>
            </w:pPr>
            <w:r>
              <w:t>小学工作区、教师班级和学生、作业提交评语、冻结课程、离线课堂与进度；团队权限、评测、成本及部署管理</w:t>
            </w:r>
          </w:p>
        </w:tc>
        <w:tc>
          <w:tcPr>
            <w:tcW w:w="3622" w:type="dxa"/>
            <w:tcMar>
              <w:top w:w="60" w:type="dxa"/>
              <w:start w:w="85" w:type="dxa"/>
              <w:bottom w:w="60" w:type="dxa"/>
              <w:end w:w="85" w:type="dxa"/>
            </w:tcMar>
          </w:tcPr>
          <w:p>
            <w:pPr>
              <w:pStyle w:val="BodyText"/>
              <w:spacing w:before="0" w:after="0" w:line="220" w:lineRule="auto"/>
            </w:pPr>
            <w:r>
              <w:t>先验证教师独立复用；课堂、组织和企业功能逐项实现和核对后进入报价范围</w:t>
            </w:r>
          </w:p>
        </w:tc>
      </w:tr>
      <w:tr>
        <w:trPr>
          <w:cantSplit/>
        </w:trPr>
        <w:tc>
          <w:tcPr>
            <w:tcW w:w="1918" w:type="dxa"/>
            <w:tcMar>
              <w:top w:w="60" w:type="dxa"/>
              <w:start w:w="85" w:type="dxa"/>
              <w:bottom w:w="60" w:type="dxa"/>
              <w:end w:w="85" w:type="dxa"/>
            </w:tcMar>
          </w:tcPr>
          <w:p>
            <w:pPr>
              <w:pStyle w:val="BodyText"/>
              <w:spacing w:before="0" w:after="0" w:line="220" w:lineRule="auto"/>
            </w:pPr>
            <w:r>
              <w:t>个人版开源与社区</w:t>
            </w:r>
          </w:p>
        </w:tc>
        <w:tc>
          <w:tcPr>
            <w:tcW w:w="3410" w:type="dxa"/>
            <w:tcMar>
              <w:top w:w="60" w:type="dxa"/>
              <w:start w:w="85" w:type="dxa"/>
              <w:bottom w:w="60" w:type="dxa"/>
              <w:end w:w="85" w:type="dxa"/>
            </w:tcMar>
          </w:tcPr>
          <w:p>
            <w:pPr>
              <w:pStyle w:val="BodyText"/>
              <w:spacing w:before="0" w:after="0" w:line="220" w:lineRule="auto"/>
            </w:pPr>
            <w:r>
              <w:t>完整个人功能免费；公开代码和贡献入口，蓝图、Skills、模板包版本分发与供应链</w:t>
            </w:r>
          </w:p>
        </w:tc>
        <w:tc>
          <w:tcPr>
            <w:tcW w:w="3622" w:type="dxa"/>
            <w:tcMar>
              <w:top w:w="60" w:type="dxa"/>
              <w:start w:w="85" w:type="dxa"/>
              <w:bottom w:w="60" w:type="dxa"/>
              <w:end w:w="85" w:type="dxa"/>
            </w:tcMar>
          </w:tcPr>
          <w:p>
            <w:pPr>
              <w:pStyle w:val="BodyText"/>
              <w:spacing w:before="0" w:after="0" w:line="220" w:lineRule="auto"/>
            </w:pPr>
            <w:r>
              <w:t>完成许可证、发布和贡献准备；以真实贡献和复用判断生态，分发需核对版本和来源</w:t>
            </w:r>
          </w:p>
        </w:tc>
      </w:tr>
      <w:tr>
        <w:trPr>
          <w:cantSplit/>
        </w:trPr>
        <w:tc>
          <w:tcPr>
            <w:tcW w:w="1918" w:type="dxa"/>
            <w:tcMar>
              <w:top w:w="60" w:type="dxa"/>
              <w:start w:w="85" w:type="dxa"/>
              <w:bottom w:w="60" w:type="dxa"/>
              <w:end w:w="85" w:type="dxa"/>
            </w:tcMar>
          </w:tcPr>
          <w:p>
            <w:pPr>
              <w:pStyle w:val="BodyText"/>
              <w:spacing w:before="0" w:after="0" w:line="220" w:lineRule="auto"/>
            </w:pPr>
            <w:r>
              <w:t>多端开发</w:t>
            </w:r>
          </w:p>
        </w:tc>
        <w:tc>
          <w:tcPr>
            <w:tcW w:w="3410" w:type="dxa"/>
            <w:tcMar>
              <w:top w:w="60" w:type="dxa"/>
              <w:start w:w="85" w:type="dxa"/>
              <w:bottom w:w="60" w:type="dxa"/>
              <w:end w:w="85" w:type="dxa"/>
            </w:tcMar>
          </w:tcPr>
          <w:p>
            <w:pPr>
              <w:pStyle w:val="BodyText"/>
              <w:spacing w:before="0" w:after="0" w:line="220" w:lineRule="auto"/>
            </w:pPr>
            <w:r>
              <w:t>macOS延伸同等搭建能力；Android、HarmonyOS、iOS运行已搭建Agent，按端协商可用能力</w:t>
            </w:r>
          </w:p>
        </w:tc>
        <w:tc>
          <w:tcPr>
            <w:tcW w:w="3622" w:type="dxa"/>
            <w:tcMar>
              <w:top w:w="60" w:type="dxa"/>
              <w:start w:w="85" w:type="dxa"/>
              <w:bottom w:w="60" w:type="dxa"/>
              <w:end w:w="85" w:type="dxa"/>
            </w:tcMar>
          </w:tcPr>
          <w:p>
            <w:pPr>
              <w:pStyle w:val="BodyText"/>
              <w:spacing w:before="0" w:after="0" w:line="220" w:lineRule="auto"/>
            </w:pPr>
            <w:r>
              <w:t>分别核对运行、权限、资源与项目一致性；移动端不承诺全部桌面搭建能力</w:t>
            </w:r>
          </w:p>
        </w:tc>
      </w:tr>
      <w:tr>
        <w:trPr>
          <w:cantSplit/>
        </w:trPr>
        <w:tc>
          <w:tcPr>
            <w:tcW w:w="1918" w:type="dxa"/>
            <w:tcMar>
              <w:top w:w="60" w:type="dxa"/>
              <w:start w:w="85" w:type="dxa"/>
              <w:bottom w:w="60" w:type="dxa"/>
              <w:end w:w="85" w:type="dxa"/>
            </w:tcMar>
          </w:tcPr>
          <w:p>
            <w:pPr>
              <w:pStyle w:val="BodyText"/>
              <w:spacing w:before="0" w:after="0" w:line="220" w:lineRule="auto"/>
            </w:pPr>
            <w:r>
              <w:t>独立Agent App生成</w:t>
            </w:r>
          </w:p>
        </w:tc>
        <w:tc>
          <w:tcPr>
            <w:tcW w:w="3410" w:type="dxa"/>
            <w:tcMar>
              <w:top w:w="60" w:type="dxa"/>
              <w:start w:w="85" w:type="dxa"/>
              <w:bottom w:w="60" w:type="dxa"/>
              <w:end w:w="85" w:type="dxa"/>
            </w:tcMar>
          </w:tcPr>
          <w:p>
            <w:pPr>
              <w:pStyle w:val="BodyText"/>
              <w:spacing w:before="0" w:after="0" w:line="220" w:lineRule="auto"/>
            </w:pPr>
            <w:r>
              <w:t>Agent页面与项目、积木执行结合，封装为独立应用；Pake或Tauri二次开发为候选路线</w:t>
            </w:r>
          </w:p>
        </w:tc>
        <w:tc>
          <w:tcPr>
            <w:tcW w:w="3622" w:type="dxa"/>
            <w:tcMar>
              <w:top w:w="60" w:type="dxa"/>
              <w:start w:w="85" w:type="dxa"/>
              <w:bottom w:w="60" w:type="dxa"/>
              <w:end w:w="85" w:type="dxa"/>
            </w:tcMar>
          </w:tcPr>
          <w:p>
            <w:pPr>
              <w:pStyle w:val="BodyText"/>
              <w:spacing w:before="0" w:after="0" w:line="220" w:lineRule="auto"/>
            </w:pPr>
            <w:r>
              <w:t>先验证页面、执行内核、资源及权限打包；一键生成、安装、更新与发布均为建设目标</w:t>
            </w:r>
          </w:p>
        </w:tc>
      </w:tr>
    </w:tbl>
    <w:p>
      <w:pPr>
        <w:pStyle w:val="BodyText"/>
      </w:pPr>
      <w:r>
        <w:t>一键生成Agent App的目标流程是：积木定义Agent并配置Agent页面，选择目标平台、声明资源和权限，采用Pake便捷封装或Tauri定制应用壳二次开发，再生成可独立运行的App。页面提供输入输出，项目与积木保留执行逻辑；运行内核、资源配置与权限边界需要一起交付。Pake当前面向桌面网页或本地前端封装，不能由此推定Blocky Runtime、移动端或HarmonyOS支持；Tauri提供桌面、Android和iOS框架，各端签名和分发分别安排。[S15][S16] 这些属于后续方案，需先验证依赖、离线行为、密钥、安装更新与回滚，才能承诺一键生成或发布。</w:t>
      </w:r>
    </w:p>
    <w:p>
      <w:pPr>
        <w:pStyle w:val="Heading2"/>
      </w:pPr>
      <w:bookmarkStart w:id="1020" w:name="_TocBlocky20"/>
      <w:r>
        <w:t>5.7 主要风险与应对</w:t>
      </w:r>
      <w:bookmarkEnd w:id="1020"/>
    </w:p>
    <w:p>
      <w:pPr>
        <w:pStyle w:val="BodyText"/>
        <w:keepNext/>
      </w:pPr>
      <w:r>
        <w:t>五项主要风险是儿童入门与教师复用、模型内容及权限、服务产能和成本、机构采购回款、数据与学校准入。最可能使本计划无法成立的是学生始终不能自主改造或教师无法复用。Table 17（表17）给出预警、收缩条件和责任，模型费用、工时、合同量及收款风险对应附录C情景。</w:t>
      </w:r>
    </w:p>
    <w:p>
      <w:pPr>
        <w:pStyle w:val="Tabletitle"/>
        <w:keepNext/>
      </w:pPr>
      <w:r>
        <w:t>Table 17. 主要风险与响应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1"/>
        <w:gridCol w:w="2547"/>
        <w:gridCol w:w="3580"/>
        <w:gridCol w:w="1102"/>
      </w:tblGrid>
      <w:tr>
        <w:trPr>
          <w:cantSplit/>
          <w:tblHeader w:val="true"/>
        </w:trPr>
        <w:tc>
          <w:tcPr>
            <w:tcW w:w="1721" w:type="dxa"/>
            <w:tcMar>
              <w:top w:w="60" w:type="dxa"/>
              <w:start w:w="85" w:type="dxa"/>
              <w:bottom w:w="60" w:type="dxa"/>
              <w:end w:w="85" w:type="dxa"/>
            </w:tcMar>
          </w:tcPr>
          <w:p>
            <w:pPr>
              <w:pStyle w:val="BodyText"/>
              <w:spacing w:before="0" w:after="0" w:line="220" w:lineRule="auto"/>
            </w:pPr>
            <w:r>
              <w:t>风险与程度</w:t>
            </w:r>
          </w:p>
        </w:tc>
        <w:tc>
          <w:tcPr>
            <w:tcW w:w="2547" w:type="dxa"/>
            <w:tcMar>
              <w:top w:w="60" w:type="dxa"/>
              <w:start w:w="85" w:type="dxa"/>
              <w:bottom w:w="60" w:type="dxa"/>
              <w:end w:w="85" w:type="dxa"/>
            </w:tcMar>
          </w:tcPr>
          <w:p>
            <w:pPr>
              <w:pStyle w:val="BodyText"/>
              <w:spacing w:before="0" w:after="0" w:line="220" w:lineRule="auto"/>
            </w:pPr>
            <w:r>
              <w:t>预警与检查</w:t>
            </w:r>
          </w:p>
        </w:tc>
        <w:tc>
          <w:tcPr>
            <w:tcW w:w="3580" w:type="dxa"/>
            <w:tcMar>
              <w:top w:w="60" w:type="dxa"/>
              <w:start w:w="85" w:type="dxa"/>
              <w:bottom w:w="60" w:type="dxa"/>
              <w:end w:w="85" w:type="dxa"/>
            </w:tcMar>
          </w:tcPr>
          <w:p>
            <w:pPr>
              <w:pStyle w:val="BodyText"/>
              <w:spacing w:before="0" w:after="0" w:line="220" w:lineRule="auto"/>
            </w:pPr>
            <w:r>
              <w:t>预防与触发后的行动</w:t>
            </w:r>
          </w:p>
        </w:tc>
        <w:tc>
          <w:tcPr>
            <w:tcW w:w="1102" w:type="dxa"/>
            <w:tcMar>
              <w:top w:w="60" w:type="dxa"/>
              <w:start w:w="85" w:type="dxa"/>
              <w:bottom w:w="60" w:type="dxa"/>
              <w:end w:w="85" w:type="dxa"/>
            </w:tcMar>
          </w:tcPr>
          <w:p>
            <w:pPr>
              <w:pStyle w:val="BodyText"/>
              <w:spacing w:before="0" w:after="0" w:line="220" w:lineRule="auto"/>
            </w:pPr>
            <w:r>
              <w:t>责任</w:t>
            </w:r>
          </w:p>
        </w:tc>
      </w:tr>
      <w:tr>
        <w:trPr>
          <w:cantSplit/>
        </w:trPr>
        <w:tc>
          <w:tcPr>
            <w:tcW w:w="1721" w:type="dxa"/>
            <w:tcMar>
              <w:top w:w="60" w:type="dxa"/>
              <w:start w:w="85" w:type="dxa"/>
              <w:bottom w:w="60" w:type="dxa"/>
              <w:end w:w="85" w:type="dxa"/>
            </w:tcMar>
          </w:tcPr>
          <w:p>
            <w:pPr>
              <w:pStyle w:val="BodyText"/>
              <w:spacing w:before="0" w:after="0" w:line="220" w:lineRule="auto"/>
            </w:pPr>
            <w:r>
              <w:t>儿童适配与复用；高</w:t>
            </w:r>
          </w:p>
        </w:tc>
        <w:tc>
          <w:tcPr>
            <w:tcW w:w="2547" w:type="dxa"/>
            <w:tcMar>
              <w:top w:w="60" w:type="dxa"/>
              <w:start w:w="85" w:type="dxa"/>
              <w:bottom w:w="60" w:type="dxa"/>
              <w:end w:w="85" w:type="dxa"/>
            </w:tcMar>
          </w:tcPr>
          <w:p>
            <w:pPr>
              <w:pStyle w:val="BodyText"/>
              <w:spacing w:before="0" w:after="0" w:line="220" w:lineRule="auto"/>
            </w:pPr>
            <w:r>
              <w:t>每轮记录自主改造、解释及帮助</w:t>
            </w:r>
          </w:p>
        </w:tc>
        <w:tc>
          <w:tcPr>
            <w:tcW w:w="3580" w:type="dxa"/>
            <w:tcMar>
              <w:top w:w="60" w:type="dxa"/>
              <w:start w:w="85" w:type="dxa"/>
              <w:bottom w:w="60" w:type="dxa"/>
              <w:end w:w="85" w:type="dxa"/>
            </w:tcMar>
          </w:tcPr>
          <w:p>
            <w:pPr>
              <w:pStyle w:val="BodyText"/>
              <w:spacing w:before="0" w:after="0" w:line="220" w:lineRule="auto"/>
            </w:pPr>
            <w:r>
              <w:t>两轮未达门槛则减少部件；无复用则暂停机构扩展</w:t>
            </w:r>
          </w:p>
        </w:tc>
        <w:tc>
          <w:tcPr>
            <w:tcW w:w="1102" w:type="dxa"/>
            <w:tcMar>
              <w:top w:w="60" w:type="dxa"/>
              <w:start w:w="85" w:type="dxa"/>
              <w:bottom w:w="60" w:type="dxa"/>
              <w:end w:w="85" w:type="dxa"/>
            </w:tcMar>
          </w:tcPr>
          <w:p>
            <w:pPr>
              <w:pStyle w:val="BodyText"/>
              <w:spacing w:before="0" w:after="0" w:line="220" w:lineRule="auto"/>
            </w:pPr>
            <w:r>
              <w:t>教学运营</w:t>
            </w:r>
          </w:p>
        </w:tc>
      </w:tr>
      <w:tr>
        <w:trPr>
          <w:cantSplit/>
        </w:trPr>
        <w:tc>
          <w:tcPr>
            <w:tcW w:w="1721" w:type="dxa"/>
            <w:tcMar>
              <w:top w:w="60" w:type="dxa"/>
              <w:start w:w="85" w:type="dxa"/>
              <w:bottom w:w="60" w:type="dxa"/>
              <w:end w:w="85" w:type="dxa"/>
            </w:tcMar>
          </w:tcPr>
          <w:p>
            <w:pPr>
              <w:pStyle w:val="BodyText"/>
              <w:spacing w:before="0" w:after="0" w:line="220" w:lineRule="auto"/>
            </w:pPr>
            <w:r>
              <w:t>模型内容与工具；中高</w:t>
            </w:r>
          </w:p>
        </w:tc>
        <w:tc>
          <w:tcPr>
            <w:tcW w:w="2547" w:type="dxa"/>
            <w:tcMar>
              <w:top w:w="60" w:type="dxa"/>
              <w:start w:w="85" w:type="dxa"/>
              <w:bottom w:w="60" w:type="dxa"/>
              <w:end w:w="85" w:type="dxa"/>
            </w:tcMar>
          </w:tcPr>
          <w:p>
            <w:pPr>
              <w:pStyle w:val="BodyText"/>
              <w:spacing w:before="0" w:after="0" w:line="220" w:lineRule="auto"/>
            </w:pPr>
            <w:r>
              <w:t>每次检查输出与权限，出现越界</w:t>
            </w:r>
          </w:p>
        </w:tc>
        <w:tc>
          <w:tcPr>
            <w:tcW w:w="3580" w:type="dxa"/>
            <w:tcMar>
              <w:top w:w="60" w:type="dxa"/>
              <w:start w:w="85" w:type="dxa"/>
              <w:bottom w:w="60" w:type="dxa"/>
              <w:end w:w="85" w:type="dxa"/>
            </w:tcMar>
          </w:tcPr>
          <w:p>
            <w:pPr>
              <w:pStyle w:val="BodyText"/>
              <w:spacing w:before="0" w:after="0" w:line="220" w:lineRule="auto"/>
            </w:pPr>
            <w:r>
              <w:t>限定工具；停用异常流程并复核内容</w:t>
            </w:r>
          </w:p>
        </w:tc>
        <w:tc>
          <w:tcPr>
            <w:tcW w:w="1102" w:type="dxa"/>
            <w:tcMar>
              <w:top w:w="60" w:type="dxa"/>
              <w:start w:w="85" w:type="dxa"/>
              <w:bottom w:w="60" w:type="dxa"/>
              <w:end w:w="85" w:type="dxa"/>
            </w:tcMar>
          </w:tcPr>
          <w:p>
            <w:pPr>
              <w:pStyle w:val="BodyText"/>
              <w:spacing w:before="0" w:after="0" w:line="220" w:lineRule="auto"/>
            </w:pPr>
            <w:r>
              <w:t>产品技术</w:t>
            </w:r>
          </w:p>
        </w:tc>
      </w:tr>
      <w:tr>
        <w:trPr>
          <w:cantSplit/>
        </w:trPr>
        <w:tc>
          <w:tcPr>
            <w:tcW w:w="1721" w:type="dxa"/>
            <w:tcMar>
              <w:top w:w="60" w:type="dxa"/>
              <w:start w:w="85" w:type="dxa"/>
              <w:bottom w:w="60" w:type="dxa"/>
              <w:end w:w="85" w:type="dxa"/>
            </w:tcMar>
          </w:tcPr>
          <w:p>
            <w:pPr>
              <w:pStyle w:val="BodyText"/>
              <w:spacing w:before="0" w:after="0" w:line="220" w:lineRule="auto"/>
            </w:pPr>
            <w:r>
              <w:t>产能与模型成本；高</w:t>
            </w:r>
          </w:p>
        </w:tc>
        <w:tc>
          <w:tcPr>
            <w:tcW w:w="2547" w:type="dxa"/>
            <w:tcMar>
              <w:top w:w="60" w:type="dxa"/>
              <w:start w:w="85" w:type="dxa"/>
              <w:bottom w:w="60" w:type="dxa"/>
              <w:end w:w="85" w:type="dxa"/>
            </w:tcMar>
          </w:tcPr>
          <w:p>
            <w:pPr>
              <w:pStyle w:val="BodyText"/>
              <w:spacing w:before="0" w:after="0" w:line="220" w:lineRule="auto"/>
            </w:pPr>
            <w:r>
              <w:t>每周核对80/240小时月上限；模型超支50%</w:t>
            </w:r>
          </w:p>
        </w:tc>
        <w:tc>
          <w:tcPr>
            <w:tcW w:w="3580" w:type="dxa"/>
            <w:tcMar>
              <w:top w:w="60" w:type="dxa"/>
              <w:start w:w="85" w:type="dxa"/>
              <w:bottom w:w="60" w:type="dxa"/>
              <w:end w:w="85" w:type="dxa"/>
            </w:tcMar>
          </w:tcPr>
          <w:p>
            <w:pPr>
              <w:pStyle w:val="BodyText"/>
              <w:spacing w:before="0" w:after="0" w:line="220" w:lineRule="auto"/>
            </w:pPr>
            <w:r>
              <w:t>按需增援、调整额度和报价；超能力改期或拒单</w:t>
            </w:r>
          </w:p>
        </w:tc>
        <w:tc>
          <w:tcPr>
            <w:tcW w:w="1102" w:type="dxa"/>
            <w:tcMar>
              <w:top w:w="60" w:type="dxa"/>
              <w:start w:w="85" w:type="dxa"/>
              <w:bottom w:w="60" w:type="dxa"/>
              <w:end w:w="85" w:type="dxa"/>
            </w:tcMar>
          </w:tcPr>
          <w:p>
            <w:pPr>
              <w:pStyle w:val="BodyText"/>
              <w:spacing w:before="0" w:after="0" w:line="220" w:lineRule="auto"/>
            </w:pPr>
            <w:r>
              <w:t>产品技术</w:t>
            </w:r>
          </w:p>
        </w:tc>
      </w:tr>
      <w:tr>
        <w:trPr>
          <w:cantSplit/>
        </w:trPr>
        <w:tc>
          <w:tcPr>
            <w:tcW w:w="1721" w:type="dxa"/>
            <w:tcMar>
              <w:top w:w="60" w:type="dxa"/>
              <w:start w:w="85" w:type="dxa"/>
              <w:bottom w:w="60" w:type="dxa"/>
              <w:end w:w="85" w:type="dxa"/>
            </w:tcMar>
          </w:tcPr>
          <w:p>
            <w:pPr>
              <w:pStyle w:val="BodyText"/>
              <w:spacing w:before="0" w:after="0" w:line="220" w:lineRule="auto"/>
            </w:pPr>
            <w:r>
              <w:t>采购回款与现金；高</w:t>
            </w:r>
          </w:p>
        </w:tc>
        <w:tc>
          <w:tcPr>
            <w:tcW w:w="2547" w:type="dxa"/>
            <w:tcMar>
              <w:top w:w="60" w:type="dxa"/>
              <w:start w:w="85" w:type="dxa"/>
              <w:bottom w:w="60" w:type="dxa"/>
              <w:end w:w="85" w:type="dxa"/>
            </w:tcMar>
          </w:tcPr>
          <w:p>
            <w:pPr>
              <w:pStyle w:val="BodyText"/>
              <w:spacing w:before="0" w:after="0" w:line="220" w:lineRule="auto"/>
            </w:pPr>
            <w:r>
              <w:t>每月滚动现金，低于2万元或延期</w:t>
            </w:r>
          </w:p>
        </w:tc>
        <w:tc>
          <w:tcPr>
            <w:tcW w:w="3580" w:type="dxa"/>
            <w:tcMar>
              <w:top w:w="60" w:type="dxa"/>
              <w:start w:w="85" w:type="dxa"/>
              <w:bottom w:w="60" w:type="dxa"/>
              <w:end w:w="85" w:type="dxa"/>
            </w:tcMar>
          </w:tcPr>
          <w:p>
            <w:pPr>
              <w:pStyle w:val="BodyText"/>
              <w:spacing w:before="0" w:after="0" w:line="220" w:lineRule="auto"/>
            </w:pPr>
            <w:r>
              <w:t>争取预付款并收缩固定投入；重算延期现金</w:t>
            </w:r>
          </w:p>
        </w:tc>
        <w:tc>
          <w:tcPr>
            <w:tcW w:w="1102" w:type="dxa"/>
            <w:tcMar>
              <w:top w:w="60" w:type="dxa"/>
              <w:start w:w="85" w:type="dxa"/>
              <w:bottom w:w="60" w:type="dxa"/>
              <w:end w:w="85" w:type="dxa"/>
            </w:tcMar>
          </w:tcPr>
          <w:p>
            <w:pPr>
              <w:pStyle w:val="BodyText"/>
              <w:spacing w:before="0" w:after="0" w:line="220" w:lineRule="auto"/>
            </w:pPr>
            <w:r>
              <w:t>交付安排</w:t>
            </w:r>
          </w:p>
        </w:tc>
      </w:tr>
      <w:tr>
        <w:trPr>
          <w:cantSplit/>
        </w:trPr>
        <w:tc>
          <w:tcPr>
            <w:tcW w:w="1721" w:type="dxa"/>
            <w:tcMar>
              <w:top w:w="60" w:type="dxa"/>
              <w:start w:w="85" w:type="dxa"/>
              <w:bottom w:w="60" w:type="dxa"/>
              <w:end w:w="85" w:type="dxa"/>
            </w:tcMar>
          </w:tcPr>
          <w:p>
            <w:pPr>
              <w:pStyle w:val="BodyText"/>
              <w:spacing w:before="0" w:after="0" w:line="220" w:lineRule="auto"/>
            </w:pPr>
            <w:r>
              <w:t>数据与课堂准入；高</w:t>
            </w:r>
          </w:p>
        </w:tc>
        <w:tc>
          <w:tcPr>
            <w:tcW w:w="2547" w:type="dxa"/>
            <w:tcMar>
              <w:top w:w="60" w:type="dxa"/>
              <w:start w:w="85" w:type="dxa"/>
              <w:bottom w:w="60" w:type="dxa"/>
              <w:end w:w="85" w:type="dxa"/>
            </w:tcMar>
          </w:tcPr>
          <w:p>
            <w:pPr>
              <w:pStyle w:val="BodyText"/>
              <w:spacing w:before="0" w:after="0" w:line="220" w:lineRule="auto"/>
            </w:pPr>
            <w:r>
              <w:t>核对资料权利、数据及机构许可</w:t>
            </w:r>
          </w:p>
        </w:tc>
        <w:tc>
          <w:tcPr>
            <w:tcW w:w="3580" w:type="dxa"/>
            <w:tcMar>
              <w:top w:w="60" w:type="dxa"/>
              <w:start w:w="85" w:type="dxa"/>
              <w:bottom w:w="60" w:type="dxa"/>
              <w:end w:w="85" w:type="dxa"/>
            </w:tcMar>
          </w:tcPr>
          <w:p>
            <w:pPr>
              <w:pStyle w:val="BodyText"/>
              <w:spacing w:before="0" w:after="0" w:line="220" w:lineRule="auto"/>
            </w:pPr>
            <w:r>
              <w:t>先用合成资料；准入不满足则暂停</w:t>
            </w:r>
          </w:p>
        </w:tc>
        <w:tc>
          <w:tcPr>
            <w:tcW w:w="1102" w:type="dxa"/>
            <w:tcMar>
              <w:top w:w="60" w:type="dxa"/>
              <w:start w:w="85" w:type="dxa"/>
              <w:bottom w:w="60" w:type="dxa"/>
              <w:end w:w="85" w:type="dxa"/>
            </w:tcMar>
          </w:tcPr>
          <w:p>
            <w:pPr>
              <w:pStyle w:val="BodyText"/>
              <w:spacing w:before="0" w:after="0" w:line="220" w:lineRule="auto"/>
            </w:pPr>
            <w:r>
              <w:t>教学运营</w:t>
            </w:r>
          </w:p>
        </w:tc>
      </w:tr>
    </w:tbl>
    <w:p>
      <w:pPr>
        <w:pStyle w:val="Heading1"/>
        <w:pageBreakBefore/>
      </w:pPr>
      <w:bookmarkStart w:id="1021" w:name="_TocBlocky21"/>
      <w:r>
        <w:t>Appendix A. 规划假设与待确认事项</w:t>
      </w:r>
      <w:bookmarkEnd w:id="1021"/>
    </w:p>
    <w:p>
      <w:pPr>
        <w:pStyle w:val="BodyText"/>
      </w:pPr>
      <w:r>
        <w:t>所有金额与数量均为经营预算，未获得真实客户合同和费用凭证支持。Table 18（表18）与配套财务工作簿采用相同假设编号，后续应逐项替换为实际数据。2027至2029的经营预测不等于已实现收入，也不包含未披露的历史投入。</w:t>
      </w:r>
    </w:p>
    <w:p>
      <w:pPr>
        <w:pStyle w:val="Tabletitle"/>
        <w:keepNext/>
      </w:pPr>
      <w:r>
        <w:t>Table 18. 财务假设登记</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4392"/>
        <w:gridCol w:w="950"/>
        <w:gridCol w:w="950"/>
        <w:gridCol w:w="950"/>
        <w:gridCol w:w="1708"/>
      </w:tblGrid>
      <w:tr>
        <w:trPr>
          <w:cantSplit/>
          <w:tblHeader w:val="true"/>
        </w:trPr>
        <w:tc>
          <w:tcPr>
            <w:tcW w:w="4392" w:type="dxa"/>
            <w:tcMar>
              <w:top w:w="60" w:type="dxa"/>
              <w:start w:w="85" w:type="dxa"/>
              <w:bottom w:w="60" w:type="dxa"/>
              <w:end w:w="85" w:type="dxa"/>
            </w:tcMar>
          </w:tcPr>
          <w:p>
            <w:pPr>
              <w:pStyle w:val="BodyText"/>
              <w:spacing w:before="0" w:after="0" w:line="220" w:lineRule="auto"/>
            </w:pPr>
            <w:r>
              <w:t>编号与假设</w:t>
            </w:r>
          </w:p>
        </w:tc>
        <w:tc>
          <w:tcPr>
            <w:tcW w:w="950" w:type="dxa"/>
            <w:tcMar>
              <w:top w:w="60" w:type="dxa"/>
              <w:start w:w="85" w:type="dxa"/>
              <w:bottom w:w="60" w:type="dxa"/>
              <w:end w:w="85" w:type="dxa"/>
            </w:tcMar>
          </w:tcPr>
          <w:p>
            <w:pPr>
              <w:pStyle w:val="BodyText"/>
              <w:spacing w:before="0" w:after="0" w:line="220" w:lineRule="auto"/>
            </w:pPr>
            <w:r>
              <w:t>基准</w:t>
            </w:r>
          </w:p>
        </w:tc>
        <w:tc>
          <w:tcPr>
            <w:tcW w:w="950" w:type="dxa"/>
            <w:tcMar>
              <w:top w:w="60" w:type="dxa"/>
              <w:start w:w="85" w:type="dxa"/>
              <w:bottom w:w="60" w:type="dxa"/>
              <w:end w:w="85" w:type="dxa"/>
            </w:tcMar>
          </w:tcPr>
          <w:p>
            <w:pPr>
              <w:pStyle w:val="BodyText"/>
              <w:spacing w:before="0" w:after="0" w:line="220" w:lineRule="auto"/>
            </w:pPr>
            <w:r>
              <w:t>悲观</w:t>
            </w:r>
          </w:p>
        </w:tc>
        <w:tc>
          <w:tcPr>
            <w:tcW w:w="950" w:type="dxa"/>
            <w:tcMar>
              <w:top w:w="60" w:type="dxa"/>
              <w:start w:w="85" w:type="dxa"/>
              <w:bottom w:w="60" w:type="dxa"/>
              <w:end w:w="85" w:type="dxa"/>
            </w:tcMar>
          </w:tcPr>
          <w:p>
            <w:pPr>
              <w:pStyle w:val="BodyText"/>
              <w:spacing w:before="0" w:after="0" w:line="220" w:lineRule="auto"/>
            </w:pPr>
            <w:r>
              <w:t>积极</w:t>
            </w:r>
          </w:p>
        </w:tc>
        <w:tc>
          <w:tcPr>
            <w:tcW w:w="1708" w:type="dxa"/>
            <w:tcMar>
              <w:top w:w="60" w:type="dxa"/>
              <w:start w:w="85" w:type="dxa"/>
              <w:bottom w:w="60" w:type="dxa"/>
              <w:end w:w="85" w:type="dxa"/>
            </w:tcMar>
          </w:tcPr>
          <w:p>
            <w:pPr>
              <w:pStyle w:val="BodyText"/>
              <w:spacing w:before="0" w:after="0" w:line="220" w:lineRule="auto"/>
            </w:pPr>
            <w:r>
              <w:t>单位</w:t>
            </w:r>
          </w:p>
        </w:tc>
      </w:tr>
      <w:tr>
        <w:trPr>
          <w:cantSplit/>
        </w:trPr>
        <w:tc>
          <w:tcPr>
            <w:tcW w:w="4392" w:type="dxa"/>
            <w:tcMar>
              <w:top w:w="60" w:type="dxa"/>
              <w:start w:w="85" w:type="dxa"/>
              <w:bottom w:w="60" w:type="dxa"/>
              <w:end w:w="85" w:type="dxa"/>
            </w:tcMar>
          </w:tcPr>
          <w:p>
            <w:pPr>
              <w:pStyle w:val="BodyText"/>
              <w:spacing w:before="0" w:after="0" w:line="220" w:lineRule="auto"/>
            </w:pPr>
            <w:r>
              <w:t>A01 2027合同数</w:t>
              <w:br/>
              <w:t>依据：单次范围明确的课程试点/培训/配置支持服务；未签合同</w:t>
            </w:r>
          </w:p>
        </w:tc>
        <w:tc>
          <w:tcPr>
            <w:tcW w:w="950" w:type="dxa"/>
            <w:tcMar>
              <w:top w:w="60" w:type="dxa"/>
              <w:start w:w="85" w:type="dxa"/>
              <w:bottom w:w="60" w:type="dxa"/>
              <w:end w:w="85" w:type="dxa"/>
            </w:tcMar>
          </w:tcPr>
          <w:p>
            <w:pPr>
              <w:pStyle w:val="BodyText"/>
              <w:spacing w:before="0" w:after="0" w:line="220" w:lineRule="auto"/>
              <w:jc w:val="right"/>
            </w:pPr>
            <w:r>
              <w:t>4</w:t>
            </w:r>
          </w:p>
        </w:tc>
        <w:tc>
          <w:tcPr>
            <w:tcW w:w="950" w:type="dxa"/>
            <w:tcMar>
              <w:top w:w="60" w:type="dxa"/>
              <w:start w:w="85" w:type="dxa"/>
              <w:bottom w:w="60" w:type="dxa"/>
              <w:end w:w="85" w:type="dxa"/>
            </w:tcMar>
          </w:tcPr>
          <w:p>
            <w:pPr>
              <w:pStyle w:val="BodyText"/>
              <w:spacing w:before="0" w:after="0" w:line="220" w:lineRule="auto"/>
              <w:jc w:val="right"/>
            </w:pPr>
            <w:r>
              <w:t>2</w:t>
            </w:r>
          </w:p>
        </w:tc>
        <w:tc>
          <w:tcPr>
            <w:tcW w:w="950" w:type="dxa"/>
            <w:tcMar>
              <w:top w:w="60" w:type="dxa"/>
              <w:start w:w="85" w:type="dxa"/>
              <w:bottom w:w="60" w:type="dxa"/>
              <w:end w:w="85" w:type="dxa"/>
            </w:tcMar>
          </w:tcPr>
          <w:p>
            <w:pPr>
              <w:pStyle w:val="BodyText"/>
              <w:spacing w:before="0" w:after="0" w:line="220" w:lineRule="auto"/>
              <w:jc w:val="right"/>
            </w:pPr>
            <w:r>
              <w:t>6</w:t>
            </w:r>
          </w:p>
        </w:tc>
        <w:tc>
          <w:tcPr>
            <w:tcW w:w="1708" w:type="dxa"/>
            <w:tcMar>
              <w:top w:w="60" w:type="dxa"/>
              <w:start w:w="85" w:type="dxa"/>
              <w:bottom w:w="60" w:type="dxa"/>
              <w:end w:w="85" w:type="dxa"/>
            </w:tcMar>
          </w:tcPr>
          <w:p>
            <w:pPr>
              <w:pStyle w:val="BodyText"/>
              <w:spacing w:before="0" w:after="0" w:line="220" w:lineRule="auto"/>
            </w:pPr>
            <w:r>
              <w:t>份</w:t>
            </w:r>
          </w:p>
        </w:tc>
      </w:tr>
      <w:tr>
        <w:trPr>
          <w:cantSplit/>
        </w:trPr>
        <w:tc>
          <w:tcPr>
            <w:tcW w:w="4392" w:type="dxa"/>
            <w:tcMar>
              <w:top w:w="60" w:type="dxa"/>
              <w:start w:w="85" w:type="dxa"/>
              <w:bottom w:w="60" w:type="dxa"/>
              <w:end w:w="85" w:type="dxa"/>
            </w:tcMar>
          </w:tcPr>
          <w:p>
            <w:pPr>
              <w:pStyle w:val="BodyText"/>
              <w:spacing w:before="0" w:after="0" w:line="220" w:lineRule="auto"/>
            </w:pPr>
            <w:r>
              <w:t>A02 2028合同数</w:t>
              <w:br/>
              <w:t>依据：不自动假设续约；全部为当年交付合同</w:t>
            </w:r>
          </w:p>
        </w:tc>
        <w:tc>
          <w:tcPr>
            <w:tcW w:w="950" w:type="dxa"/>
            <w:tcMar>
              <w:top w:w="60" w:type="dxa"/>
              <w:start w:w="85" w:type="dxa"/>
              <w:bottom w:w="60" w:type="dxa"/>
              <w:end w:w="85" w:type="dxa"/>
            </w:tcMar>
          </w:tcPr>
          <w:p>
            <w:pPr>
              <w:pStyle w:val="BodyText"/>
              <w:spacing w:before="0" w:after="0" w:line="220" w:lineRule="auto"/>
              <w:jc w:val="right"/>
            </w:pPr>
            <w:r>
              <w:t>10</w:t>
            </w:r>
          </w:p>
        </w:tc>
        <w:tc>
          <w:tcPr>
            <w:tcW w:w="950" w:type="dxa"/>
            <w:tcMar>
              <w:top w:w="60" w:type="dxa"/>
              <w:start w:w="85" w:type="dxa"/>
              <w:bottom w:w="60" w:type="dxa"/>
              <w:end w:w="85" w:type="dxa"/>
            </w:tcMar>
          </w:tcPr>
          <w:p>
            <w:pPr>
              <w:pStyle w:val="BodyText"/>
              <w:spacing w:before="0" w:after="0" w:line="220" w:lineRule="auto"/>
              <w:jc w:val="right"/>
            </w:pPr>
            <w:r>
              <w:t>4</w:t>
            </w:r>
          </w:p>
        </w:tc>
        <w:tc>
          <w:tcPr>
            <w:tcW w:w="950" w:type="dxa"/>
            <w:tcMar>
              <w:top w:w="60" w:type="dxa"/>
              <w:start w:w="85" w:type="dxa"/>
              <w:bottom w:w="60" w:type="dxa"/>
              <w:end w:w="85" w:type="dxa"/>
            </w:tcMar>
          </w:tcPr>
          <w:p>
            <w:pPr>
              <w:pStyle w:val="BodyText"/>
              <w:spacing w:before="0" w:after="0" w:line="220" w:lineRule="auto"/>
              <w:jc w:val="right"/>
            </w:pPr>
            <w:r>
              <w:t>14</w:t>
            </w:r>
          </w:p>
        </w:tc>
        <w:tc>
          <w:tcPr>
            <w:tcW w:w="1708" w:type="dxa"/>
            <w:tcMar>
              <w:top w:w="60" w:type="dxa"/>
              <w:start w:w="85" w:type="dxa"/>
              <w:bottom w:w="60" w:type="dxa"/>
              <w:end w:w="85" w:type="dxa"/>
            </w:tcMar>
          </w:tcPr>
          <w:p>
            <w:pPr>
              <w:pStyle w:val="BodyText"/>
              <w:spacing w:before="0" w:after="0" w:line="220" w:lineRule="auto"/>
            </w:pPr>
            <w:r>
              <w:t>份</w:t>
            </w:r>
          </w:p>
        </w:tc>
      </w:tr>
      <w:tr>
        <w:trPr>
          <w:cantSplit/>
        </w:trPr>
        <w:tc>
          <w:tcPr>
            <w:tcW w:w="4392" w:type="dxa"/>
            <w:tcMar>
              <w:top w:w="60" w:type="dxa"/>
              <w:start w:w="85" w:type="dxa"/>
              <w:bottom w:w="60" w:type="dxa"/>
              <w:end w:w="85" w:type="dxa"/>
            </w:tcMar>
          </w:tcPr>
          <w:p>
            <w:pPr>
              <w:pStyle w:val="BodyText"/>
              <w:spacing w:before="0" w:after="0" w:line="220" w:lineRule="auto"/>
            </w:pPr>
            <w:r>
              <w:t>A03 2029合同数</w:t>
              <w:br/>
              <w:t>依据：可触达客户名单与转化均待验证</w:t>
            </w:r>
          </w:p>
        </w:tc>
        <w:tc>
          <w:tcPr>
            <w:tcW w:w="950" w:type="dxa"/>
            <w:tcMar>
              <w:top w:w="60" w:type="dxa"/>
              <w:start w:w="85" w:type="dxa"/>
              <w:bottom w:w="60" w:type="dxa"/>
              <w:end w:w="85" w:type="dxa"/>
            </w:tcMar>
          </w:tcPr>
          <w:p>
            <w:pPr>
              <w:pStyle w:val="BodyText"/>
              <w:spacing w:before="0" w:after="0" w:line="220" w:lineRule="auto"/>
              <w:jc w:val="right"/>
            </w:pPr>
            <w:r>
              <w:t>18</w:t>
            </w:r>
          </w:p>
        </w:tc>
        <w:tc>
          <w:tcPr>
            <w:tcW w:w="950" w:type="dxa"/>
            <w:tcMar>
              <w:top w:w="60" w:type="dxa"/>
              <w:start w:w="85" w:type="dxa"/>
              <w:bottom w:w="60" w:type="dxa"/>
              <w:end w:w="85" w:type="dxa"/>
            </w:tcMar>
          </w:tcPr>
          <w:p>
            <w:pPr>
              <w:pStyle w:val="BodyText"/>
              <w:spacing w:before="0" w:after="0" w:line="220" w:lineRule="auto"/>
              <w:jc w:val="right"/>
            </w:pPr>
            <w:r>
              <w:t>6</w:t>
            </w:r>
          </w:p>
        </w:tc>
        <w:tc>
          <w:tcPr>
            <w:tcW w:w="950" w:type="dxa"/>
            <w:tcMar>
              <w:top w:w="60" w:type="dxa"/>
              <w:start w:w="85" w:type="dxa"/>
              <w:bottom w:w="60" w:type="dxa"/>
              <w:end w:w="85" w:type="dxa"/>
            </w:tcMar>
          </w:tcPr>
          <w:p>
            <w:pPr>
              <w:pStyle w:val="BodyText"/>
              <w:spacing w:before="0" w:after="0" w:line="220" w:lineRule="auto"/>
              <w:jc w:val="right"/>
            </w:pPr>
            <w:r>
              <w:t>24</w:t>
            </w:r>
          </w:p>
        </w:tc>
        <w:tc>
          <w:tcPr>
            <w:tcW w:w="1708" w:type="dxa"/>
            <w:tcMar>
              <w:top w:w="60" w:type="dxa"/>
              <w:start w:w="85" w:type="dxa"/>
              <w:bottom w:w="60" w:type="dxa"/>
              <w:end w:w="85" w:type="dxa"/>
            </w:tcMar>
          </w:tcPr>
          <w:p>
            <w:pPr>
              <w:pStyle w:val="BodyText"/>
              <w:spacing w:before="0" w:after="0" w:line="220" w:lineRule="auto"/>
            </w:pPr>
            <w:r>
              <w:t>份</w:t>
            </w:r>
          </w:p>
        </w:tc>
      </w:tr>
      <w:tr>
        <w:trPr>
          <w:cantSplit/>
        </w:trPr>
        <w:tc>
          <w:tcPr>
            <w:tcW w:w="4392" w:type="dxa"/>
            <w:tcMar>
              <w:top w:w="60" w:type="dxa"/>
              <w:start w:w="85" w:type="dxa"/>
              <w:bottom w:w="60" w:type="dxa"/>
              <w:end w:w="85" w:type="dxa"/>
            </w:tcMar>
          </w:tcPr>
          <w:p>
            <w:pPr>
              <w:pStyle w:val="BodyText"/>
              <w:spacing w:before="0" w:after="0" w:line="220" w:lineRule="auto"/>
            </w:pPr>
            <w:r>
              <w:t>A04 每合同含税总预算</w:t>
              <w:br/>
              <w:t>依据：示例均价；具体机构须逐项报价</w:t>
            </w:r>
          </w:p>
        </w:tc>
        <w:tc>
          <w:tcPr>
            <w:tcW w:w="950" w:type="dxa"/>
            <w:tcMar>
              <w:top w:w="60" w:type="dxa"/>
              <w:start w:w="85" w:type="dxa"/>
              <w:bottom w:w="60" w:type="dxa"/>
              <w:end w:w="85" w:type="dxa"/>
            </w:tcMar>
          </w:tcPr>
          <w:p>
            <w:pPr>
              <w:pStyle w:val="BodyText"/>
              <w:spacing w:before="0" w:after="0" w:line="220" w:lineRule="auto"/>
              <w:jc w:val="right"/>
            </w:pPr>
            <w:r>
              <w:t>18,000</w:t>
            </w:r>
          </w:p>
        </w:tc>
        <w:tc>
          <w:tcPr>
            <w:tcW w:w="950" w:type="dxa"/>
            <w:tcMar>
              <w:top w:w="60" w:type="dxa"/>
              <w:start w:w="85" w:type="dxa"/>
              <w:bottom w:w="60" w:type="dxa"/>
              <w:end w:w="85" w:type="dxa"/>
            </w:tcMar>
          </w:tcPr>
          <w:p>
            <w:pPr>
              <w:pStyle w:val="BodyText"/>
              <w:spacing w:before="0" w:after="0" w:line="220" w:lineRule="auto"/>
              <w:jc w:val="right"/>
            </w:pPr>
            <w:r>
              <w:t>15,000</w:t>
            </w:r>
          </w:p>
        </w:tc>
        <w:tc>
          <w:tcPr>
            <w:tcW w:w="950" w:type="dxa"/>
            <w:tcMar>
              <w:top w:w="60" w:type="dxa"/>
              <w:start w:w="85" w:type="dxa"/>
              <w:bottom w:w="60" w:type="dxa"/>
              <w:end w:w="85" w:type="dxa"/>
            </w:tcMar>
          </w:tcPr>
          <w:p>
            <w:pPr>
              <w:pStyle w:val="BodyText"/>
              <w:spacing w:before="0" w:after="0" w:line="220" w:lineRule="auto"/>
              <w:jc w:val="right"/>
            </w:pPr>
            <w:r>
              <w:t>22,000</w:t>
            </w:r>
          </w:p>
        </w:tc>
        <w:tc>
          <w:tcPr>
            <w:tcW w:w="1708" w:type="dxa"/>
            <w:tcMar>
              <w:top w:w="60" w:type="dxa"/>
              <w:start w:w="85" w:type="dxa"/>
              <w:bottom w:w="60" w:type="dxa"/>
              <w:end w:w="85" w:type="dxa"/>
            </w:tcMar>
          </w:tcPr>
          <w:p>
            <w:pPr>
              <w:pStyle w:val="BodyText"/>
              <w:spacing w:before="0" w:after="0" w:line="220" w:lineRule="auto"/>
            </w:pPr>
            <w:r>
              <w:t>元/份</w:t>
            </w:r>
          </w:p>
        </w:tc>
      </w:tr>
      <w:tr>
        <w:trPr>
          <w:cantSplit/>
        </w:trPr>
        <w:tc>
          <w:tcPr>
            <w:tcW w:w="4392" w:type="dxa"/>
            <w:tcMar>
              <w:top w:w="60" w:type="dxa"/>
              <w:start w:w="85" w:type="dxa"/>
              <w:bottom w:w="60" w:type="dxa"/>
              <w:end w:w="85" w:type="dxa"/>
            </w:tcMar>
          </w:tcPr>
          <w:p>
            <w:pPr>
              <w:pStyle w:val="BodyText"/>
              <w:spacing w:before="0" w:after="0" w:line="220" w:lineRule="auto"/>
            </w:pPr>
            <w:r>
              <w:t>A05 每合同交付工时</w:t>
              <w:br/>
              <w:t>依据：备课、培训、安装配置、支持；不含固定核心工作</w:t>
            </w:r>
          </w:p>
        </w:tc>
        <w:tc>
          <w:tcPr>
            <w:tcW w:w="950" w:type="dxa"/>
            <w:tcMar>
              <w:top w:w="60" w:type="dxa"/>
              <w:start w:w="85" w:type="dxa"/>
              <w:bottom w:w="60" w:type="dxa"/>
              <w:end w:w="85" w:type="dxa"/>
            </w:tcMar>
          </w:tcPr>
          <w:p>
            <w:pPr>
              <w:pStyle w:val="BodyText"/>
              <w:spacing w:before="0" w:after="0" w:line="220" w:lineRule="auto"/>
              <w:jc w:val="right"/>
            </w:pPr>
            <w:r>
              <w:t>80</w:t>
            </w:r>
          </w:p>
        </w:tc>
        <w:tc>
          <w:tcPr>
            <w:tcW w:w="950" w:type="dxa"/>
            <w:tcMar>
              <w:top w:w="60" w:type="dxa"/>
              <w:start w:w="85" w:type="dxa"/>
              <w:bottom w:w="60" w:type="dxa"/>
              <w:end w:w="85" w:type="dxa"/>
            </w:tcMar>
          </w:tcPr>
          <w:p>
            <w:pPr>
              <w:pStyle w:val="BodyText"/>
              <w:spacing w:before="0" w:after="0" w:line="220" w:lineRule="auto"/>
              <w:jc w:val="right"/>
            </w:pPr>
            <w:r>
              <w:t>100</w:t>
            </w:r>
          </w:p>
        </w:tc>
        <w:tc>
          <w:tcPr>
            <w:tcW w:w="950" w:type="dxa"/>
            <w:tcMar>
              <w:top w:w="60" w:type="dxa"/>
              <w:start w:w="85" w:type="dxa"/>
              <w:bottom w:w="60" w:type="dxa"/>
              <w:end w:w="85" w:type="dxa"/>
            </w:tcMar>
          </w:tcPr>
          <w:p>
            <w:pPr>
              <w:pStyle w:val="BodyText"/>
              <w:spacing w:before="0" w:after="0" w:line="220" w:lineRule="auto"/>
              <w:jc w:val="right"/>
            </w:pPr>
            <w:r>
              <w:t>70</w:t>
            </w:r>
          </w:p>
        </w:tc>
        <w:tc>
          <w:tcPr>
            <w:tcW w:w="1708" w:type="dxa"/>
            <w:tcMar>
              <w:top w:w="60" w:type="dxa"/>
              <w:start w:w="85" w:type="dxa"/>
              <w:bottom w:w="60" w:type="dxa"/>
              <w:end w:w="85" w:type="dxa"/>
            </w:tcMar>
          </w:tcPr>
          <w:p>
            <w:pPr>
              <w:pStyle w:val="BodyText"/>
              <w:spacing w:before="0" w:after="0" w:line="220" w:lineRule="auto"/>
            </w:pPr>
            <w:r>
              <w:t>小时/份</w:t>
            </w:r>
          </w:p>
        </w:tc>
      </w:tr>
      <w:tr>
        <w:trPr>
          <w:cantSplit/>
        </w:trPr>
        <w:tc>
          <w:tcPr>
            <w:tcW w:w="4392" w:type="dxa"/>
            <w:tcMar>
              <w:top w:w="60" w:type="dxa"/>
              <w:start w:w="85" w:type="dxa"/>
              <w:bottom w:w="60" w:type="dxa"/>
              <w:end w:w="85" w:type="dxa"/>
            </w:tcMar>
          </w:tcPr>
          <w:p>
            <w:pPr>
              <w:pStyle w:val="BodyText"/>
              <w:spacing w:before="0" w:after="0" w:line="220" w:lineRule="auto"/>
            </w:pPr>
            <w:r>
              <w:t>A06 交付内部工时预算</w:t>
              <w:br/>
              <w:t>依据：交付专项报酬；不与固定核心工作工时重叠</w:t>
            </w:r>
          </w:p>
        </w:tc>
        <w:tc>
          <w:tcPr>
            <w:tcW w:w="950" w:type="dxa"/>
            <w:tcMar>
              <w:top w:w="60" w:type="dxa"/>
              <w:start w:w="85" w:type="dxa"/>
              <w:bottom w:w="60" w:type="dxa"/>
              <w:end w:w="85" w:type="dxa"/>
            </w:tcMar>
          </w:tcPr>
          <w:p>
            <w:pPr>
              <w:pStyle w:val="BodyText"/>
              <w:spacing w:before="0" w:after="0" w:line="220" w:lineRule="auto"/>
              <w:jc w:val="right"/>
            </w:pPr>
            <w:r>
              <w:t>80</w:t>
            </w:r>
          </w:p>
        </w:tc>
        <w:tc>
          <w:tcPr>
            <w:tcW w:w="950" w:type="dxa"/>
            <w:tcMar>
              <w:top w:w="60" w:type="dxa"/>
              <w:start w:w="85" w:type="dxa"/>
              <w:bottom w:w="60" w:type="dxa"/>
              <w:end w:w="85" w:type="dxa"/>
            </w:tcMar>
          </w:tcPr>
          <w:p>
            <w:pPr>
              <w:pStyle w:val="BodyText"/>
              <w:spacing w:before="0" w:after="0" w:line="220" w:lineRule="auto"/>
              <w:jc w:val="right"/>
            </w:pPr>
            <w:r>
              <w:t>90</w:t>
            </w:r>
          </w:p>
        </w:tc>
        <w:tc>
          <w:tcPr>
            <w:tcW w:w="950" w:type="dxa"/>
            <w:tcMar>
              <w:top w:w="60" w:type="dxa"/>
              <w:start w:w="85" w:type="dxa"/>
              <w:bottom w:w="60" w:type="dxa"/>
              <w:end w:w="85" w:type="dxa"/>
            </w:tcMar>
          </w:tcPr>
          <w:p>
            <w:pPr>
              <w:pStyle w:val="BodyText"/>
              <w:spacing w:before="0" w:after="0" w:line="220" w:lineRule="auto"/>
              <w:jc w:val="right"/>
            </w:pPr>
            <w:r>
              <w:t>80</w:t>
            </w:r>
          </w:p>
        </w:tc>
        <w:tc>
          <w:tcPr>
            <w:tcW w:w="1708" w:type="dxa"/>
            <w:tcMar>
              <w:top w:w="60" w:type="dxa"/>
              <w:start w:w="85" w:type="dxa"/>
              <w:bottom w:w="60" w:type="dxa"/>
              <w:end w:w="85" w:type="dxa"/>
            </w:tcMar>
          </w:tcPr>
          <w:p>
            <w:pPr>
              <w:pStyle w:val="BodyText"/>
              <w:spacing w:before="0" w:after="0" w:line="220" w:lineRule="auto"/>
            </w:pPr>
            <w:r>
              <w:t>元/小时</w:t>
            </w:r>
          </w:p>
        </w:tc>
      </w:tr>
      <w:tr>
        <w:trPr>
          <w:cantSplit/>
        </w:trPr>
        <w:tc>
          <w:tcPr>
            <w:tcW w:w="4392" w:type="dxa"/>
            <w:tcMar>
              <w:top w:w="60" w:type="dxa"/>
              <w:start w:w="85" w:type="dxa"/>
              <w:bottom w:w="60" w:type="dxa"/>
              <w:end w:w="85" w:type="dxa"/>
            </w:tcMar>
          </w:tcPr>
          <w:p>
            <w:pPr>
              <w:pStyle w:val="BodyText"/>
              <w:spacing w:before="0" w:after="0" w:line="220" w:lineRule="auto"/>
            </w:pPr>
            <w:r>
              <w:t>A07 外部增援工时预算</w:t>
              <w:br/>
              <w:t>依据：超出学生团队交付工时的外包预算；尚未聘用</w:t>
            </w:r>
          </w:p>
        </w:tc>
        <w:tc>
          <w:tcPr>
            <w:tcW w:w="950" w:type="dxa"/>
            <w:tcMar>
              <w:top w:w="60" w:type="dxa"/>
              <w:start w:w="85" w:type="dxa"/>
              <w:bottom w:w="60" w:type="dxa"/>
              <w:end w:w="85" w:type="dxa"/>
            </w:tcMar>
          </w:tcPr>
          <w:p>
            <w:pPr>
              <w:pStyle w:val="BodyText"/>
              <w:spacing w:before="0" w:after="0" w:line="220" w:lineRule="auto"/>
              <w:jc w:val="right"/>
            </w:pPr>
            <w:r>
              <w:t>100</w:t>
            </w:r>
          </w:p>
        </w:tc>
        <w:tc>
          <w:tcPr>
            <w:tcW w:w="950" w:type="dxa"/>
            <w:tcMar>
              <w:top w:w="60" w:type="dxa"/>
              <w:start w:w="85" w:type="dxa"/>
              <w:bottom w:w="60" w:type="dxa"/>
              <w:end w:w="85" w:type="dxa"/>
            </w:tcMar>
          </w:tcPr>
          <w:p>
            <w:pPr>
              <w:pStyle w:val="BodyText"/>
              <w:spacing w:before="0" w:after="0" w:line="220" w:lineRule="auto"/>
              <w:jc w:val="right"/>
            </w:pPr>
            <w:r>
              <w:t>110</w:t>
            </w:r>
          </w:p>
        </w:tc>
        <w:tc>
          <w:tcPr>
            <w:tcW w:w="950" w:type="dxa"/>
            <w:tcMar>
              <w:top w:w="60" w:type="dxa"/>
              <w:start w:w="85" w:type="dxa"/>
              <w:bottom w:w="60" w:type="dxa"/>
              <w:end w:w="85" w:type="dxa"/>
            </w:tcMar>
          </w:tcPr>
          <w:p>
            <w:pPr>
              <w:pStyle w:val="BodyText"/>
              <w:spacing w:before="0" w:after="0" w:line="220" w:lineRule="auto"/>
              <w:jc w:val="right"/>
            </w:pPr>
            <w:r>
              <w:t>100</w:t>
            </w:r>
          </w:p>
        </w:tc>
        <w:tc>
          <w:tcPr>
            <w:tcW w:w="1708" w:type="dxa"/>
            <w:tcMar>
              <w:top w:w="60" w:type="dxa"/>
              <w:start w:w="85" w:type="dxa"/>
              <w:bottom w:w="60" w:type="dxa"/>
              <w:end w:w="85" w:type="dxa"/>
            </w:tcMar>
          </w:tcPr>
          <w:p>
            <w:pPr>
              <w:pStyle w:val="BodyText"/>
              <w:spacing w:before="0" w:after="0" w:line="220" w:lineRule="auto"/>
            </w:pPr>
            <w:r>
              <w:t>元/小时</w:t>
            </w:r>
          </w:p>
        </w:tc>
      </w:tr>
      <w:tr>
        <w:trPr>
          <w:cantSplit/>
        </w:trPr>
        <w:tc>
          <w:tcPr>
            <w:tcW w:w="4392" w:type="dxa"/>
            <w:tcMar>
              <w:top w:w="60" w:type="dxa"/>
              <w:start w:w="85" w:type="dxa"/>
              <w:bottom w:w="60" w:type="dxa"/>
              <w:end w:w="85" w:type="dxa"/>
            </w:tcMar>
          </w:tcPr>
          <w:p>
            <w:pPr>
              <w:pStyle w:val="BodyText"/>
              <w:spacing w:before="0" w:after="0" w:line="220" w:lineRule="auto"/>
            </w:pPr>
            <w:r>
              <w:t>A08 每合同输入Token</w:t>
              <w:br/>
              <w:t>依据：额度上限规划；没有整班实测</w:t>
            </w:r>
          </w:p>
        </w:tc>
        <w:tc>
          <w:tcPr>
            <w:tcW w:w="950" w:type="dxa"/>
            <w:tcMar>
              <w:top w:w="60" w:type="dxa"/>
              <w:start w:w="85" w:type="dxa"/>
              <w:bottom w:w="60" w:type="dxa"/>
              <w:end w:w="85" w:type="dxa"/>
            </w:tcMar>
          </w:tcPr>
          <w:p>
            <w:pPr>
              <w:pStyle w:val="BodyText"/>
              <w:spacing w:before="0" w:after="0" w:line="220" w:lineRule="auto"/>
              <w:jc w:val="right"/>
            </w:pPr>
            <w:r>
              <w:t>80</w:t>
            </w:r>
          </w:p>
        </w:tc>
        <w:tc>
          <w:tcPr>
            <w:tcW w:w="950" w:type="dxa"/>
            <w:tcMar>
              <w:top w:w="60" w:type="dxa"/>
              <w:start w:w="85" w:type="dxa"/>
              <w:bottom w:w="60" w:type="dxa"/>
              <w:end w:w="85" w:type="dxa"/>
            </w:tcMar>
          </w:tcPr>
          <w:p>
            <w:pPr>
              <w:pStyle w:val="BodyText"/>
              <w:spacing w:before="0" w:after="0" w:line="220" w:lineRule="auto"/>
              <w:jc w:val="right"/>
            </w:pPr>
            <w:r>
              <w:t>120</w:t>
            </w:r>
          </w:p>
        </w:tc>
        <w:tc>
          <w:tcPr>
            <w:tcW w:w="950" w:type="dxa"/>
            <w:tcMar>
              <w:top w:w="60" w:type="dxa"/>
              <w:start w:w="85" w:type="dxa"/>
              <w:bottom w:w="60" w:type="dxa"/>
              <w:end w:w="85" w:type="dxa"/>
            </w:tcMar>
          </w:tcPr>
          <w:p>
            <w:pPr>
              <w:pStyle w:val="BodyText"/>
              <w:spacing w:before="0" w:after="0" w:line="220" w:lineRule="auto"/>
              <w:jc w:val="right"/>
            </w:pPr>
            <w:r>
              <w:t>100</w:t>
            </w:r>
          </w:p>
        </w:tc>
        <w:tc>
          <w:tcPr>
            <w:tcW w:w="1708" w:type="dxa"/>
            <w:tcMar>
              <w:top w:w="60" w:type="dxa"/>
              <w:start w:w="85" w:type="dxa"/>
              <w:bottom w:w="60" w:type="dxa"/>
              <w:end w:w="85" w:type="dxa"/>
            </w:tcMar>
          </w:tcPr>
          <w:p>
            <w:pPr>
              <w:pStyle w:val="BodyText"/>
              <w:spacing w:before="0" w:after="0" w:line="220" w:lineRule="auto"/>
            </w:pPr>
            <w:r>
              <w:t>百万Token</w:t>
            </w:r>
          </w:p>
        </w:tc>
      </w:tr>
      <w:tr>
        <w:trPr>
          <w:cantSplit/>
        </w:trPr>
        <w:tc>
          <w:tcPr>
            <w:tcW w:w="4392" w:type="dxa"/>
            <w:tcMar>
              <w:top w:w="60" w:type="dxa"/>
              <w:start w:w="85" w:type="dxa"/>
              <w:bottom w:w="60" w:type="dxa"/>
              <w:end w:w="85" w:type="dxa"/>
            </w:tcMar>
          </w:tcPr>
          <w:p>
            <w:pPr>
              <w:pStyle w:val="BodyText"/>
              <w:spacing w:before="0" w:after="0" w:line="220" w:lineRule="auto"/>
            </w:pPr>
            <w:r>
              <w:t>A09 每合同输出Token</w:t>
              <w:br/>
              <w:t>依据：包含重试的预算假设，非实测消费</w:t>
            </w:r>
          </w:p>
        </w:tc>
        <w:tc>
          <w:tcPr>
            <w:tcW w:w="950" w:type="dxa"/>
            <w:tcMar>
              <w:top w:w="60" w:type="dxa"/>
              <w:start w:w="85" w:type="dxa"/>
              <w:bottom w:w="60" w:type="dxa"/>
              <w:end w:w="85" w:type="dxa"/>
            </w:tcMar>
          </w:tcPr>
          <w:p>
            <w:pPr>
              <w:pStyle w:val="BodyText"/>
              <w:spacing w:before="0" w:after="0" w:line="220" w:lineRule="auto"/>
              <w:jc w:val="right"/>
            </w:pPr>
            <w:r>
              <w:t>20</w:t>
            </w:r>
          </w:p>
        </w:tc>
        <w:tc>
          <w:tcPr>
            <w:tcW w:w="950" w:type="dxa"/>
            <w:tcMar>
              <w:top w:w="60" w:type="dxa"/>
              <w:start w:w="85" w:type="dxa"/>
              <w:bottom w:w="60" w:type="dxa"/>
              <w:end w:w="85" w:type="dxa"/>
            </w:tcMar>
          </w:tcPr>
          <w:p>
            <w:pPr>
              <w:pStyle w:val="BodyText"/>
              <w:spacing w:before="0" w:after="0" w:line="220" w:lineRule="auto"/>
              <w:jc w:val="right"/>
            </w:pPr>
            <w:r>
              <w:t>30</w:t>
            </w:r>
          </w:p>
        </w:tc>
        <w:tc>
          <w:tcPr>
            <w:tcW w:w="950" w:type="dxa"/>
            <w:tcMar>
              <w:top w:w="60" w:type="dxa"/>
              <w:start w:w="85" w:type="dxa"/>
              <w:bottom w:w="60" w:type="dxa"/>
              <w:end w:w="85" w:type="dxa"/>
            </w:tcMar>
          </w:tcPr>
          <w:p>
            <w:pPr>
              <w:pStyle w:val="BodyText"/>
              <w:spacing w:before="0" w:after="0" w:line="220" w:lineRule="auto"/>
              <w:jc w:val="right"/>
            </w:pPr>
            <w:r>
              <w:t>25</w:t>
            </w:r>
          </w:p>
        </w:tc>
        <w:tc>
          <w:tcPr>
            <w:tcW w:w="1708" w:type="dxa"/>
            <w:tcMar>
              <w:top w:w="60" w:type="dxa"/>
              <w:start w:w="85" w:type="dxa"/>
              <w:bottom w:w="60" w:type="dxa"/>
              <w:end w:w="85" w:type="dxa"/>
            </w:tcMar>
          </w:tcPr>
          <w:p>
            <w:pPr>
              <w:pStyle w:val="BodyText"/>
              <w:spacing w:before="0" w:after="0" w:line="220" w:lineRule="auto"/>
            </w:pPr>
            <w:r>
              <w:t>百万Token</w:t>
            </w:r>
          </w:p>
        </w:tc>
      </w:tr>
      <w:tr>
        <w:trPr>
          <w:cantSplit/>
        </w:trPr>
        <w:tc>
          <w:tcPr>
            <w:tcW w:w="4392" w:type="dxa"/>
            <w:tcMar>
              <w:top w:w="60" w:type="dxa"/>
              <w:start w:w="85" w:type="dxa"/>
              <w:bottom w:w="60" w:type="dxa"/>
              <w:end w:w="85" w:type="dxa"/>
            </w:tcMar>
          </w:tcPr>
          <w:p>
            <w:pPr>
              <w:pStyle w:val="BodyText"/>
              <w:spacing w:before="0" w:after="0" w:line="220" w:lineRule="auto"/>
            </w:pPr>
            <w:r>
              <w:t>A10 输入Token预算单价</w:t>
              <w:br/>
              <w:t>依据：保守预算假设，非供应商报价；需按实际模型替换</w:t>
            </w:r>
          </w:p>
        </w:tc>
        <w:tc>
          <w:tcPr>
            <w:tcW w:w="950" w:type="dxa"/>
            <w:tcMar>
              <w:top w:w="60" w:type="dxa"/>
              <w:start w:w="85" w:type="dxa"/>
              <w:bottom w:w="60" w:type="dxa"/>
              <w:end w:w="85" w:type="dxa"/>
            </w:tcMar>
          </w:tcPr>
          <w:p>
            <w:pPr>
              <w:pStyle w:val="BodyText"/>
              <w:spacing w:before="0" w:after="0" w:line="220" w:lineRule="auto"/>
              <w:jc w:val="right"/>
            </w:pPr>
            <w:r>
              <w:t>10</w:t>
            </w:r>
          </w:p>
        </w:tc>
        <w:tc>
          <w:tcPr>
            <w:tcW w:w="950" w:type="dxa"/>
            <w:tcMar>
              <w:top w:w="60" w:type="dxa"/>
              <w:start w:w="85" w:type="dxa"/>
              <w:bottom w:w="60" w:type="dxa"/>
              <w:end w:w="85" w:type="dxa"/>
            </w:tcMar>
          </w:tcPr>
          <w:p>
            <w:pPr>
              <w:pStyle w:val="BodyText"/>
              <w:spacing w:before="0" w:after="0" w:line="220" w:lineRule="auto"/>
              <w:jc w:val="right"/>
            </w:pPr>
            <w:r>
              <w:t>15</w:t>
            </w:r>
          </w:p>
        </w:tc>
        <w:tc>
          <w:tcPr>
            <w:tcW w:w="950" w:type="dxa"/>
            <w:tcMar>
              <w:top w:w="60" w:type="dxa"/>
              <w:start w:w="85" w:type="dxa"/>
              <w:bottom w:w="60" w:type="dxa"/>
              <w:end w:w="85" w:type="dxa"/>
            </w:tcMar>
          </w:tcPr>
          <w:p>
            <w:pPr>
              <w:pStyle w:val="BodyText"/>
              <w:spacing w:before="0" w:after="0" w:line="220" w:lineRule="auto"/>
              <w:jc w:val="right"/>
            </w:pPr>
            <w:r>
              <w:t>10</w:t>
            </w:r>
          </w:p>
        </w:tc>
        <w:tc>
          <w:tcPr>
            <w:tcW w:w="1708" w:type="dxa"/>
            <w:tcMar>
              <w:top w:w="60" w:type="dxa"/>
              <w:start w:w="85" w:type="dxa"/>
              <w:bottom w:w="60" w:type="dxa"/>
              <w:end w:w="85" w:type="dxa"/>
            </w:tcMar>
          </w:tcPr>
          <w:p>
            <w:pPr>
              <w:pStyle w:val="BodyText"/>
              <w:spacing w:before="0" w:after="0" w:line="220" w:lineRule="auto"/>
            </w:pPr>
            <w:r>
              <w:t>元/百万Token</w:t>
            </w:r>
          </w:p>
        </w:tc>
      </w:tr>
      <w:tr>
        <w:trPr>
          <w:cantSplit/>
        </w:trPr>
        <w:tc>
          <w:tcPr>
            <w:tcW w:w="4392" w:type="dxa"/>
            <w:tcMar>
              <w:top w:w="60" w:type="dxa"/>
              <w:start w:w="85" w:type="dxa"/>
              <w:bottom w:w="60" w:type="dxa"/>
              <w:end w:w="85" w:type="dxa"/>
            </w:tcMar>
          </w:tcPr>
          <w:p>
            <w:pPr>
              <w:pStyle w:val="BodyText"/>
              <w:spacing w:before="0" w:after="0" w:line="220" w:lineRule="auto"/>
            </w:pPr>
            <w:r>
              <w:t>A11 输出Token预算单价</w:t>
              <w:br/>
              <w:t>依据：预算假设；客户自带API时另行报价</w:t>
            </w:r>
          </w:p>
        </w:tc>
        <w:tc>
          <w:tcPr>
            <w:tcW w:w="950" w:type="dxa"/>
            <w:tcMar>
              <w:top w:w="60" w:type="dxa"/>
              <w:start w:w="85" w:type="dxa"/>
              <w:bottom w:w="60" w:type="dxa"/>
              <w:end w:w="85" w:type="dxa"/>
            </w:tcMar>
          </w:tcPr>
          <w:p>
            <w:pPr>
              <w:pStyle w:val="BodyText"/>
              <w:spacing w:before="0" w:after="0" w:line="220" w:lineRule="auto"/>
              <w:jc w:val="right"/>
            </w:pPr>
            <w:r>
              <w:t>30</w:t>
            </w:r>
          </w:p>
        </w:tc>
        <w:tc>
          <w:tcPr>
            <w:tcW w:w="950" w:type="dxa"/>
            <w:tcMar>
              <w:top w:w="60" w:type="dxa"/>
              <w:start w:w="85" w:type="dxa"/>
              <w:bottom w:w="60" w:type="dxa"/>
              <w:end w:w="85" w:type="dxa"/>
            </w:tcMar>
          </w:tcPr>
          <w:p>
            <w:pPr>
              <w:pStyle w:val="BodyText"/>
              <w:spacing w:before="0" w:after="0" w:line="220" w:lineRule="auto"/>
              <w:jc w:val="right"/>
            </w:pPr>
            <w:r>
              <w:t>45</w:t>
            </w:r>
          </w:p>
        </w:tc>
        <w:tc>
          <w:tcPr>
            <w:tcW w:w="950" w:type="dxa"/>
            <w:tcMar>
              <w:top w:w="60" w:type="dxa"/>
              <w:start w:w="85" w:type="dxa"/>
              <w:bottom w:w="60" w:type="dxa"/>
              <w:end w:w="85" w:type="dxa"/>
            </w:tcMar>
          </w:tcPr>
          <w:p>
            <w:pPr>
              <w:pStyle w:val="BodyText"/>
              <w:spacing w:before="0" w:after="0" w:line="220" w:lineRule="auto"/>
              <w:jc w:val="right"/>
            </w:pPr>
            <w:r>
              <w:t>30</w:t>
            </w:r>
          </w:p>
        </w:tc>
        <w:tc>
          <w:tcPr>
            <w:tcW w:w="1708" w:type="dxa"/>
            <w:tcMar>
              <w:top w:w="60" w:type="dxa"/>
              <w:start w:w="85" w:type="dxa"/>
              <w:bottom w:w="60" w:type="dxa"/>
              <w:end w:w="85" w:type="dxa"/>
            </w:tcMar>
          </w:tcPr>
          <w:p>
            <w:pPr>
              <w:pStyle w:val="BodyText"/>
              <w:spacing w:before="0" w:after="0" w:line="220" w:lineRule="auto"/>
            </w:pPr>
            <w:r>
              <w:t>元/百万Token</w:t>
            </w:r>
          </w:p>
        </w:tc>
      </w:tr>
      <w:tr>
        <w:trPr>
          <w:cantSplit/>
        </w:trPr>
        <w:tc>
          <w:tcPr>
            <w:tcW w:w="4392" w:type="dxa"/>
            <w:tcMar>
              <w:top w:w="60" w:type="dxa"/>
              <w:start w:w="85" w:type="dxa"/>
              <w:bottom w:w="60" w:type="dxa"/>
              <w:end w:w="85" w:type="dxa"/>
            </w:tcMar>
          </w:tcPr>
          <w:p>
            <w:pPr>
              <w:pStyle w:val="BodyText"/>
              <w:spacing w:before="0" w:after="0" w:line="220" w:lineRule="auto"/>
            </w:pPr>
            <w:r>
              <w:t>A12 每合同其他直接成本</w:t>
              <w:br/>
              <w:t>依据：交通、资料及现场配置耗材预算</w:t>
            </w:r>
          </w:p>
        </w:tc>
        <w:tc>
          <w:tcPr>
            <w:tcW w:w="950" w:type="dxa"/>
            <w:tcMar>
              <w:top w:w="60" w:type="dxa"/>
              <w:start w:w="85" w:type="dxa"/>
              <w:bottom w:w="60" w:type="dxa"/>
              <w:end w:w="85" w:type="dxa"/>
            </w:tcMar>
          </w:tcPr>
          <w:p>
            <w:pPr>
              <w:pStyle w:val="BodyText"/>
              <w:spacing w:before="0" w:after="0" w:line="220" w:lineRule="auto"/>
              <w:jc w:val="right"/>
            </w:pPr>
            <w:r>
              <w:t>600</w:t>
            </w:r>
          </w:p>
        </w:tc>
        <w:tc>
          <w:tcPr>
            <w:tcW w:w="950" w:type="dxa"/>
            <w:tcMar>
              <w:top w:w="60" w:type="dxa"/>
              <w:start w:w="85" w:type="dxa"/>
              <w:bottom w:w="60" w:type="dxa"/>
              <w:end w:w="85" w:type="dxa"/>
            </w:tcMar>
          </w:tcPr>
          <w:p>
            <w:pPr>
              <w:pStyle w:val="BodyText"/>
              <w:spacing w:before="0" w:after="0" w:line="220" w:lineRule="auto"/>
              <w:jc w:val="right"/>
            </w:pPr>
            <w:r>
              <w:t>800</w:t>
            </w:r>
          </w:p>
        </w:tc>
        <w:tc>
          <w:tcPr>
            <w:tcW w:w="950" w:type="dxa"/>
            <w:tcMar>
              <w:top w:w="60" w:type="dxa"/>
              <w:start w:w="85" w:type="dxa"/>
              <w:bottom w:w="60" w:type="dxa"/>
              <w:end w:w="85" w:type="dxa"/>
            </w:tcMar>
          </w:tcPr>
          <w:p>
            <w:pPr>
              <w:pStyle w:val="BodyText"/>
              <w:spacing w:before="0" w:after="0" w:line="220" w:lineRule="auto"/>
              <w:jc w:val="right"/>
            </w:pPr>
            <w:r>
              <w:t>700</w:t>
            </w:r>
          </w:p>
        </w:tc>
        <w:tc>
          <w:tcPr>
            <w:tcW w:w="1708" w:type="dxa"/>
            <w:tcMar>
              <w:top w:w="60" w:type="dxa"/>
              <w:start w:w="85" w:type="dxa"/>
              <w:bottom w:w="60" w:type="dxa"/>
              <w:end w:w="85" w:type="dxa"/>
            </w:tcMar>
          </w:tcPr>
          <w:p>
            <w:pPr>
              <w:pStyle w:val="BodyText"/>
              <w:spacing w:before="0" w:after="0" w:line="220" w:lineRule="auto"/>
            </w:pPr>
            <w:r>
              <w:t>元/份</w:t>
            </w:r>
          </w:p>
        </w:tc>
      </w:tr>
      <w:tr>
        <w:trPr>
          <w:cantSplit/>
        </w:trPr>
        <w:tc>
          <w:tcPr>
            <w:tcW w:w="4392" w:type="dxa"/>
            <w:tcMar>
              <w:top w:w="60" w:type="dxa"/>
              <w:start w:w="85" w:type="dxa"/>
              <w:bottom w:w="60" w:type="dxa"/>
              <w:end w:w="85" w:type="dxa"/>
            </w:tcMar>
          </w:tcPr>
          <w:p>
            <w:pPr>
              <w:pStyle w:val="BodyText"/>
              <w:spacing w:before="0" w:after="0" w:line="220" w:lineRule="auto"/>
            </w:pPr>
            <w:r>
              <w:t>A13 两人每月固定核心报酬</w:t>
              <w:br/>
              <w:t>依据：产品维护/教研通用素材/销售；未获用户确认，非既有工资</w:t>
            </w:r>
          </w:p>
        </w:tc>
        <w:tc>
          <w:tcPr>
            <w:tcW w:w="950" w:type="dxa"/>
            <w:tcMar>
              <w:top w:w="60" w:type="dxa"/>
              <w:start w:w="85" w:type="dxa"/>
              <w:bottom w:w="60" w:type="dxa"/>
              <w:end w:w="85" w:type="dxa"/>
            </w:tcMar>
          </w:tcPr>
          <w:p>
            <w:pPr>
              <w:pStyle w:val="BodyText"/>
              <w:spacing w:before="0" w:after="0" w:line="220" w:lineRule="auto"/>
              <w:jc w:val="right"/>
            </w:pPr>
            <w:r>
              <w:t>6,000</w:t>
            </w:r>
          </w:p>
        </w:tc>
        <w:tc>
          <w:tcPr>
            <w:tcW w:w="950" w:type="dxa"/>
            <w:tcMar>
              <w:top w:w="60" w:type="dxa"/>
              <w:start w:w="85" w:type="dxa"/>
              <w:bottom w:w="60" w:type="dxa"/>
              <w:end w:w="85" w:type="dxa"/>
            </w:tcMar>
          </w:tcPr>
          <w:p>
            <w:pPr>
              <w:pStyle w:val="BodyText"/>
              <w:spacing w:before="0" w:after="0" w:line="220" w:lineRule="auto"/>
              <w:jc w:val="right"/>
            </w:pPr>
            <w:r>
              <w:t>6,000</w:t>
            </w:r>
          </w:p>
        </w:tc>
        <w:tc>
          <w:tcPr>
            <w:tcW w:w="950" w:type="dxa"/>
            <w:tcMar>
              <w:top w:w="60" w:type="dxa"/>
              <w:start w:w="85" w:type="dxa"/>
              <w:bottom w:w="60" w:type="dxa"/>
              <w:end w:w="85" w:type="dxa"/>
            </w:tcMar>
          </w:tcPr>
          <w:p>
            <w:pPr>
              <w:pStyle w:val="BodyText"/>
              <w:spacing w:before="0" w:after="0" w:line="220" w:lineRule="auto"/>
              <w:jc w:val="right"/>
            </w:pPr>
            <w:r>
              <w:t>8,000</w:t>
            </w:r>
          </w:p>
        </w:tc>
        <w:tc>
          <w:tcPr>
            <w:tcW w:w="1708" w:type="dxa"/>
            <w:tcMar>
              <w:top w:w="60" w:type="dxa"/>
              <w:start w:w="85" w:type="dxa"/>
              <w:bottom w:w="60" w:type="dxa"/>
              <w:end w:w="85" w:type="dxa"/>
            </w:tcMar>
          </w:tcPr>
          <w:p>
            <w:pPr>
              <w:pStyle w:val="BodyText"/>
              <w:spacing w:before="0" w:after="0" w:line="220" w:lineRule="auto"/>
            </w:pPr>
            <w:r>
              <w:t>元/月</w:t>
            </w:r>
          </w:p>
        </w:tc>
      </w:tr>
      <w:tr>
        <w:trPr>
          <w:cantSplit/>
        </w:trPr>
        <w:tc>
          <w:tcPr>
            <w:tcW w:w="4392" w:type="dxa"/>
            <w:tcMar>
              <w:top w:w="60" w:type="dxa"/>
              <w:start w:w="85" w:type="dxa"/>
              <w:bottom w:w="60" w:type="dxa"/>
              <w:end w:w="85" w:type="dxa"/>
            </w:tcMar>
          </w:tcPr>
          <w:p>
            <w:pPr>
              <w:pStyle w:val="BodyText"/>
              <w:spacing w:before="0" w:after="0" w:line="220" w:lineRule="auto"/>
            </w:pPr>
            <w:r>
              <w:t>A14 每月固定运营费</w:t>
              <w:br/>
              <w:t>依据：研发模型、网络云服务、行政等预留；不含合同模型额度</w:t>
            </w:r>
          </w:p>
        </w:tc>
        <w:tc>
          <w:tcPr>
            <w:tcW w:w="950" w:type="dxa"/>
            <w:tcMar>
              <w:top w:w="60" w:type="dxa"/>
              <w:start w:w="85" w:type="dxa"/>
              <w:bottom w:w="60" w:type="dxa"/>
              <w:end w:w="85" w:type="dxa"/>
            </w:tcMar>
          </w:tcPr>
          <w:p>
            <w:pPr>
              <w:pStyle w:val="BodyText"/>
              <w:spacing w:before="0" w:after="0" w:line="220" w:lineRule="auto"/>
              <w:jc w:val="right"/>
            </w:pPr>
            <w:r>
              <w:t>1,800</w:t>
            </w:r>
          </w:p>
        </w:tc>
        <w:tc>
          <w:tcPr>
            <w:tcW w:w="950" w:type="dxa"/>
            <w:tcMar>
              <w:top w:w="60" w:type="dxa"/>
              <w:start w:w="85" w:type="dxa"/>
              <w:bottom w:w="60" w:type="dxa"/>
              <w:end w:w="85" w:type="dxa"/>
            </w:tcMar>
          </w:tcPr>
          <w:p>
            <w:pPr>
              <w:pStyle w:val="BodyText"/>
              <w:spacing w:before="0" w:after="0" w:line="220" w:lineRule="auto"/>
              <w:jc w:val="right"/>
            </w:pPr>
            <w:r>
              <w:t>1,800</w:t>
            </w:r>
          </w:p>
        </w:tc>
        <w:tc>
          <w:tcPr>
            <w:tcW w:w="950" w:type="dxa"/>
            <w:tcMar>
              <w:top w:w="60" w:type="dxa"/>
              <w:start w:w="85" w:type="dxa"/>
              <w:bottom w:w="60" w:type="dxa"/>
              <w:end w:w="85" w:type="dxa"/>
            </w:tcMar>
          </w:tcPr>
          <w:p>
            <w:pPr>
              <w:pStyle w:val="BodyText"/>
              <w:spacing w:before="0" w:after="0" w:line="220" w:lineRule="auto"/>
              <w:jc w:val="right"/>
            </w:pPr>
            <w:r>
              <w:t>2,500</w:t>
            </w:r>
          </w:p>
        </w:tc>
        <w:tc>
          <w:tcPr>
            <w:tcW w:w="1708" w:type="dxa"/>
            <w:tcMar>
              <w:top w:w="60" w:type="dxa"/>
              <w:start w:w="85" w:type="dxa"/>
              <w:bottom w:w="60" w:type="dxa"/>
              <w:end w:w="85" w:type="dxa"/>
            </w:tcMar>
          </w:tcPr>
          <w:p>
            <w:pPr>
              <w:pStyle w:val="BodyText"/>
              <w:spacing w:before="0" w:after="0" w:line="220" w:lineRule="auto"/>
            </w:pPr>
            <w:r>
              <w:t>元/月</w:t>
            </w:r>
          </w:p>
        </w:tc>
      </w:tr>
      <w:tr>
        <w:trPr>
          <w:cantSplit/>
        </w:trPr>
        <w:tc>
          <w:tcPr>
            <w:tcW w:w="4392" w:type="dxa"/>
            <w:tcMar>
              <w:top w:w="60" w:type="dxa"/>
              <w:start w:w="85" w:type="dxa"/>
              <w:bottom w:w="60" w:type="dxa"/>
              <w:end w:w="85" w:type="dxa"/>
            </w:tcMar>
          </w:tcPr>
          <w:p>
            <w:pPr>
              <w:pStyle w:val="BodyText"/>
              <w:spacing w:before="0" w:after="0" w:line="220" w:lineRule="auto"/>
            </w:pPr>
            <w:r>
              <w:t>A15 初期设备投入</w:t>
              <w:br/>
              <w:t>依据：2027年1月；未发生，非历史投入</w:t>
            </w:r>
          </w:p>
        </w:tc>
        <w:tc>
          <w:tcPr>
            <w:tcW w:w="950" w:type="dxa"/>
            <w:tcMar>
              <w:top w:w="60" w:type="dxa"/>
              <w:start w:w="85" w:type="dxa"/>
              <w:bottom w:w="60" w:type="dxa"/>
              <w:end w:w="85" w:type="dxa"/>
            </w:tcMar>
          </w:tcPr>
          <w:p>
            <w:pPr>
              <w:pStyle w:val="BodyText"/>
              <w:spacing w:before="0" w:after="0" w:line="220" w:lineRule="auto"/>
              <w:jc w:val="right"/>
            </w:pPr>
            <w:r>
              <w:t>12,000</w:t>
            </w:r>
          </w:p>
        </w:tc>
        <w:tc>
          <w:tcPr>
            <w:tcW w:w="950" w:type="dxa"/>
            <w:tcMar>
              <w:top w:w="60" w:type="dxa"/>
              <w:start w:w="85" w:type="dxa"/>
              <w:bottom w:w="60" w:type="dxa"/>
              <w:end w:w="85" w:type="dxa"/>
            </w:tcMar>
          </w:tcPr>
          <w:p>
            <w:pPr>
              <w:pStyle w:val="BodyText"/>
              <w:spacing w:before="0" w:after="0" w:line="220" w:lineRule="auto"/>
              <w:jc w:val="right"/>
            </w:pPr>
            <w:r>
              <w:t>12,000</w:t>
            </w:r>
          </w:p>
        </w:tc>
        <w:tc>
          <w:tcPr>
            <w:tcW w:w="950" w:type="dxa"/>
            <w:tcMar>
              <w:top w:w="60" w:type="dxa"/>
              <w:start w:w="85" w:type="dxa"/>
              <w:bottom w:w="60" w:type="dxa"/>
              <w:end w:w="85" w:type="dxa"/>
            </w:tcMar>
          </w:tcPr>
          <w:p>
            <w:pPr>
              <w:pStyle w:val="BodyText"/>
              <w:spacing w:before="0" w:after="0" w:line="220" w:lineRule="auto"/>
              <w:jc w:val="right"/>
            </w:pPr>
            <w:r>
              <w:t>12,000</w:t>
            </w:r>
          </w:p>
        </w:tc>
        <w:tc>
          <w:tcPr>
            <w:tcW w:w="1708" w:type="dxa"/>
            <w:tcMar>
              <w:top w:w="60" w:type="dxa"/>
              <w:start w:w="85" w:type="dxa"/>
              <w:bottom w:w="60" w:type="dxa"/>
              <w:end w:w="85" w:type="dxa"/>
            </w:tcMar>
          </w:tcPr>
          <w:p>
            <w:pPr>
              <w:pStyle w:val="BodyText"/>
              <w:spacing w:before="0" w:after="0" w:line="220" w:lineRule="auto"/>
            </w:pPr>
            <w:r>
              <w:t>元</w:t>
            </w:r>
          </w:p>
        </w:tc>
      </w:tr>
      <w:tr>
        <w:trPr>
          <w:cantSplit/>
        </w:trPr>
        <w:tc>
          <w:tcPr>
            <w:tcW w:w="4392" w:type="dxa"/>
            <w:tcMar>
              <w:top w:w="60" w:type="dxa"/>
              <w:start w:w="85" w:type="dxa"/>
              <w:bottom w:w="60" w:type="dxa"/>
              <w:end w:w="85" w:type="dxa"/>
            </w:tcMar>
          </w:tcPr>
          <w:p>
            <w:pPr>
              <w:pStyle w:val="BodyText"/>
              <w:spacing w:before="0" w:after="0" w:line="220" w:lineRule="auto"/>
            </w:pPr>
            <w:r>
              <w:t>A16 设备折旧期</w:t>
              <w:br/>
              <w:t>依据：零残值，直线法示例政策，非会计师确认</w:t>
            </w:r>
          </w:p>
        </w:tc>
        <w:tc>
          <w:tcPr>
            <w:tcW w:w="950" w:type="dxa"/>
            <w:tcMar>
              <w:top w:w="60" w:type="dxa"/>
              <w:start w:w="85" w:type="dxa"/>
              <w:bottom w:w="60" w:type="dxa"/>
              <w:end w:w="85" w:type="dxa"/>
            </w:tcMar>
          </w:tcPr>
          <w:p>
            <w:pPr>
              <w:pStyle w:val="BodyText"/>
              <w:spacing w:before="0" w:after="0" w:line="220" w:lineRule="auto"/>
              <w:jc w:val="right"/>
            </w:pPr>
            <w:r>
              <w:t>36</w:t>
            </w:r>
          </w:p>
        </w:tc>
        <w:tc>
          <w:tcPr>
            <w:tcW w:w="950" w:type="dxa"/>
            <w:tcMar>
              <w:top w:w="60" w:type="dxa"/>
              <w:start w:w="85" w:type="dxa"/>
              <w:bottom w:w="60" w:type="dxa"/>
              <w:end w:w="85" w:type="dxa"/>
            </w:tcMar>
          </w:tcPr>
          <w:p>
            <w:pPr>
              <w:pStyle w:val="BodyText"/>
              <w:spacing w:before="0" w:after="0" w:line="220" w:lineRule="auto"/>
              <w:jc w:val="right"/>
            </w:pPr>
            <w:r>
              <w:t>36</w:t>
            </w:r>
          </w:p>
        </w:tc>
        <w:tc>
          <w:tcPr>
            <w:tcW w:w="950" w:type="dxa"/>
            <w:tcMar>
              <w:top w:w="60" w:type="dxa"/>
              <w:start w:w="85" w:type="dxa"/>
              <w:bottom w:w="60" w:type="dxa"/>
              <w:end w:w="85" w:type="dxa"/>
            </w:tcMar>
          </w:tcPr>
          <w:p>
            <w:pPr>
              <w:pStyle w:val="BodyText"/>
              <w:spacing w:before="0" w:after="0" w:line="220" w:lineRule="auto"/>
              <w:jc w:val="right"/>
            </w:pPr>
            <w:r>
              <w:t>36</w:t>
            </w:r>
          </w:p>
        </w:tc>
        <w:tc>
          <w:tcPr>
            <w:tcW w:w="1708" w:type="dxa"/>
            <w:tcMar>
              <w:top w:w="60" w:type="dxa"/>
              <w:start w:w="85" w:type="dxa"/>
              <w:bottom w:w="60" w:type="dxa"/>
              <w:end w:w="85" w:type="dxa"/>
            </w:tcMar>
          </w:tcPr>
          <w:p>
            <w:pPr>
              <w:pStyle w:val="BodyText"/>
              <w:spacing w:before="0" w:after="0" w:line="220" w:lineRule="auto"/>
            </w:pPr>
            <w:r>
              <w:t>月</w:t>
            </w:r>
          </w:p>
        </w:tc>
      </w:tr>
      <w:tr>
        <w:trPr>
          <w:cantSplit/>
        </w:trPr>
        <w:tc>
          <w:tcPr>
            <w:tcW w:w="4392" w:type="dxa"/>
            <w:tcMar>
              <w:top w:w="60" w:type="dxa"/>
              <w:start w:w="85" w:type="dxa"/>
              <w:bottom w:w="60" w:type="dxa"/>
              <w:end w:w="85" w:type="dxa"/>
            </w:tcMar>
          </w:tcPr>
          <w:p>
            <w:pPr>
              <w:pStyle w:val="BodyText"/>
              <w:spacing w:before="0" w:after="0" w:line="220" w:lineRule="auto"/>
            </w:pPr>
            <w:r>
              <w:t>A17 期初自有资金</w:t>
              <w:br/>
              <w:t>依据：规划假设；未有真实承诺或到账</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1708" w:type="dxa"/>
            <w:tcMar>
              <w:top w:w="60" w:type="dxa"/>
              <w:start w:w="85" w:type="dxa"/>
              <w:bottom w:w="60" w:type="dxa"/>
              <w:end w:w="85" w:type="dxa"/>
            </w:tcMar>
          </w:tcPr>
          <w:p>
            <w:pPr>
              <w:pStyle w:val="BodyText"/>
              <w:spacing w:before="0" w:after="0" w:line="220" w:lineRule="auto"/>
            </w:pPr>
            <w:r>
              <w:t>元</w:t>
            </w:r>
          </w:p>
        </w:tc>
      </w:tr>
      <w:tr>
        <w:trPr>
          <w:cantSplit/>
        </w:trPr>
        <w:tc>
          <w:tcPr>
            <w:tcW w:w="4392" w:type="dxa"/>
            <w:tcMar>
              <w:top w:w="60" w:type="dxa"/>
              <w:start w:w="85" w:type="dxa"/>
              <w:bottom w:w="60" w:type="dxa"/>
              <w:end w:w="85" w:type="dxa"/>
            </w:tcMar>
          </w:tcPr>
          <w:p>
            <w:pPr>
              <w:pStyle w:val="BodyText"/>
              <w:spacing w:before="0" w:after="0" w:line="220" w:lineRule="auto"/>
            </w:pPr>
            <w:r>
              <w:t>A18 最低现金储备</w:t>
              <w:br/>
              <w:t>依据：示例流动性目标；不是融资承诺</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1708" w:type="dxa"/>
            <w:tcMar>
              <w:top w:w="60" w:type="dxa"/>
              <w:start w:w="85" w:type="dxa"/>
              <w:bottom w:w="60" w:type="dxa"/>
              <w:end w:w="85" w:type="dxa"/>
            </w:tcMar>
          </w:tcPr>
          <w:p>
            <w:pPr>
              <w:pStyle w:val="BodyText"/>
              <w:spacing w:before="0" w:after="0" w:line="220" w:lineRule="auto"/>
            </w:pPr>
            <w:r>
              <w:t>元</w:t>
            </w:r>
          </w:p>
        </w:tc>
      </w:tr>
      <w:tr>
        <w:trPr>
          <w:cantSplit/>
        </w:trPr>
        <w:tc>
          <w:tcPr>
            <w:tcW w:w="4392" w:type="dxa"/>
            <w:tcMar>
              <w:top w:w="60" w:type="dxa"/>
              <w:start w:w="85" w:type="dxa"/>
              <w:bottom w:w="60" w:type="dxa"/>
              <w:end w:w="85" w:type="dxa"/>
            </w:tcMar>
          </w:tcPr>
          <w:p>
            <w:pPr>
              <w:pStyle w:val="BodyText"/>
              <w:spacing w:before="0" w:after="0" w:line="220" w:lineRule="auto"/>
            </w:pPr>
            <w:r>
              <w:t>A19 当月收款比例</w:t>
              <w:br/>
              <w:t>依据：余款下一月收取；无坏账仅为简化；采购延期需另测</w:t>
            </w:r>
          </w:p>
        </w:tc>
        <w:tc>
          <w:tcPr>
            <w:tcW w:w="950" w:type="dxa"/>
            <w:tcMar>
              <w:top w:w="60" w:type="dxa"/>
              <w:start w:w="85" w:type="dxa"/>
              <w:bottom w:w="60" w:type="dxa"/>
              <w:end w:w="85" w:type="dxa"/>
            </w:tcMar>
          </w:tcPr>
          <w:p>
            <w:pPr>
              <w:pStyle w:val="BodyText"/>
              <w:spacing w:before="0" w:after="0" w:line="220" w:lineRule="auto"/>
              <w:jc w:val="right"/>
            </w:pPr>
            <w:r>
              <w:t>0.5</w:t>
            </w:r>
          </w:p>
        </w:tc>
        <w:tc>
          <w:tcPr>
            <w:tcW w:w="950" w:type="dxa"/>
            <w:tcMar>
              <w:top w:w="60" w:type="dxa"/>
              <w:start w:w="85" w:type="dxa"/>
              <w:bottom w:w="60" w:type="dxa"/>
              <w:end w:w="85" w:type="dxa"/>
            </w:tcMar>
          </w:tcPr>
          <w:p>
            <w:pPr>
              <w:pStyle w:val="BodyText"/>
              <w:spacing w:before="0" w:after="0" w:line="220" w:lineRule="auto"/>
              <w:jc w:val="right"/>
            </w:pPr>
            <w:r>
              <w:t>0.3</w:t>
            </w:r>
          </w:p>
        </w:tc>
        <w:tc>
          <w:tcPr>
            <w:tcW w:w="950" w:type="dxa"/>
            <w:tcMar>
              <w:top w:w="60" w:type="dxa"/>
              <w:start w:w="85" w:type="dxa"/>
              <w:bottom w:w="60" w:type="dxa"/>
              <w:end w:w="85" w:type="dxa"/>
            </w:tcMar>
          </w:tcPr>
          <w:p>
            <w:pPr>
              <w:pStyle w:val="BodyText"/>
              <w:spacing w:before="0" w:after="0" w:line="220" w:lineRule="auto"/>
              <w:jc w:val="right"/>
            </w:pPr>
            <w:r>
              <w:t>0.5</w:t>
            </w:r>
          </w:p>
        </w:tc>
        <w:tc>
          <w:tcPr>
            <w:tcW w:w="1708" w:type="dxa"/>
            <w:tcMar>
              <w:top w:w="60" w:type="dxa"/>
              <w:start w:w="85" w:type="dxa"/>
              <w:bottom w:w="60" w:type="dxa"/>
              <w:end w:w="85" w:type="dxa"/>
            </w:tcMar>
          </w:tcPr>
          <w:p>
            <w:pPr>
              <w:pStyle w:val="BodyText"/>
              <w:spacing w:before="0" w:after="0" w:line="220" w:lineRule="auto"/>
            </w:pPr>
            <w:r>
              <w:t>比例</w:t>
            </w:r>
          </w:p>
        </w:tc>
      </w:tr>
      <w:tr>
        <w:trPr>
          <w:cantSplit/>
        </w:trPr>
        <w:tc>
          <w:tcPr>
            <w:tcW w:w="4392" w:type="dxa"/>
            <w:tcMar>
              <w:top w:w="60" w:type="dxa"/>
              <w:start w:w="85" w:type="dxa"/>
              <w:bottom w:w="60" w:type="dxa"/>
              <w:end w:w="85" w:type="dxa"/>
            </w:tcMar>
          </w:tcPr>
          <w:p>
            <w:pPr>
              <w:pStyle w:val="BodyText"/>
              <w:spacing w:before="0" w:after="0" w:line="220" w:lineRule="auto"/>
            </w:pPr>
            <w:r>
              <w:t>A20 税费现金预算预留</w:t>
              <w:br/>
              <w:t>依据：管理预算，计费用及当月现金流；不是法定税率，不构成税务结论</w:t>
            </w:r>
          </w:p>
        </w:tc>
        <w:tc>
          <w:tcPr>
            <w:tcW w:w="950" w:type="dxa"/>
            <w:tcMar>
              <w:top w:w="60" w:type="dxa"/>
              <w:start w:w="85" w:type="dxa"/>
              <w:bottom w:w="60" w:type="dxa"/>
              <w:end w:w="85" w:type="dxa"/>
            </w:tcMar>
          </w:tcPr>
          <w:p>
            <w:pPr>
              <w:pStyle w:val="BodyText"/>
              <w:spacing w:before="0" w:after="0" w:line="220" w:lineRule="auto"/>
              <w:jc w:val="right"/>
            </w:pPr>
            <w:r>
              <w:t>0.02</w:t>
            </w:r>
          </w:p>
        </w:tc>
        <w:tc>
          <w:tcPr>
            <w:tcW w:w="950" w:type="dxa"/>
            <w:tcMar>
              <w:top w:w="60" w:type="dxa"/>
              <w:start w:w="85" w:type="dxa"/>
              <w:bottom w:w="60" w:type="dxa"/>
              <w:end w:w="85" w:type="dxa"/>
            </w:tcMar>
          </w:tcPr>
          <w:p>
            <w:pPr>
              <w:pStyle w:val="BodyText"/>
              <w:spacing w:before="0" w:after="0" w:line="220" w:lineRule="auto"/>
              <w:jc w:val="right"/>
            </w:pPr>
            <w:r>
              <w:t>0.03</w:t>
            </w:r>
          </w:p>
        </w:tc>
        <w:tc>
          <w:tcPr>
            <w:tcW w:w="950" w:type="dxa"/>
            <w:tcMar>
              <w:top w:w="60" w:type="dxa"/>
              <w:start w:w="85" w:type="dxa"/>
              <w:bottom w:w="60" w:type="dxa"/>
              <w:end w:w="85" w:type="dxa"/>
            </w:tcMar>
          </w:tcPr>
          <w:p>
            <w:pPr>
              <w:pStyle w:val="BodyText"/>
              <w:spacing w:before="0" w:after="0" w:line="220" w:lineRule="auto"/>
              <w:jc w:val="right"/>
            </w:pPr>
            <w:r>
              <w:t>0.02</w:t>
            </w:r>
          </w:p>
        </w:tc>
        <w:tc>
          <w:tcPr>
            <w:tcW w:w="1708" w:type="dxa"/>
            <w:tcMar>
              <w:top w:w="60" w:type="dxa"/>
              <w:start w:w="85" w:type="dxa"/>
              <w:bottom w:w="60" w:type="dxa"/>
              <w:end w:w="85" w:type="dxa"/>
            </w:tcMar>
          </w:tcPr>
          <w:p>
            <w:pPr>
              <w:pStyle w:val="BodyText"/>
              <w:spacing w:before="0" w:after="0" w:line="220" w:lineRule="auto"/>
            </w:pPr>
            <w:r>
              <w:t>收入比例</w:t>
            </w:r>
          </w:p>
        </w:tc>
      </w:tr>
      <w:tr>
        <w:trPr>
          <w:cantSplit/>
        </w:trPr>
        <w:tc>
          <w:tcPr>
            <w:tcW w:w="4392" w:type="dxa"/>
            <w:tcMar>
              <w:top w:w="60" w:type="dxa"/>
              <w:start w:w="85" w:type="dxa"/>
              <w:bottom w:w="60" w:type="dxa"/>
              <w:end w:w="85" w:type="dxa"/>
            </w:tcMar>
          </w:tcPr>
          <w:p>
            <w:pPr>
              <w:pStyle w:val="BodyText"/>
              <w:spacing w:before="0" w:after="0" w:line="220" w:lineRule="auto"/>
            </w:pPr>
            <w:r>
              <w:t>A21 两人每月可用工时合计</w:t>
              <w:br/>
              <w:t>依据：两名学生各120小时；须课程安排验证</w:t>
            </w:r>
          </w:p>
        </w:tc>
        <w:tc>
          <w:tcPr>
            <w:tcW w:w="950" w:type="dxa"/>
            <w:tcMar>
              <w:top w:w="60" w:type="dxa"/>
              <w:start w:w="85" w:type="dxa"/>
              <w:bottom w:w="60" w:type="dxa"/>
              <w:end w:w="85" w:type="dxa"/>
            </w:tcMar>
          </w:tcPr>
          <w:p>
            <w:pPr>
              <w:pStyle w:val="BodyText"/>
              <w:spacing w:before="0" w:after="0" w:line="220" w:lineRule="auto"/>
              <w:jc w:val="right"/>
            </w:pPr>
            <w:r>
              <w:t>240</w:t>
            </w:r>
          </w:p>
        </w:tc>
        <w:tc>
          <w:tcPr>
            <w:tcW w:w="950" w:type="dxa"/>
            <w:tcMar>
              <w:top w:w="60" w:type="dxa"/>
              <w:start w:w="85" w:type="dxa"/>
              <w:bottom w:w="60" w:type="dxa"/>
              <w:end w:w="85" w:type="dxa"/>
            </w:tcMar>
          </w:tcPr>
          <w:p>
            <w:pPr>
              <w:pStyle w:val="BodyText"/>
              <w:spacing w:before="0" w:after="0" w:line="220" w:lineRule="auto"/>
              <w:jc w:val="right"/>
            </w:pPr>
            <w:r>
              <w:t>240</w:t>
            </w:r>
          </w:p>
        </w:tc>
        <w:tc>
          <w:tcPr>
            <w:tcW w:w="950" w:type="dxa"/>
            <w:tcMar>
              <w:top w:w="60" w:type="dxa"/>
              <w:start w:w="85" w:type="dxa"/>
              <w:bottom w:w="60" w:type="dxa"/>
              <w:end w:w="85" w:type="dxa"/>
            </w:tcMar>
          </w:tcPr>
          <w:p>
            <w:pPr>
              <w:pStyle w:val="BodyText"/>
              <w:spacing w:before="0" w:after="0" w:line="220" w:lineRule="auto"/>
              <w:jc w:val="right"/>
            </w:pPr>
            <w:r>
              <w:t>240</w:t>
            </w:r>
          </w:p>
        </w:tc>
        <w:tc>
          <w:tcPr>
            <w:tcW w:w="1708" w:type="dxa"/>
            <w:tcMar>
              <w:top w:w="60" w:type="dxa"/>
              <w:start w:w="85" w:type="dxa"/>
              <w:bottom w:w="60" w:type="dxa"/>
              <w:end w:w="85" w:type="dxa"/>
            </w:tcMar>
          </w:tcPr>
          <w:p>
            <w:pPr>
              <w:pStyle w:val="BodyText"/>
              <w:spacing w:before="0" w:after="0" w:line="220" w:lineRule="auto"/>
            </w:pPr>
            <w:r>
              <w:t>小时/月</w:t>
            </w:r>
          </w:p>
        </w:tc>
      </w:tr>
      <w:tr>
        <w:trPr>
          <w:cantSplit/>
        </w:trPr>
        <w:tc>
          <w:tcPr>
            <w:tcW w:w="4392" w:type="dxa"/>
            <w:tcMar>
              <w:top w:w="60" w:type="dxa"/>
              <w:start w:w="85" w:type="dxa"/>
              <w:bottom w:w="60" w:type="dxa"/>
              <w:end w:w="85" w:type="dxa"/>
            </w:tcMar>
          </w:tcPr>
          <w:p>
            <w:pPr>
              <w:pStyle w:val="BodyText"/>
              <w:spacing w:before="0" w:after="0" w:line="220" w:lineRule="auto"/>
            </w:pPr>
            <w:r>
              <w:t>A22 固定核心工作工时合计</w:t>
              <w:br/>
              <w:t>依据：两人各80小时；对应固定核心报酬，独立于合同交付</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1708" w:type="dxa"/>
            <w:tcMar>
              <w:top w:w="60" w:type="dxa"/>
              <w:start w:w="85" w:type="dxa"/>
              <w:bottom w:w="60" w:type="dxa"/>
              <w:end w:w="85" w:type="dxa"/>
            </w:tcMar>
          </w:tcPr>
          <w:p>
            <w:pPr>
              <w:pStyle w:val="BodyText"/>
              <w:spacing w:before="0" w:after="0" w:line="220" w:lineRule="auto"/>
            </w:pPr>
            <w:r>
              <w:t>小时/月</w:t>
            </w:r>
          </w:p>
        </w:tc>
      </w:tr>
      <w:tr>
        <w:trPr>
          <w:cantSplit/>
        </w:trPr>
        <w:tc>
          <w:tcPr>
            <w:tcW w:w="4392" w:type="dxa"/>
            <w:tcMar>
              <w:top w:w="60" w:type="dxa"/>
              <w:start w:w="85" w:type="dxa"/>
              <w:bottom w:w="60" w:type="dxa"/>
              <w:end w:w="85" w:type="dxa"/>
            </w:tcMar>
          </w:tcPr>
          <w:p>
            <w:pPr>
              <w:pStyle w:val="BodyText"/>
              <w:spacing w:before="0" w:after="0" w:line="220" w:lineRule="auto"/>
            </w:pPr>
            <w:r>
              <w:t>A23 每月外部增援上限</w:t>
              <w:br/>
              <w:t>依据：按项目招募预算，未聘用；超出则拒绝接单/改期</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1708" w:type="dxa"/>
            <w:tcMar>
              <w:top w:w="60" w:type="dxa"/>
              <w:start w:w="85" w:type="dxa"/>
              <w:bottom w:w="60" w:type="dxa"/>
              <w:end w:w="85" w:type="dxa"/>
            </w:tcMar>
          </w:tcPr>
          <w:p>
            <w:pPr>
              <w:pStyle w:val="BodyText"/>
              <w:spacing w:before="0" w:after="0" w:line="220" w:lineRule="auto"/>
            </w:pPr>
            <w:r>
              <w:t>小时/月</w:t>
            </w:r>
          </w:p>
        </w:tc>
      </w:tr>
    </w:tbl>
    <w:p>
      <w:pPr>
        <w:pStyle w:val="BodyText"/>
      </w:pPr>
      <w:r>
        <w:t>优先采证教师独立复用、实际服务工时和模型用量，再用采购条件、报价反馈与回款替换合同量、均价和收款假设。A01至A23是经营规划参数，自有资金、外援和追加资金未承诺；工作簿未计入新组织后台和独立算力业务，实际税务按合同核对。</w:t>
      </w:r>
    </w:p>
    <w:p>
      <w:pPr>
        <w:pStyle w:val="BodyText"/>
      </w:pPr>
      <w:r>
        <w:t>A24服务规模设计解释原试点交付，不改A01至A23和工作簿。新增组织后台及算力订阅的价格、付费单位、建设成本和运营成本须另建测算，避免将现有10.30万元现金需求解释为全部新业务资金需求。</w:t>
      </w:r>
    </w:p>
    <w:p>
      <w:pPr>
        <w:pStyle w:val="Heading1"/>
        <w:pageBreakBefore/>
      </w:pPr>
      <w:bookmarkStart w:id="1022" w:name="_TocBlocky22"/>
      <w:r>
        <w:t>Appendix B. 资料来源</w:t>
      </w:r>
      <w:bookmarkEnd w:id="1022"/>
    </w:p>
    <w:p>
      <w:pPr>
        <w:pStyle w:val="BodyText"/>
      </w:pPr>
      <w:r>
        <w:t>官方来源统一访问于2026-10-03，未标日期者为无日期网页；公开描述不等同教育效果。P1至P3为产品证据，财务见配套情景工作簿。</w:t>
      </w:r>
    </w:p>
    <w:p>
      <w:pPr>
        <w:pStyle w:val="BodyText"/>
      </w:pPr>
      <w:r>
        <w:t>[P3] 已有作品、模型与受控工具、构建助手和运行轨迹详见1.1；小学教学与机构后台为设计和建设规划。</w:t>
      </w:r>
    </w:p>
    <w:p>
      <w:pPr>
        <w:pStyle w:val="BodyText"/>
      </w:pPr>
      <w:r>
        <w:t>[P1] Blocky Studio 0.8.0-chat Windows合成资料演示：历史息壤deepseek-v4-pro三次响应共7717Token。[P2] 同源故事规则两次对照，无生成模型或学生参与。材料制作未新增模型请求。</w:t>
      </w:r>
    </w:p>
    <w:p>
      <w:pPr>
        <w:pStyle w:val="BodyText"/>
      </w:pPr>
      <w:r>
        <w:t>[S2] Scratch Foundation：《Starter Projects》。https://scratchfoundation.org/learn/learning-library/starter-projects</w:t>
      </w:r>
    </w:p>
    <w:p>
      <w:pPr>
        <w:pStyle w:val="BodyText"/>
      </w:pPr>
      <w:r>
        <w:t>[S3] Blocks Builder AI：《Features》。https://blocksbuilder.ai/features</w:t>
      </w:r>
    </w:p>
    <w:p>
      <w:pPr>
        <w:pStyle w:val="BodyText"/>
      </w:pPr>
      <w:r>
        <w:t>[S4] Blocks Builder AI：《Pricing》。https://blocksbuilder.ai/pricing</w:t>
      </w:r>
    </w:p>
    <w:p>
      <w:pPr>
        <w:pStyle w:val="BodyText"/>
      </w:pPr>
      <w:r>
        <w:t>[S5] Dify：《Dify for Education》。https://dify.ai/education</w:t>
      </w:r>
    </w:p>
    <w:p>
      <w:pPr>
        <w:pStyle w:val="BodyText"/>
      </w:pPr>
      <w:r>
        <w:t>[S6] 教育部：《教育部部署加强中小学人工智能教育》。发布2024-12-02，https://www.moe.gov.cn/jyb_xwfb/gzdt_gzdt/s5987/202412/t20241202_1165500.html</w:t>
      </w:r>
    </w:p>
    <w:p>
      <w:pPr>
        <w:pStyle w:val="BodyText"/>
      </w:pPr>
      <w:r>
        <w:t>[S7] 教育部等五部门：《关于印发“人工智能+教育”行动计划的通知》。文件日期2026-04-02，https://www.moe.gov.cn/srcsite/A16/s3342/202604/t20260410_1433240.html</w:t>
      </w:r>
    </w:p>
    <w:p>
      <w:pPr>
        <w:pStyle w:val="BodyText"/>
      </w:pPr>
      <w:r>
        <w:t>[S8] Tynker，《Coding for School》。https://www.tynker.com/school/</w:t>
      </w:r>
    </w:p>
    <w:p>
      <w:pPr>
        <w:pStyle w:val="BodyText"/>
      </w:pPr>
      <w:r>
        <w:t>[S9] Tynker，《Request a Quote》。https://www.tynker.com/school/coding-curriculum/request</w:t>
      </w:r>
    </w:p>
    <w:p>
      <w:pPr>
        <w:pStyle w:val="BodyText"/>
      </w:pPr>
      <w:r>
        <w:t>[S10] Tynker，《Coding and STEAM Curriculum》。https://www.tynker.com/classroom-school/coding-curriculum/</w:t>
      </w:r>
    </w:p>
    <w:p>
      <w:pPr>
        <w:pStyle w:val="BodyText"/>
      </w:pPr>
      <w:r>
        <w:t>[S11] WorkBuddy：《定价详情》。https://www.workbuddy.cn/docs/workbuddy/Pricing</w:t>
      </w:r>
    </w:p>
    <w:p>
      <w:pPr>
        <w:pStyle w:val="BodyText"/>
      </w:pPr>
      <w:r>
        <w:t>[S12] Cursor：《Pricing and plans》。https://prod.cursor.com/help/account-and-billing/pricing</w:t>
      </w:r>
    </w:p>
    <w:p>
      <w:pPr>
        <w:pStyle w:val="BodyText"/>
      </w:pPr>
      <w:r>
        <w:t>[S13] TRAE：《Pricing》。https://www.trae.ai/pricing</w:t>
      </w:r>
    </w:p>
    <w:p>
      <w:pPr>
        <w:pStyle w:val="BodyText"/>
      </w:pPr>
      <w:r>
        <w:t>[S14] OpenCode：《Zen》。https://opencode.ai/docs/zen/</w:t>
      </w:r>
    </w:p>
    <w:p>
      <w:pPr>
        <w:pStyle w:val="BodyText"/>
      </w:pPr>
      <w:r>
        <w:t>[S15] Pake，《Pake》。https://github.com/tw93/Pake</w:t>
      </w:r>
    </w:p>
    <w:p>
      <w:pPr>
        <w:pStyle w:val="BodyText"/>
      </w:pPr>
      <w:r>
        <w:t>[S16] Tauri，《Getting Started》《Distribute》。https://v2.tauri.app/start/ ；https://v2.tauri.app/distribute/</w:t>
      </w:r>
    </w:p>
    <w:p>
      <w:pPr>
        <w:pStyle w:val="Heading1"/>
        <w:pageBreakBefore/>
      </w:pPr>
      <w:bookmarkStart w:id="1023" w:name="_TocBlocky23"/>
      <w:r>
        <w:t>Appendix C. 情景分析</w:t>
      </w:r>
      <w:bookmarkEnd w:id="1023"/>
    </w:p>
    <w:p>
      <w:pPr>
        <w:pStyle w:val="BodyText"/>
      </w:pPr>
      <w:r>
        <w:t>三种情景同时改变合同量、服务均价、交付工时、模型额度及预算单价，并调整固定费用和回款比例。悲观情景表示更少合同、更低价格、更重支持和更高模型支出；积极情景表示成交与复用改善，但增加核心投入和高峰增援。Table 19（表19）的金额直接提取配套工作簿计算结果，单位为万元。</w:t>
      </w:r>
    </w:p>
    <w:p>
      <w:pPr>
        <w:pStyle w:val="Tabletitle"/>
        <w:keepNext/>
      </w:pPr>
      <w:r>
        <w:t>Table 19. 三年情景测算</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181"/>
        <w:gridCol w:w="907"/>
        <w:gridCol w:w="1296"/>
        <w:gridCol w:w="1296"/>
        <w:gridCol w:w="1296"/>
        <w:gridCol w:w="2974"/>
      </w:tblGrid>
      <w:tr>
        <w:trPr>
          <w:cantSplit/>
          <w:tblHeader w:val="true"/>
        </w:trPr>
        <w:tc>
          <w:tcPr>
            <w:tcW w:w="1181" w:type="dxa"/>
            <w:tcMar>
              <w:top w:w="60" w:type="dxa"/>
              <w:start w:w="85" w:type="dxa"/>
              <w:bottom w:w="60" w:type="dxa"/>
              <w:end w:w="85" w:type="dxa"/>
            </w:tcMar>
          </w:tcPr>
          <w:p>
            <w:pPr>
              <w:pStyle w:val="BodyText"/>
              <w:spacing w:before="0" w:after="0" w:line="220" w:lineRule="auto"/>
            </w:pPr>
            <w:r>
              <w:t>情景</w:t>
            </w:r>
          </w:p>
        </w:tc>
        <w:tc>
          <w:tcPr>
            <w:tcW w:w="907" w:type="dxa"/>
            <w:tcMar>
              <w:top w:w="60" w:type="dxa"/>
              <w:start w:w="85" w:type="dxa"/>
              <w:bottom w:w="60" w:type="dxa"/>
              <w:end w:w="85" w:type="dxa"/>
            </w:tcMar>
          </w:tcPr>
          <w:p>
            <w:pPr>
              <w:pStyle w:val="BodyText"/>
              <w:spacing w:before="0" w:after="0" w:line="220" w:lineRule="auto"/>
            </w:pPr>
            <w:r>
              <w:t>年份</w:t>
            </w:r>
          </w:p>
        </w:tc>
        <w:tc>
          <w:tcPr>
            <w:tcW w:w="1296" w:type="dxa"/>
            <w:tcMar>
              <w:top w:w="60" w:type="dxa"/>
              <w:start w:w="85" w:type="dxa"/>
              <w:bottom w:w="60" w:type="dxa"/>
              <w:end w:w="85" w:type="dxa"/>
            </w:tcMar>
          </w:tcPr>
          <w:p>
            <w:pPr>
              <w:pStyle w:val="BodyText"/>
              <w:spacing w:before="0" w:after="0" w:line="220" w:lineRule="auto"/>
            </w:pPr>
            <w:r>
              <w:t>收入</w:t>
            </w:r>
          </w:p>
        </w:tc>
        <w:tc>
          <w:tcPr>
            <w:tcW w:w="1296" w:type="dxa"/>
            <w:tcMar>
              <w:top w:w="60" w:type="dxa"/>
              <w:start w:w="85" w:type="dxa"/>
              <w:bottom w:w="60" w:type="dxa"/>
              <w:end w:w="85" w:type="dxa"/>
            </w:tcMar>
          </w:tcPr>
          <w:p>
            <w:pPr>
              <w:pStyle w:val="BodyText"/>
              <w:spacing w:before="0" w:after="0" w:line="220" w:lineRule="auto"/>
            </w:pPr>
            <w:r>
              <w:t>费用</w:t>
            </w:r>
          </w:p>
        </w:tc>
        <w:tc>
          <w:tcPr>
            <w:tcW w:w="1296" w:type="dxa"/>
            <w:tcMar>
              <w:top w:w="60" w:type="dxa"/>
              <w:start w:w="85" w:type="dxa"/>
              <w:bottom w:w="60" w:type="dxa"/>
              <w:end w:w="85" w:type="dxa"/>
            </w:tcMar>
          </w:tcPr>
          <w:p>
            <w:pPr>
              <w:pStyle w:val="BodyText"/>
              <w:spacing w:before="0" w:after="0" w:line="220" w:lineRule="auto"/>
            </w:pPr>
            <w:r>
              <w:t>损益</w:t>
            </w:r>
          </w:p>
        </w:tc>
        <w:tc>
          <w:tcPr>
            <w:tcW w:w="2974" w:type="dxa"/>
            <w:tcMar>
              <w:top w:w="60" w:type="dxa"/>
              <w:start w:w="85" w:type="dxa"/>
              <w:bottom w:w="60" w:type="dxa"/>
              <w:end w:w="85" w:type="dxa"/>
            </w:tcMar>
          </w:tcPr>
          <w:p>
            <w:pPr>
              <w:pStyle w:val="BodyText"/>
              <w:spacing w:before="0" w:after="0" w:line="220" w:lineRule="auto"/>
            </w:pPr>
            <w:r>
              <w:t>未追加资金期末现金</w:t>
            </w:r>
          </w:p>
        </w:tc>
      </w:tr>
      <w:tr>
        <w:trPr>
          <w:cantSplit/>
        </w:trPr>
        <w:tc>
          <w:tcPr>
            <w:tcW w:w="1181" w:type="dxa"/>
            <w:tcMar>
              <w:top w:w="60" w:type="dxa"/>
              <w:start w:w="85" w:type="dxa"/>
              <w:bottom w:w="60" w:type="dxa"/>
              <w:end w:w="85" w:type="dxa"/>
            </w:tcMar>
          </w:tcPr>
          <w:p>
            <w:pPr>
              <w:pStyle w:val="BodyText"/>
              <w:spacing w:before="0" w:after="0" w:line="220" w:lineRule="auto"/>
            </w:pPr>
            <w:r>
              <w:t>基准</w:t>
            </w:r>
          </w:p>
        </w:tc>
        <w:tc>
          <w:tcPr>
            <w:tcW w:w="907" w:type="dxa"/>
            <w:tcMar>
              <w:top w:w="60" w:type="dxa"/>
              <w:start w:w="85" w:type="dxa"/>
              <w:bottom w:w="60" w:type="dxa"/>
              <w:end w:w="85" w:type="dxa"/>
            </w:tcMar>
          </w:tcPr>
          <w:p>
            <w:pPr>
              <w:pStyle w:val="BodyText"/>
              <w:spacing w:before="0" w:after="0" w:line="220" w:lineRule="auto"/>
              <w:jc w:val="right"/>
            </w:pPr>
            <w:r>
              <w:t>2027</w:t>
            </w:r>
          </w:p>
        </w:tc>
        <w:tc>
          <w:tcPr>
            <w:tcW w:w="1296" w:type="dxa"/>
            <w:tcMar>
              <w:top w:w="60" w:type="dxa"/>
              <w:start w:w="85" w:type="dxa"/>
              <w:bottom w:w="60" w:type="dxa"/>
              <w:end w:w="85" w:type="dxa"/>
            </w:tcMar>
          </w:tcPr>
          <w:p>
            <w:pPr>
              <w:pStyle w:val="BodyText"/>
              <w:spacing w:before="0" w:after="0" w:line="220" w:lineRule="auto"/>
              <w:jc w:val="right"/>
            </w:pPr>
            <w:r>
              <w:t>7.200</w:t>
            </w:r>
          </w:p>
        </w:tc>
        <w:tc>
          <w:tcPr>
            <w:tcW w:w="1296" w:type="dxa"/>
            <w:tcMar>
              <w:top w:w="60" w:type="dxa"/>
              <w:start w:w="85" w:type="dxa"/>
              <w:bottom w:w="60" w:type="dxa"/>
              <w:end w:w="85" w:type="dxa"/>
            </w:tcMar>
          </w:tcPr>
          <w:p>
            <w:pPr>
              <w:pStyle w:val="BodyText"/>
              <w:spacing w:before="0" w:after="0" w:line="220" w:lineRule="auto"/>
              <w:jc w:val="right"/>
            </w:pPr>
            <w:r>
              <w:t>13.264</w:t>
            </w:r>
          </w:p>
        </w:tc>
        <w:tc>
          <w:tcPr>
            <w:tcW w:w="1296" w:type="dxa"/>
            <w:tcMar>
              <w:top w:w="60" w:type="dxa"/>
              <w:start w:w="85" w:type="dxa"/>
              <w:bottom w:w="60" w:type="dxa"/>
              <w:end w:w="85" w:type="dxa"/>
            </w:tcMar>
          </w:tcPr>
          <w:p>
            <w:pPr>
              <w:pStyle w:val="BodyText"/>
              <w:spacing w:before="0" w:after="0" w:line="220" w:lineRule="auto"/>
              <w:jc w:val="right"/>
            </w:pPr>
            <w:r>
              <w:t>−6.064</w:t>
            </w:r>
          </w:p>
        </w:tc>
        <w:tc>
          <w:tcPr>
            <w:tcW w:w="2974" w:type="dxa"/>
            <w:tcMar>
              <w:top w:w="60" w:type="dxa"/>
              <w:start w:w="85" w:type="dxa"/>
              <w:bottom w:w="60" w:type="dxa"/>
              <w:end w:w="85" w:type="dxa"/>
            </w:tcMar>
          </w:tcPr>
          <w:p>
            <w:pPr>
              <w:pStyle w:val="BodyText"/>
              <w:spacing w:before="0" w:after="0" w:line="220" w:lineRule="auto"/>
              <w:jc w:val="right"/>
            </w:pPr>
            <w:r>
              <w:t>−4.864</w:t>
            </w:r>
          </w:p>
        </w:tc>
      </w:tr>
      <w:tr>
        <w:trPr>
          <w:cantSplit/>
        </w:trPr>
        <w:tc>
          <w:tcPr>
            <w:tcW w:w="1181" w:type="dxa"/>
            <w:tcMar>
              <w:top w:w="60" w:type="dxa"/>
              <w:start w:w="85" w:type="dxa"/>
              <w:bottom w:w="60" w:type="dxa"/>
              <w:end w:w="85" w:type="dxa"/>
            </w:tcMar>
          </w:tcPr>
          <w:p>
            <w:pPr>
              <w:pStyle w:val="BodyText"/>
              <w:spacing w:before="0" w:after="0" w:line="220" w:lineRule="auto"/>
            </w:pPr>
            <w:r>
              <w:t>基准</w:t>
            </w:r>
          </w:p>
        </w:tc>
        <w:tc>
          <w:tcPr>
            <w:tcW w:w="907" w:type="dxa"/>
            <w:tcMar>
              <w:top w:w="60" w:type="dxa"/>
              <w:start w:w="85" w:type="dxa"/>
              <w:bottom w:w="60" w:type="dxa"/>
              <w:end w:w="85" w:type="dxa"/>
            </w:tcMar>
          </w:tcPr>
          <w:p>
            <w:pPr>
              <w:pStyle w:val="BodyText"/>
              <w:spacing w:before="0" w:after="0" w:line="220" w:lineRule="auto"/>
              <w:jc w:val="right"/>
            </w:pPr>
            <w:r>
              <w:t>2028</w:t>
            </w:r>
          </w:p>
        </w:tc>
        <w:tc>
          <w:tcPr>
            <w:tcW w:w="1296" w:type="dxa"/>
            <w:tcMar>
              <w:top w:w="60" w:type="dxa"/>
              <w:start w:w="85" w:type="dxa"/>
              <w:bottom w:w="60" w:type="dxa"/>
              <w:end w:w="85" w:type="dxa"/>
            </w:tcMar>
          </w:tcPr>
          <w:p>
            <w:pPr>
              <w:pStyle w:val="BodyText"/>
              <w:spacing w:before="0" w:after="0" w:line="220" w:lineRule="auto"/>
              <w:jc w:val="right"/>
            </w:pPr>
            <w:r>
              <w:t>18.000</w:t>
            </w:r>
          </w:p>
        </w:tc>
        <w:tc>
          <w:tcPr>
            <w:tcW w:w="1296" w:type="dxa"/>
            <w:tcMar>
              <w:top w:w="60" w:type="dxa"/>
              <w:start w:w="85" w:type="dxa"/>
              <w:bottom w:w="60" w:type="dxa"/>
              <w:end w:w="85" w:type="dxa"/>
            </w:tcMar>
          </w:tcPr>
          <w:p>
            <w:pPr>
              <w:pStyle w:val="BodyText"/>
              <w:spacing w:before="0" w:after="0" w:line="220" w:lineRule="auto"/>
              <w:jc w:val="right"/>
            </w:pPr>
            <w:r>
              <w:t>18.840</w:t>
            </w:r>
          </w:p>
        </w:tc>
        <w:tc>
          <w:tcPr>
            <w:tcW w:w="1296" w:type="dxa"/>
            <w:tcMar>
              <w:top w:w="60" w:type="dxa"/>
              <w:start w:w="85" w:type="dxa"/>
              <w:bottom w:w="60" w:type="dxa"/>
              <w:end w:w="85" w:type="dxa"/>
            </w:tcMar>
          </w:tcPr>
          <w:p>
            <w:pPr>
              <w:pStyle w:val="BodyText"/>
              <w:spacing w:before="0" w:after="0" w:line="220" w:lineRule="auto"/>
              <w:jc w:val="right"/>
            </w:pPr>
            <w:r>
              <w:t>−0.840</w:t>
            </w:r>
          </w:p>
        </w:tc>
        <w:tc>
          <w:tcPr>
            <w:tcW w:w="2974" w:type="dxa"/>
            <w:tcMar>
              <w:top w:w="60" w:type="dxa"/>
              <w:start w:w="85" w:type="dxa"/>
              <w:bottom w:w="60" w:type="dxa"/>
              <w:end w:w="85" w:type="dxa"/>
            </w:tcMar>
          </w:tcPr>
          <w:p>
            <w:pPr>
              <w:pStyle w:val="BodyText"/>
              <w:spacing w:before="0" w:after="0" w:line="220" w:lineRule="auto"/>
              <w:jc w:val="right"/>
            </w:pPr>
            <w:r>
              <w:t>−6.204</w:t>
            </w:r>
          </w:p>
        </w:tc>
      </w:tr>
      <w:tr>
        <w:trPr>
          <w:cantSplit/>
        </w:trPr>
        <w:tc>
          <w:tcPr>
            <w:tcW w:w="1181" w:type="dxa"/>
            <w:tcMar>
              <w:top w:w="60" w:type="dxa"/>
              <w:start w:w="85" w:type="dxa"/>
              <w:bottom w:w="60" w:type="dxa"/>
              <w:end w:w="85" w:type="dxa"/>
            </w:tcMar>
          </w:tcPr>
          <w:p>
            <w:pPr>
              <w:pStyle w:val="BodyText"/>
              <w:spacing w:before="0" w:after="0" w:line="220" w:lineRule="auto"/>
            </w:pPr>
            <w:r>
              <w:t>基准</w:t>
            </w:r>
          </w:p>
        </w:tc>
        <w:tc>
          <w:tcPr>
            <w:tcW w:w="907" w:type="dxa"/>
            <w:tcMar>
              <w:top w:w="60" w:type="dxa"/>
              <w:start w:w="85" w:type="dxa"/>
              <w:bottom w:w="60" w:type="dxa"/>
              <w:end w:w="85" w:type="dxa"/>
            </w:tcMar>
          </w:tcPr>
          <w:p>
            <w:pPr>
              <w:pStyle w:val="BodyText"/>
              <w:spacing w:before="0" w:after="0" w:line="220" w:lineRule="auto"/>
              <w:jc w:val="right"/>
            </w:pPr>
            <w:r>
              <w:t>2029</w:t>
            </w:r>
          </w:p>
        </w:tc>
        <w:tc>
          <w:tcPr>
            <w:tcW w:w="1296" w:type="dxa"/>
            <w:tcMar>
              <w:top w:w="60" w:type="dxa"/>
              <w:start w:w="85" w:type="dxa"/>
              <w:bottom w:w="60" w:type="dxa"/>
              <w:end w:w="85" w:type="dxa"/>
            </w:tcMar>
          </w:tcPr>
          <w:p>
            <w:pPr>
              <w:pStyle w:val="BodyText"/>
              <w:spacing w:before="0" w:after="0" w:line="220" w:lineRule="auto"/>
              <w:jc w:val="right"/>
            </w:pPr>
            <w:r>
              <w:t>32.400</w:t>
            </w:r>
          </w:p>
        </w:tc>
        <w:tc>
          <w:tcPr>
            <w:tcW w:w="1296" w:type="dxa"/>
            <w:tcMar>
              <w:top w:w="60" w:type="dxa"/>
              <w:start w:w="85" w:type="dxa"/>
              <w:bottom w:w="60" w:type="dxa"/>
              <w:end w:w="85" w:type="dxa"/>
            </w:tcMar>
          </w:tcPr>
          <w:p>
            <w:pPr>
              <w:pStyle w:val="BodyText"/>
              <w:spacing w:before="0" w:after="0" w:line="220" w:lineRule="auto"/>
              <w:jc w:val="right"/>
            </w:pPr>
            <w:r>
              <w:t>26.968</w:t>
            </w:r>
          </w:p>
        </w:tc>
        <w:tc>
          <w:tcPr>
            <w:tcW w:w="1296" w:type="dxa"/>
            <w:tcMar>
              <w:top w:w="60" w:type="dxa"/>
              <w:start w:w="85" w:type="dxa"/>
              <w:bottom w:w="60" w:type="dxa"/>
              <w:end w:w="85" w:type="dxa"/>
            </w:tcMar>
          </w:tcPr>
          <w:p>
            <w:pPr>
              <w:pStyle w:val="BodyText"/>
              <w:spacing w:before="0" w:after="0" w:line="220" w:lineRule="auto"/>
              <w:jc w:val="right"/>
            </w:pPr>
            <w:r>
              <w:t>5.432</w:t>
            </w:r>
          </w:p>
        </w:tc>
        <w:tc>
          <w:tcPr>
            <w:tcW w:w="2974" w:type="dxa"/>
            <w:tcMar>
              <w:top w:w="60" w:type="dxa"/>
              <w:start w:w="85" w:type="dxa"/>
              <w:bottom w:w="60" w:type="dxa"/>
              <w:end w:w="85" w:type="dxa"/>
            </w:tcMar>
          </w:tcPr>
          <w:p>
            <w:pPr>
              <w:pStyle w:val="BodyText"/>
              <w:spacing w:before="0" w:after="0" w:line="220" w:lineRule="auto"/>
              <w:jc w:val="right"/>
            </w:pPr>
            <w:r>
              <w:t>−0.372</w:t>
            </w:r>
          </w:p>
        </w:tc>
      </w:tr>
      <w:tr>
        <w:trPr>
          <w:cantSplit/>
        </w:trPr>
        <w:tc>
          <w:tcPr>
            <w:tcW w:w="1181" w:type="dxa"/>
            <w:tcMar>
              <w:top w:w="60" w:type="dxa"/>
              <w:start w:w="85" w:type="dxa"/>
              <w:bottom w:w="60" w:type="dxa"/>
              <w:end w:w="85" w:type="dxa"/>
            </w:tcMar>
          </w:tcPr>
          <w:p>
            <w:pPr>
              <w:pStyle w:val="BodyText"/>
              <w:spacing w:before="0" w:after="0" w:line="220" w:lineRule="auto"/>
            </w:pPr>
            <w:r>
              <w:t>悲观</w:t>
            </w:r>
          </w:p>
        </w:tc>
        <w:tc>
          <w:tcPr>
            <w:tcW w:w="907" w:type="dxa"/>
            <w:tcMar>
              <w:top w:w="60" w:type="dxa"/>
              <w:start w:w="85" w:type="dxa"/>
              <w:bottom w:w="60" w:type="dxa"/>
              <w:end w:w="85" w:type="dxa"/>
            </w:tcMar>
          </w:tcPr>
          <w:p>
            <w:pPr>
              <w:pStyle w:val="BodyText"/>
              <w:spacing w:before="0" w:after="0" w:line="220" w:lineRule="auto"/>
              <w:jc w:val="right"/>
            </w:pPr>
            <w:r>
              <w:t>2027</w:t>
            </w:r>
          </w:p>
        </w:tc>
        <w:tc>
          <w:tcPr>
            <w:tcW w:w="1296" w:type="dxa"/>
            <w:tcMar>
              <w:top w:w="60" w:type="dxa"/>
              <w:start w:w="85" w:type="dxa"/>
              <w:bottom w:w="60" w:type="dxa"/>
              <w:end w:w="85" w:type="dxa"/>
            </w:tcMar>
          </w:tcPr>
          <w:p>
            <w:pPr>
              <w:pStyle w:val="BodyText"/>
              <w:spacing w:before="0" w:after="0" w:line="220" w:lineRule="auto"/>
              <w:jc w:val="right"/>
            </w:pPr>
            <w:r>
              <w:t>3.000</w:t>
            </w:r>
          </w:p>
        </w:tc>
        <w:tc>
          <w:tcPr>
            <w:tcW w:w="1296" w:type="dxa"/>
            <w:tcMar>
              <w:top w:w="60" w:type="dxa"/>
              <w:start w:w="85" w:type="dxa"/>
              <w:bottom w:w="60" w:type="dxa"/>
              <w:end w:w="85" w:type="dxa"/>
            </w:tcMar>
          </w:tcPr>
          <w:p>
            <w:pPr>
              <w:pStyle w:val="BodyText"/>
              <w:spacing w:before="0" w:after="0" w:line="220" w:lineRule="auto"/>
              <w:jc w:val="right"/>
            </w:pPr>
            <w:r>
              <w:t>12.520</w:t>
            </w:r>
          </w:p>
        </w:tc>
        <w:tc>
          <w:tcPr>
            <w:tcW w:w="1296" w:type="dxa"/>
            <w:tcMar>
              <w:top w:w="60" w:type="dxa"/>
              <w:start w:w="85" w:type="dxa"/>
              <w:bottom w:w="60" w:type="dxa"/>
              <w:end w:w="85" w:type="dxa"/>
            </w:tcMar>
          </w:tcPr>
          <w:p>
            <w:pPr>
              <w:pStyle w:val="BodyText"/>
              <w:spacing w:before="0" w:after="0" w:line="220" w:lineRule="auto"/>
              <w:jc w:val="right"/>
            </w:pPr>
            <w:r>
              <w:t>−9.520</w:t>
            </w:r>
          </w:p>
        </w:tc>
        <w:tc>
          <w:tcPr>
            <w:tcW w:w="2974" w:type="dxa"/>
            <w:tcMar>
              <w:top w:w="60" w:type="dxa"/>
              <w:start w:w="85" w:type="dxa"/>
              <w:bottom w:w="60" w:type="dxa"/>
              <w:end w:w="85" w:type="dxa"/>
            </w:tcMar>
          </w:tcPr>
          <w:p>
            <w:pPr>
              <w:pStyle w:val="BodyText"/>
              <w:spacing w:before="0" w:after="0" w:line="220" w:lineRule="auto"/>
              <w:jc w:val="right"/>
            </w:pPr>
            <w:r>
              <w:t>−8.320</w:t>
            </w:r>
          </w:p>
        </w:tc>
      </w:tr>
      <w:tr>
        <w:trPr>
          <w:cantSplit/>
        </w:trPr>
        <w:tc>
          <w:tcPr>
            <w:tcW w:w="1181" w:type="dxa"/>
            <w:tcMar>
              <w:top w:w="60" w:type="dxa"/>
              <w:start w:w="85" w:type="dxa"/>
              <w:bottom w:w="60" w:type="dxa"/>
              <w:end w:w="85" w:type="dxa"/>
            </w:tcMar>
          </w:tcPr>
          <w:p>
            <w:pPr>
              <w:pStyle w:val="BodyText"/>
              <w:spacing w:before="0" w:after="0" w:line="220" w:lineRule="auto"/>
            </w:pPr>
            <w:r>
              <w:t>悲观</w:t>
            </w:r>
          </w:p>
        </w:tc>
        <w:tc>
          <w:tcPr>
            <w:tcW w:w="907" w:type="dxa"/>
            <w:tcMar>
              <w:top w:w="60" w:type="dxa"/>
              <w:start w:w="85" w:type="dxa"/>
              <w:bottom w:w="60" w:type="dxa"/>
              <w:end w:w="85" w:type="dxa"/>
            </w:tcMar>
          </w:tcPr>
          <w:p>
            <w:pPr>
              <w:pStyle w:val="BodyText"/>
              <w:spacing w:before="0" w:after="0" w:line="220" w:lineRule="auto"/>
              <w:jc w:val="right"/>
            </w:pPr>
            <w:r>
              <w:t>2028</w:t>
            </w:r>
          </w:p>
        </w:tc>
        <w:tc>
          <w:tcPr>
            <w:tcW w:w="1296" w:type="dxa"/>
            <w:tcMar>
              <w:top w:w="60" w:type="dxa"/>
              <w:start w:w="85" w:type="dxa"/>
              <w:bottom w:w="60" w:type="dxa"/>
              <w:end w:w="85" w:type="dxa"/>
            </w:tcMar>
          </w:tcPr>
          <w:p>
            <w:pPr>
              <w:pStyle w:val="BodyText"/>
              <w:spacing w:before="0" w:after="0" w:line="220" w:lineRule="auto"/>
              <w:jc w:val="right"/>
            </w:pPr>
            <w:r>
              <w:t>6.000</w:t>
            </w:r>
          </w:p>
        </w:tc>
        <w:tc>
          <w:tcPr>
            <w:tcW w:w="1296" w:type="dxa"/>
            <w:tcMar>
              <w:top w:w="60" w:type="dxa"/>
              <w:start w:w="85" w:type="dxa"/>
              <w:bottom w:w="60" w:type="dxa"/>
              <w:end w:w="85" w:type="dxa"/>
            </w:tcMar>
          </w:tcPr>
          <w:p>
            <w:pPr>
              <w:pStyle w:val="BodyText"/>
              <w:spacing w:before="0" w:after="0" w:line="220" w:lineRule="auto"/>
              <w:jc w:val="right"/>
            </w:pPr>
            <w:r>
              <w:t>15.280</w:t>
            </w:r>
          </w:p>
        </w:tc>
        <w:tc>
          <w:tcPr>
            <w:tcW w:w="1296" w:type="dxa"/>
            <w:tcMar>
              <w:top w:w="60" w:type="dxa"/>
              <w:start w:w="85" w:type="dxa"/>
              <w:bottom w:w="60" w:type="dxa"/>
              <w:end w:w="85" w:type="dxa"/>
            </w:tcMar>
          </w:tcPr>
          <w:p>
            <w:pPr>
              <w:pStyle w:val="BodyText"/>
              <w:spacing w:before="0" w:after="0" w:line="220" w:lineRule="auto"/>
              <w:jc w:val="right"/>
            </w:pPr>
            <w:r>
              <w:t>−9.280</w:t>
            </w:r>
          </w:p>
        </w:tc>
        <w:tc>
          <w:tcPr>
            <w:tcW w:w="2974" w:type="dxa"/>
            <w:tcMar>
              <w:top w:w="60" w:type="dxa"/>
              <w:start w:w="85" w:type="dxa"/>
              <w:bottom w:w="60" w:type="dxa"/>
              <w:end w:w="85" w:type="dxa"/>
            </w:tcMar>
          </w:tcPr>
          <w:p>
            <w:pPr>
              <w:pStyle w:val="BodyText"/>
              <w:spacing w:before="0" w:after="0" w:line="220" w:lineRule="auto"/>
              <w:jc w:val="right"/>
            </w:pPr>
            <w:r>
              <w:t>−17.200</w:t>
            </w:r>
          </w:p>
        </w:tc>
      </w:tr>
      <w:tr>
        <w:trPr>
          <w:cantSplit/>
        </w:trPr>
        <w:tc>
          <w:tcPr>
            <w:tcW w:w="1181" w:type="dxa"/>
            <w:tcMar>
              <w:top w:w="60" w:type="dxa"/>
              <w:start w:w="85" w:type="dxa"/>
              <w:bottom w:w="60" w:type="dxa"/>
              <w:end w:w="85" w:type="dxa"/>
            </w:tcMar>
          </w:tcPr>
          <w:p>
            <w:pPr>
              <w:pStyle w:val="BodyText"/>
              <w:spacing w:before="0" w:after="0" w:line="220" w:lineRule="auto"/>
            </w:pPr>
            <w:r>
              <w:t>悲观</w:t>
            </w:r>
          </w:p>
        </w:tc>
        <w:tc>
          <w:tcPr>
            <w:tcW w:w="907" w:type="dxa"/>
            <w:tcMar>
              <w:top w:w="60" w:type="dxa"/>
              <w:start w:w="85" w:type="dxa"/>
              <w:bottom w:w="60" w:type="dxa"/>
              <w:end w:w="85" w:type="dxa"/>
            </w:tcMar>
          </w:tcPr>
          <w:p>
            <w:pPr>
              <w:pStyle w:val="BodyText"/>
              <w:spacing w:before="0" w:after="0" w:line="220" w:lineRule="auto"/>
              <w:jc w:val="right"/>
            </w:pPr>
            <w:r>
              <w:t>2029</w:t>
            </w:r>
          </w:p>
        </w:tc>
        <w:tc>
          <w:tcPr>
            <w:tcW w:w="1296" w:type="dxa"/>
            <w:tcMar>
              <w:top w:w="60" w:type="dxa"/>
              <w:start w:w="85" w:type="dxa"/>
              <w:bottom w:w="60" w:type="dxa"/>
              <w:end w:w="85" w:type="dxa"/>
            </w:tcMar>
          </w:tcPr>
          <w:p>
            <w:pPr>
              <w:pStyle w:val="BodyText"/>
              <w:spacing w:before="0" w:after="0" w:line="220" w:lineRule="auto"/>
              <w:jc w:val="right"/>
            </w:pPr>
            <w:r>
              <w:t>9.000</w:t>
            </w:r>
          </w:p>
        </w:tc>
        <w:tc>
          <w:tcPr>
            <w:tcW w:w="1296" w:type="dxa"/>
            <w:tcMar>
              <w:top w:w="60" w:type="dxa"/>
              <w:start w:w="85" w:type="dxa"/>
              <w:bottom w:w="60" w:type="dxa"/>
              <w:end w:w="85" w:type="dxa"/>
            </w:tcMar>
          </w:tcPr>
          <w:p>
            <w:pPr>
              <w:pStyle w:val="BodyText"/>
              <w:spacing w:before="0" w:after="0" w:line="220" w:lineRule="auto"/>
              <w:jc w:val="right"/>
            </w:pPr>
            <w:r>
              <w:t>18.040</w:t>
            </w:r>
          </w:p>
        </w:tc>
        <w:tc>
          <w:tcPr>
            <w:tcW w:w="1296" w:type="dxa"/>
            <w:tcMar>
              <w:top w:w="60" w:type="dxa"/>
              <w:start w:w="85" w:type="dxa"/>
              <w:bottom w:w="60" w:type="dxa"/>
              <w:end w:w="85" w:type="dxa"/>
            </w:tcMar>
          </w:tcPr>
          <w:p>
            <w:pPr>
              <w:pStyle w:val="BodyText"/>
              <w:spacing w:before="0" w:after="0" w:line="220" w:lineRule="auto"/>
              <w:jc w:val="right"/>
            </w:pPr>
            <w:r>
              <w:t>−9.040</w:t>
            </w:r>
          </w:p>
        </w:tc>
        <w:tc>
          <w:tcPr>
            <w:tcW w:w="2974" w:type="dxa"/>
            <w:tcMar>
              <w:top w:w="60" w:type="dxa"/>
              <w:start w:w="85" w:type="dxa"/>
              <w:bottom w:w="60" w:type="dxa"/>
              <w:end w:w="85" w:type="dxa"/>
            </w:tcMar>
          </w:tcPr>
          <w:p>
            <w:pPr>
              <w:pStyle w:val="BodyText"/>
              <w:spacing w:before="0" w:after="0" w:line="220" w:lineRule="auto"/>
              <w:jc w:val="right"/>
            </w:pPr>
            <w:r>
              <w:t>−25.840</w:t>
            </w:r>
          </w:p>
        </w:tc>
      </w:tr>
      <w:tr>
        <w:trPr>
          <w:cantSplit/>
        </w:trPr>
        <w:tc>
          <w:tcPr>
            <w:tcW w:w="1181" w:type="dxa"/>
            <w:tcMar>
              <w:top w:w="60" w:type="dxa"/>
              <w:start w:w="85" w:type="dxa"/>
              <w:bottom w:w="60" w:type="dxa"/>
              <w:end w:w="85" w:type="dxa"/>
            </w:tcMar>
          </w:tcPr>
          <w:p>
            <w:pPr>
              <w:pStyle w:val="BodyText"/>
              <w:spacing w:before="0" w:after="0" w:line="220" w:lineRule="auto"/>
            </w:pPr>
            <w:r>
              <w:t>积极</w:t>
            </w:r>
          </w:p>
        </w:tc>
        <w:tc>
          <w:tcPr>
            <w:tcW w:w="907" w:type="dxa"/>
            <w:tcMar>
              <w:top w:w="60" w:type="dxa"/>
              <w:start w:w="85" w:type="dxa"/>
              <w:bottom w:w="60" w:type="dxa"/>
              <w:end w:w="85" w:type="dxa"/>
            </w:tcMar>
          </w:tcPr>
          <w:p>
            <w:pPr>
              <w:pStyle w:val="BodyText"/>
              <w:spacing w:before="0" w:after="0" w:line="220" w:lineRule="auto"/>
              <w:jc w:val="right"/>
            </w:pPr>
            <w:r>
              <w:t>2027</w:t>
            </w:r>
          </w:p>
        </w:tc>
        <w:tc>
          <w:tcPr>
            <w:tcW w:w="1296" w:type="dxa"/>
            <w:tcMar>
              <w:top w:w="60" w:type="dxa"/>
              <w:start w:w="85" w:type="dxa"/>
              <w:bottom w:w="60" w:type="dxa"/>
              <w:end w:w="85" w:type="dxa"/>
            </w:tcMar>
          </w:tcPr>
          <w:p>
            <w:pPr>
              <w:pStyle w:val="BodyText"/>
              <w:spacing w:before="0" w:after="0" w:line="220" w:lineRule="auto"/>
              <w:jc w:val="right"/>
            </w:pPr>
            <w:r>
              <w:t>13.200</w:t>
            </w:r>
          </w:p>
        </w:tc>
        <w:tc>
          <w:tcPr>
            <w:tcW w:w="1296" w:type="dxa"/>
            <w:tcMar>
              <w:top w:w="60" w:type="dxa"/>
              <w:start w:w="85" w:type="dxa"/>
              <w:bottom w:w="60" w:type="dxa"/>
              <w:end w:w="85" w:type="dxa"/>
            </w:tcMar>
          </w:tcPr>
          <w:p>
            <w:pPr>
              <w:pStyle w:val="BodyText"/>
              <w:spacing w:before="0" w:after="0" w:line="220" w:lineRule="auto"/>
              <w:jc w:val="right"/>
            </w:pPr>
            <w:r>
              <w:t>18.094</w:t>
            </w:r>
          </w:p>
        </w:tc>
        <w:tc>
          <w:tcPr>
            <w:tcW w:w="1296" w:type="dxa"/>
            <w:tcMar>
              <w:top w:w="60" w:type="dxa"/>
              <w:start w:w="85" w:type="dxa"/>
              <w:bottom w:w="60" w:type="dxa"/>
              <w:end w:w="85" w:type="dxa"/>
            </w:tcMar>
          </w:tcPr>
          <w:p>
            <w:pPr>
              <w:pStyle w:val="BodyText"/>
              <w:spacing w:before="0" w:after="0" w:line="220" w:lineRule="auto"/>
              <w:jc w:val="right"/>
            </w:pPr>
            <w:r>
              <w:t>−4.894</w:t>
            </w:r>
          </w:p>
        </w:tc>
        <w:tc>
          <w:tcPr>
            <w:tcW w:w="2974" w:type="dxa"/>
            <w:tcMar>
              <w:top w:w="60" w:type="dxa"/>
              <w:start w:w="85" w:type="dxa"/>
              <w:bottom w:w="60" w:type="dxa"/>
              <w:end w:w="85" w:type="dxa"/>
            </w:tcMar>
          </w:tcPr>
          <w:p>
            <w:pPr>
              <w:pStyle w:val="BodyText"/>
              <w:spacing w:before="0" w:after="0" w:line="220" w:lineRule="auto"/>
              <w:jc w:val="right"/>
            </w:pPr>
            <w:r>
              <w:t>−3.694</w:t>
            </w:r>
          </w:p>
        </w:tc>
      </w:tr>
      <w:tr>
        <w:trPr>
          <w:cantSplit/>
        </w:trPr>
        <w:tc>
          <w:tcPr>
            <w:tcW w:w="1181" w:type="dxa"/>
            <w:tcMar>
              <w:top w:w="60" w:type="dxa"/>
              <w:start w:w="85" w:type="dxa"/>
              <w:bottom w:w="60" w:type="dxa"/>
              <w:end w:w="85" w:type="dxa"/>
            </w:tcMar>
          </w:tcPr>
          <w:p>
            <w:pPr>
              <w:pStyle w:val="BodyText"/>
              <w:spacing w:before="0" w:after="0" w:line="220" w:lineRule="auto"/>
            </w:pPr>
            <w:r>
              <w:t>积极</w:t>
            </w:r>
          </w:p>
        </w:tc>
        <w:tc>
          <w:tcPr>
            <w:tcW w:w="907" w:type="dxa"/>
            <w:tcMar>
              <w:top w:w="60" w:type="dxa"/>
              <w:start w:w="85" w:type="dxa"/>
              <w:bottom w:w="60" w:type="dxa"/>
              <w:end w:w="85" w:type="dxa"/>
            </w:tcMar>
          </w:tcPr>
          <w:p>
            <w:pPr>
              <w:pStyle w:val="BodyText"/>
              <w:spacing w:before="0" w:after="0" w:line="220" w:lineRule="auto"/>
              <w:jc w:val="right"/>
            </w:pPr>
            <w:r>
              <w:t>2028</w:t>
            </w:r>
          </w:p>
        </w:tc>
        <w:tc>
          <w:tcPr>
            <w:tcW w:w="1296" w:type="dxa"/>
            <w:tcMar>
              <w:top w:w="60" w:type="dxa"/>
              <w:start w:w="85" w:type="dxa"/>
              <w:bottom w:w="60" w:type="dxa"/>
              <w:end w:w="85" w:type="dxa"/>
            </w:tcMar>
          </w:tcPr>
          <w:p>
            <w:pPr>
              <w:pStyle w:val="BodyText"/>
              <w:spacing w:before="0" w:after="0" w:line="220" w:lineRule="auto"/>
              <w:jc w:val="right"/>
            </w:pPr>
            <w:r>
              <w:t>30.800</w:t>
            </w:r>
          </w:p>
        </w:tc>
        <w:tc>
          <w:tcPr>
            <w:tcW w:w="1296" w:type="dxa"/>
            <w:tcMar>
              <w:top w:w="60" w:type="dxa"/>
              <w:start w:w="85" w:type="dxa"/>
              <w:bottom w:w="60" w:type="dxa"/>
              <w:end w:w="85" w:type="dxa"/>
            </w:tcMar>
          </w:tcPr>
          <w:p>
            <w:pPr>
              <w:pStyle w:val="BodyText"/>
              <w:spacing w:before="0" w:after="0" w:line="220" w:lineRule="auto"/>
              <w:jc w:val="right"/>
            </w:pPr>
            <w:r>
              <w:t>25.486</w:t>
            </w:r>
          </w:p>
        </w:tc>
        <w:tc>
          <w:tcPr>
            <w:tcW w:w="1296" w:type="dxa"/>
            <w:tcMar>
              <w:top w:w="60" w:type="dxa"/>
              <w:start w:w="85" w:type="dxa"/>
              <w:bottom w:w="60" w:type="dxa"/>
              <w:end w:w="85" w:type="dxa"/>
            </w:tcMar>
          </w:tcPr>
          <w:p>
            <w:pPr>
              <w:pStyle w:val="BodyText"/>
              <w:spacing w:before="0" w:after="0" w:line="220" w:lineRule="auto"/>
              <w:jc w:val="right"/>
            </w:pPr>
            <w:r>
              <w:t>5.314</w:t>
            </w:r>
          </w:p>
        </w:tc>
        <w:tc>
          <w:tcPr>
            <w:tcW w:w="2974" w:type="dxa"/>
            <w:tcMar>
              <w:top w:w="60" w:type="dxa"/>
              <w:start w:w="85" w:type="dxa"/>
              <w:bottom w:w="60" w:type="dxa"/>
              <w:end w:w="85" w:type="dxa"/>
            </w:tcMar>
          </w:tcPr>
          <w:p>
            <w:pPr>
              <w:pStyle w:val="BodyText"/>
              <w:spacing w:before="0" w:after="0" w:line="220" w:lineRule="auto"/>
              <w:jc w:val="right"/>
            </w:pPr>
            <w:r>
              <w:t>0.920</w:t>
            </w:r>
          </w:p>
        </w:tc>
      </w:tr>
      <w:tr>
        <w:trPr>
          <w:cantSplit/>
        </w:trPr>
        <w:tc>
          <w:tcPr>
            <w:tcW w:w="1181" w:type="dxa"/>
            <w:tcMar>
              <w:top w:w="60" w:type="dxa"/>
              <w:start w:w="85" w:type="dxa"/>
              <w:bottom w:w="60" w:type="dxa"/>
              <w:end w:w="85" w:type="dxa"/>
            </w:tcMar>
          </w:tcPr>
          <w:p>
            <w:pPr>
              <w:pStyle w:val="BodyText"/>
              <w:spacing w:before="0" w:after="0" w:line="220" w:lineRule="auto"/>
            </w:pPr>
            <w:r>
              <w:t>积极</w:t>
            </w:r>
          </w:p>
        </w:tc>
        <w:tc>
          <w:tcPr>
            <w:tcW w:w="907" w:type="dxa"/>
            <w:tcMar>
              <w:top w:w="60" w:type="dxa"/>
              <w:start w:w="85" w:type="dxa"/>
              <w:bottom w:w="60" w:type="dxa"/>
              <w:end w:w="85" w:type="dxa"/>
            </w:tcMar>
          </w:tcPr>
          <w:p>
            <w:pPr>
              <w:pStyle w:val="BodyText"/>
              <w:spacing w:before="0" w:after="0" w:line="220" w:lineRule="auto"/>
              <w:jc w:val="right"/>
            </w:pPr>
            <w:r>
              <w:t>2029</w:t>
            </w:r>
          </w:p>
        </w:tc>
        <w:tc>
          <w:tcPr>
            <w:tcW w:w="1296" w:type="dxa"/>
            <w:tcMar>
              <w:top w:w="60" w:type="dxa"/>
              <w:start w:w="85" w:type="dxa"/>
              <w:bottom w:w="60" w:type="dxa"/>
              <w:end w:w="85" w:type="dxa"/>
            </w:tcMar>
          </w:tcPr>
          <w:p>
            <w:pPr>
              <w:pStyle w:val="BodyText"/>
              <w:spacing w:before="0" w:after="0" w:line="220" w:lineRule="auto"/>
              <w:jc w:val="right"/>
            </w:pPr>
            <w:r>
              <w:t>52.800</w:t>
            </w:r>
          </w:p>
        </w:tc>
        <w:tc>
          <w:tcPr>
            <w:tcW w:w="1296" w:type="dxa"/>
            <w:tcMar>
              <w:top w:w="60" w:type="dxa"/>
              <w:start w:w="85" w:type="dxa"/>
              <w:bottom w:w="60" w:type="dxa"/>
              <w:end w:w="85" w:type="dxa"/>
            </w:tcMar>
          </w:tcPr>
          <w:p>
            <w:pPr>
              <w:pStyle w:val="BodyText"/>
              <w:spacing w:before="0" w:after="0" w:line="220" w:lineRule="auto"/>
              <w:jc w:val="right"/>
            </w:pPr>
            <w:r>
              <w:t>35.176</w:t>
            </w:r>
          </w:p>
        </w:tc>
        <w:tc>
          <w:tcPr>
            <w:tcW w:w="1296" w:type="dxa"/>
            <w:tcMar>
              <w:top w:w="60" w:type="dxa"/>
              <w:start w:w="85" w:type="dxa"/>
              <w:bottom w:w="60" w:type="dxa"/>
              <w:end w:w="85" w:type="dxa"/>
            </w:tcMar>
          </w:tcPr>
          <w:p>
            <w:pPr>
              <w:pStyle w:val="BodyText"/>
              <w:spacing w:before="0" w:after="0" w:line="220" w:lineRule="auto"/>
              <w:jc w:val="right"/>
            </w:pPr>
            <w:r>
              <w:t>17.624</w:t>
            </w:r>
          </w:p>
        </w:tc>
        <w:tc>
          <w:tcPr>
            <w:tcW w:w="2974" w:type="dxa"/>
            <w:tcMar>
              <w:top w:w="60" w:type="dxa"/>
              <w:start w:w="85" w:type="dxa"/>
              <w:bottom w:w="60" w:type="dxa"/>
              <w:end w:w="85" w:type="dxa"/>
            </w:tcMar>
          </w:tcPr>
          <w:p>
            <w:pPr>
              <w:pStyle w:val="BodyText"/>
              <w:spacing w:before="0" w:after="0" w:line="220" w:lineRule="auto"/>
              <w:jc w:val="right"/>
            </w:pPr>
            <w:r>
              <w:t>17.844</w:t>
            </w:r>
          </w:p>
        </w:tc>
      </w:tr>
    </w:tbl>
    <w:p>
      <w:pPr>
        <w:pStyle w:val="BodyText"/>
      </w:pPr>
      <w:r>
        <w:t>现金缺口已计入假设的2万元期初自有资金；未追加资金的负现金表示资金不足，不能作为可持续经营状态。Table 20（表20）另列峰值缺口及储备需求。为了勾稽，工作簿也展示假设在2027年1月补足所需资金后的现金路径，这仅是融资敏感性演算。</w:t>
      </w:r>
    </w:p>
    <w:p>
      <w:pPr>
        <w:pStyle w:val="Tabletitle"/>
        <w:keepNext/>
      </w:pPr>
      <w:r>
        <w:t>Table 20. 追加资金需求</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325"/>
        <w:gridCol w:w="2448"/>
        <w:gridCol w:w="2304"/>
        <w:gridCol w:w="2873"/>
      </w:tblGrid>
      <w:tr>
        <w:trPr>
          <w:cantSplit/>
          <w:tblHeader w:val="true"/>
        </w:trPr>
        <w:tc>
          <w:tcPr>
            <w:tcW w:w="1325" w:type="dxa"/>
            <w:tcMar>
              <w:top w:w="60" w:type="dxa"/>
              <w:start w:w="85" w:type="dxa"/>
              <w:bottom w:w="60" w:type="dxa"/>
              <w:end w:w="85" w:type="dxa"/>
            </w:tcMar>
          </w:tcPr>
          <w:p>
            <w:pPr>
              <w:pStyle w:val="BodyText"/>
              <w:spacing w:before="0" w:after="0" w:line="220" w:lineRule="auto"/>
            </w:pPr>
            <w:r>
              <w:t>情景</w:t>
            </w:r>
          </w:p>
        </w:tc>
        <w:tc>
          <w:tcPr>
            <w:tcW w:w="2448" w:type="dxa"/>
            <w:tcMar>
              <w:top w:w="60" w:type="dxa"/>
              <w:start w:w="85" w:type="dxa"/>
              <w:bottom w:w="60" w:type="dxa"/>
              <w:end w:w="85" w:type="dxa"/>
            </w:tcMar>
          </w:tcPr>
          <w:p>
            <w:pPr>
              <w:pStyle w:val="BodyText"/>
              <w:spacing w:before="0" w:after="0" w:line="220" w:lineRule="auto"/>
            </w:pPr>
            <w:r>
              <w:t>峰值缺口（万元）</w:t>
            </w:r>
          </w:p>
        </w:tc>
        <w:tc>
          <w:tcPr>
            <w:tcW w:w="2304" w:type="dxa"/>
            <w:tcMar>
              <w:top w:w="60" w:type="dxa"/>
              <w:start w:w="85" w:type="dxa"/>
              <w:bottom w:w="60" w:type="dxa"/>
              <w:end w:w="85" w:type="dxa"/>
            </w:tcMar>
          </w:tcPr>
          <w:p>
            <w:pPr>
              <w:pStyle w:val="BodyText"/>
              <w:spacing w:before="0" w:after="0" w:line="220" w:lineRule="auto"/>
            </w:pPr>
            <w:r>
              <w:t>发生月份</w:t>
            </w:r>
          </w:p>
        </w:tc>
        <w:tc>
          <w:tcPr>
            <w:tcW w:w="2873" w:type="dxa"/>
            <w:tcMar>
              <w:top w:w="60" w:type="dxa"/>
              <w:start w:w="85" w:type="dxa"/>
              <w:bottom w:w="60" w:type="dxa"/>
              <w:end w:w="85" w:type="dxa"/>
            </w:tcMar>
          </w:tcPr>
          <w:p>
            <w:pPr>
              <w:pStyle w:val="BodyText"/>
              <w:spacing w:before="0" w:after="0" w:line="220" w:lineRule="auto"/>
            </w:pPr>
            <w:r>
              <w:t>含2万元储备（万元）</w:t>
            </w:r>
          </w:p>
        </w:tc>
      </w:tr>
      <w:tr>
        <w:trPr>
          <w:cantSplit/>
        </w:trPr>
        <w:tc>
          <w:tcPr>
            <w:tcW w:w="1325" w:type="dxa"/>
            <w:tcMar>
              <w:top w:w="60" w:type="dxa"/>
              <w:start w:w="85" w:type="dxa"/>
              <w:bottom w:w="60" w:type="dxa"/>
              <w:end w:w="85" w:type="dxa"/>
            </w:tcMar>
          </w:tcPr>
          <w:p>
            <w:pPr>
              <w:pStyle w:val="BodyText"/>
              <w:spacing w:before="0" w:after="0" w:line="220" w:lineRule="auto"/>
            </w:pPr>
            <w:r>
              <w:t>基准</w:t>
            </w:r>
          </w:p>
        </w:tc>
        <w:tc>
          <w:tcPr>
            <w:tcW w:w="2448" w:type="dxa"/>
            <w:tcMar>
              <w:top w:w="60" w:type="dxa"/>
              <w:start w:w="85" w:type="dxa"/>
              <w:bottom w:w="60" w:type="dxa"/>
              <w:end w:w="85" w:type="dxa"/>
            </w:tcMar>
          </w:tcPr>
          <w:p>
            <w:pPr>
              <w:pStyle w:val="BodyText"/>
              <w:spacing w:before="0" w:after="0" w:line="220" w:lineRule="auto"/>
              <w:jc w:val="right"/>
            </w:pPr>
            <w:r>
              <w:t>8.300</w:t>
            </w:r>
          </w:p>
        </w:tc>
        <w:tc>
          <w:tcPr>
            <w:tcW w:w="2304" w:type="dxa"/>
            <w:tcMar>
              <w:top w:w="60" w:type="dxa"/>
              <w:start w:w="85" w:type="dxa"/>
              <w:bottom w:w="60" w:type="dxa"/>
              <w:end w:w="85" w:type="dxa"/>
            </w:tcMar>
          </w:tcPr>
          <w:p>
            <w:pPr>
              <w:pStyle w:val="BodyText"/>
              <w:spacing w:before="0" w:after="0" w:line="220" w:lineRule="auto"/>
            </w:pPr>
            <w:r>
              <w:t>2028-09</w:t>
            </w:r>
          </w:p>
        </w:tc>
        <w:tc>
          <w:tcPr>
            <w:tcW w:w="2873" w:type="dxa"/>
            <w:tcMar>
              <w:top w:w="60" w:type="dxa"/>
              <w:start w:w="85" w:type="dxa"/>
              <w:bottom w:w="60" w:type="dxa"/>
              <w:end w:w="85" w:type="dxa"/>
            </w:tcMar>
          </w:tcPr>
          <w:p>
            <w:pPr>
              <w:pStyle w:val="BodyText"/>
              <w:spacing w:before="0" w:after="0" w:line="220" w:lineRule="auto"/>
              <w:jc w:val="right"/>
            </w:pPr>
            <w:r>
              <w:t>10.300</w:t>
            </w:r>
          </w:p>
        </w:tc>
      </w:tr>
      <w:tr>
        <w:trPr>
          <w:cantSplit/>
        </w:trPr>
        <w:tc>
          <w:tcPr>
            <w:tcW w:w="1325" w:type="dxa"/>
            <w:tcMar>
              <w:top w:w="60" w:type="dxa"/>
              <w:start w:w="85" w:type="dxa"/>
              <w:bottom w:w="60" w:type="dxa"/>
              <w:end w:w="85" w:type="dxa"/>
            </w:tcMar>
          </w:tcPr>
          <w:p>
            <w:pPr>
              <w:pStyle w:val="BodyText"/>
              <w:spacing w:before="0" w:after="0" w:line="220" w:lineRule="auto"/>
            </w:pPr>
            <w:r>
              <w:t>悲观</w:t>
            </w:r>
          </w:p>
        </w:tc>
        <w:tc>
          <w:tcPr>
            <w:tcW w:w="2448" w:type="dxa"/>
            <w:tcMar>
              <w:top w:w="60" w:type="dxa"/>
              <w:start w:w="85" w:type="dxa"/>
              <w:bottom w:w="60" w:type="dxa"/>
              <w:end w:w="85" w:type="dxa"/>
            </w:tcMar>
          </w:tcPr>
          <w:p>
            <w:pPr>
              <w:pStyle w:val="BodyText"/>
              <w:spacing w:before="0" w:after="0" w:line="220" w:lineRule="auto"/>
              <w:jc w:val="right"/>
            </w:pPr>
            <w:r>
              <w:t>26.110</w:t>
            </w:r>
          </w:p>
        </w:tc>
        <w:tc>
          <w:tcPr>
            <w:tcW w:w="2304" w:type="dxa"/>
            <w:tcMar>
              <w:top w:w="60" w:type="dxa"/>
              <w:start w:w="85" w:type="dxa"/>
              <w:bottom w:w="60" w:type="dxa"/>
              <w:end w:w="85" w:type="dxa"/>
            </w:tcMar>
          </w:tcPr>
          <w:p>
            <w:pPr>
              <w:pStyle w:val="BodyText"/>
              <w:spacing w:before="0" w:after="0" w:line="220" w:lineRule="auto"/>
            </w:pPr>
            <w:r>
              <w:t>2029-11</w:t>
            </w:r>
          </w:p>
        </w:tc>
        <w:tc>
          <w:tcPr>
            <w:tcW w:w="2873" w:type="dxa"/>
            <w:tcMar>
              <w:top w:w="60" w:type="dxa"/>
              <w:start w:w="85" w:type="dxa"/>
              <w:bottom w:w="60" w:type="dxa"/>
              <w:end w:w="85" w:type="dxa"/>
            </w:tcMar>
          </w:tcPr>
          <w:p>
            <w:pPr>
              <w:pStyle w:val="BodyText"/>
              <w:spacing w:before="0" w:after="0" w:line="220" w:lineRule="auto"/>
              <w:jc w:val="right"/>
            </w:pPr>
            <w:r>
              <w:t>28.110</w:t>
            </w:r>
          </w:p>
        </w:tc>
      </w:tr>
      <w:tr>
        <w:trPr>
          <w:cantSplit/>
        </w:trPr>
        <w:tc>
          <w:tcPr>
            <w:tcW w:w="1325" w:type="dxa"/>
            <w:tcMar>
              <w:top w:w="60" w:type="dxa"/>
              <w:start w:w="85" w:type="dxa"/>
              <w:bottom w:w="60" w:type="dxa"/>
              <w:end w:w="85" w:type="dxa"/>
            </w:tcMar>
          </w:tcPr>
          <w:p>
            <w:pPr>
              <w:pStyle w:val="BodyText"/>
              <w:spacing w:before="0" w:after="0" w:line="220" w:lineRule="auto"/>
            </w:pPr>
            <w:r>
              <w:t>积极</w:t>
            </w:r>
          </w:p>
        </w:tc>
        <w:tc>
          <w:tcPr>
            <w:tcW w:w="2448" w:type="dxa"/>
            <w:tcMar>
              <w:top w:w="60" w:type="dxa"/>
              <w:start w:w="85" w:type="dxa"/>
              <w:bottom w:w="60" w:type="dxa"/>
              <w:end w:w="85" w:type="dxa"/>
            </w:tcMar>
          </w:tcPr>
          <w:p>
            <w:pPr>
              <w:pStyle w:val="BodyText"/>
              <w:spacing w:before="0" w:after="0" w:line="220" w:lineRule="auto"/>
              <w:jc w:val="right"/>
            </w:pPr>
            <w:r>
              <w:t>5.543</w:t>
            </w:r>
          </w:p>
        </w:tc>
        <w:tc>
          <w:tcPr>
            <w:tcW w:w="2304" w:type="dxa"/>
            <w:tcMar>
              <w:top w:w="60" w:type="dxa"/>
              <w:start w:w="85" w:type="dxa"/>
              <w:bottom w:w="60" w:type="dxa"/>
              <w:end w:w="85" w:type="dxa"/>
            </w:tcMar>
          </w:tcPr>
          <w:p>
            <w:pPr>
              <w:pStyle w:val="BodyText"/>
              <w:spacing w:before="0" w:after="0" w:line="220" w:lineRule="auto"/>
            </w:pPr>
            <w:r>
              <w:t>2028-02</w:t>
            </w:r>
          </w:p>
        </w:tc>
        <w:tc>
          <w:tcPr>
            <w:tcW w:w="2873" w:type="dxa"/>
            <w:tcMar>
              <w:top w:w="60" w:type="dxa"/>
              <w:start w:w="85" w:type="dxa"/>
              <w:bottom w:w="60" w:type="dxa"/>
              <w:end w:w="85" w:type="dxa"/>
            </w:tcMar>
          </w:tcPr>
          <w:p>
            <w:pPr>
              <w:pStyle w:val="BodyText"/>
              <w:spacing w:before="0" w:after="0" w:line="220" w:lineRule="auto"/>
              <w:jc w:val="right"/>
            </w:pPr>
            <w:r>
              <w:t>7.543</w:t>
            </w:r>
          </w:p>
        </w:tc>
      </w:tr>
    </w:tbl>
    <w:p>
      <w:pPr>
        <w:pStyle w:val="BodyText"/>
      </w:pPr>
      <w:r>
        <w:t>悲观情景持续亏损，不能通过一次补足基准资金预算解决。其预警信号来自Table 17（表17）的教师复用、报价反馈、交付工时和现金检查，应触发收缩费用或重新定位。积极情景也依赖尚未落实的销售与外部增援，不能据此提前承担固定招聘或长期租赁承诺。</w:t>
      </w:r>
    </w:p>
    <w:sectPr w:rsidR="00262744" w:rsidSect="00282B95">
      <w:headerReference w:type="default" r:id="rId21"/>
      <w:footerReference w:type="default" r:id="rId22"/>
      <w:pgSz w:w="11906" w:h="16838" w:code="119"/>
      <w:pgMar w:top="1440" w:right="1440" w:bottom="1440" w:left="1440" w:header="720" w:footer="720" w:gutter="0"/>
      <w:cols w:space="708"/>
      <w:docGrid w:linePitch="360"/>
      <w:vAlign w:val="top"/>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EBE98" w14:textId="77777777" w:rsidR="000C5FB0" w:rsidRDefault="000C5FB0" w:rsidP="00EE566F">
      <w:pPr>
        <w:spacing w:after="0" w:line="240" w:lineRule="auto"/>
      </w:pPr>
      <w:r>
        <w:separator/>
      </w:r>
    </w:p>
  </w:endnote>
  <w:endnote w:type="continuationSeparator" w:id="0">
    <w:p w14:paraId="42B7B3D8" w14:textId="77777777" w:rsidR="000C5FB0" w:rsidRDefault="000C5FB0" w:rsidP="00EE5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Times New Roman (Titres CS)">
    <w:altName w:val="Times New Roman"/>
    <w:charset w:val="00"/>
    <w:family w:val="roman"/>
    <w:pitch w:val="default"/>
  </w:font>
  <w:font w:name="Times New Roman (Corps CS)">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Confidential</w:t>
      <w:tab/>
      <w:t xml:space="preserve">Page </w:t>
    </w:r>
    <w:r>
      <w:fldChar w:fldCharType="begin" w:dirty="true"/>
      <w:instrText xml:space="preserve"> PAGE </w:instrText>
      <w:fldChar w:fldCharType="separate"/>
      <w:t>1</w:t>
      <w:fldChar w:fldCharType="end"/>
    </w:r>
    <w:r>
      <w:t xml:space="preserve"> of </w:t>
    </w:r>
    <w:r>
      <w:fldChar w:fldCharType="begin" w:dirty="true"/>
      <w:instrText xml:space="preserve"> NUMPAGES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CC849" w14:textId="77777777" w:rsidR="000C5FB0" w:rsidRDefault="000C5FB0" w:rsidP="00073EED">
      <w:pPr>
        <w:spacing w:after="0" w:line="240" w:lineRule="auto"/>
      </w:pPr>
      <w:r>
        <w:separator/>
      </w:r>
    </w:p>
  </w:footnote>
  <w:footnote w:type="continuationSeparator" w:id="0">
    <w:p w14:paraId="1103FCD2" w14:textId="77777777" w:rsidR="000C5FB0" w:rsidRDefault="000C5FB0" w:rsidP="00EE566F">
      <w:pPr>
        <w:spacing w:after="0" w:line="240" w:lineRule="auto"/>
      </w:pPr>
      <w:r>
        <w:continuationSeparator/>
      </w:r>
    </w:p>
  </w:footnote>
  <w:footnote w:type="continuationNotice" w:id="1">
    <w:p w14:paraId="5A71241D" w14:textId="77777777" w:rsidR="000C5FB0" w:rsidRDefault="000C5F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Blocky Studio 商业计划书</w:t>
      <w:tab/>
      <w:t>Blocky Studio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208F3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3AE120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8965E06"/>
    <w:lvl w:ilvl="0">
      <w:start w:val="1"/>
      <w:numFmt w:val="decimal"/>
      <w:lvlText w:val="%1."/>
      <w:lvlJc w:val="left"/>
      <w:pPr>
        <w:tabs>
          <w:tab w:val="num" w:pos="926"/>
        </w:tabs>
        <w:ind w:left="926" w:hanging="360"/>
      </w:pPr>
    </w:lvl>
  </w:abstractNum>
  <w:abstractNum w:abstractNumId="3" w15:restartNumberingAfterBreak="0">
    <w:nsid w:val="FFFFFF80"/>
    <w:multiLevelType w:val="singleLevel"/>
    <w:tmpl w:val="1F22E004"/>
    <w:lvl w:ilvl="0">
      <w:start w:val="1"/>
      <w:numFmt w:val="bullet"/>
      <w:pStyle w:val="ListBullet5"/>
      <w:lvlText w:val="&gt;"/>
      <w:lvlJc w:val="left"/>
      <w:pPr>
        <w:ind w:left="1680" w:hanging="360"/>
      </w:pPr>
      <w:rPr>
        <w:rFonts w:ascii="Arial" w:hAnsi="Arial" w:hint="default" w:eastAsia="Arial" w:cs="Arial"/>
      </w:rPr>
    </w:lvl>
  </w:abstractNum>
  <w:abstractNum w:abstractNumId="4" w15:restartNumberingAfterBreak="0">
    <w:nsid w:val="FFFFFF81"/>
    <w:multiLevelType w:val="singleLevel"/>
    <w:tmpl w:val="2EEA221E"/>
    <w:lvl w:ilvl="0">
      <w:start w:val="1"/>
      <w:numFmt w:val="bullet"/>
      <w:pStyle w:val="ListBullet4"/>
      <w:lvlText w:val=""/>
      <w:lvlJc w:val="left"/>
      <w:pPr>
        <w:ind w:left="1200" w:hanging="360"/>
      </w:pPr>
      <w:rPr>
        <w:rFonts w:ascii="Arial" w:hAnsi="Arial" w:hint="default" w:eastAsia="Arial" w:cs="Arial"/>
      </w:rPr>
    </w:lvl>
  </w:abstractNum>
  <w:abstractNum w:abstractNumId="5" w15:restartNumberingAfterBreak="0">
    <w:nsid w:val="FFFFFF82"/>
    <w:multiLevelType w:val="singleLevel"/>
    <w:tmpl w:val="62001A14"/>
    <w:lvl w:ilvl="0">
      <w:start w:val="1"/>
      <w:numFmt w:val="bullet"/>
      <w:pStyle w:val="ListBullet3"/>
      <w:lvlText w:val="—"/>
      <w:lvlJc w:val="left"/>
      <w:pPr>
        <w:ind w:left="1080" w:hanging="360"/>
      </w:pPr>
      <w:rPr>
        <w:rFonts w:ascii="Arial" w:hAnsi="Arial" w:hint="default" w:eastAsia="Arial" w:cs="Arial"/>
      </w:rPr>
    </w:lvl>
  </w:abstractNum>
  <w:abstractNum w:abstractNumId="6" w15:restartNumberingAfterBreak="0">
    <w:nsid w:val="FFFFFF83"/>
    <w:multiLevelType w:val="singleLevel"/>
    <w:tmpl w:val="62968040"/>
    <w:lvl w:ilvl="0">
      <w:start w:val="1"/>
      <w:numFmt w:val="bullet"/>
      <w:pStyle w:val="ListBullet2"/>
      <w:lvlText w:val=""/>
      <w:lvlJc w:val="left"/>
      <w:pPr>
        <w:ind w:left="720" w:hanging="360"/>
      </w:pPr>
      <w:rPr>
        <w:rFonts w:ascii="Arial" w:hAnsi="Arial" w:hint="default" w:eastAsia="Arial" w:cs="Arial"/>
      </w:rPr>
    </w:lvl>
  </w:abstractNum>
  <w:abstractNum w:abstractNumId="7" w15:restartNumberingAfterBreak="0">
    <w:nsid w:val="FFFFFF89"/>
    <w:multiLevelType w:val="singleLevel"/>
    <w:tmpl w:val="57B6658E"/>
    <w:lvl w:ilvl="0">
      <w:start w:val="1"/>
      <w:numFmt w:val="bullet"/>
      <w:pStyle w:val="ListBullet"/>
      <w:lvlText w:val=""/>
      <w:lvlJc w:val="left"/>
      <w:pPr>
        <w:ind w:left="360" w:hanging="360"/>
      </w:pPr>
      <w:rPr>
        <w:rFonts w:ascii="Arial" w:hAnsi="Arial" w:hint="default" w:eastAsia="Arial" w:cs="Arial"/>
      </w:rPr>
    </w:lvl>
  </w:abstractNum>
  <w:abstractNum w:abstractNumId="8" w15:restartNumberingAfterBreak="0">
    <w:nsid w:val="05BE6823"/>
    <w:multiLevelType w:val="hybridMultilevel"/>
    <w:tmpl w:val="CD6C3174"/>
    <w:lvl w:ilvl="0" w:tplc="0C0C000F">
      <w:start w:val="1"/>
      <w:numFmt w:val="decimal"/>
      <w:lvlText w:val="%1."/>
      <w:lvlJc w:val="left"/>
      <w:pPr>
        <w:ind w:left="720" w:hanging="360"/>
      </w:pPr>
      <w:rPr>
        <w:rFonts w:hint="default" w:ascii="Arial" w:hAnsi="Arial" w:eastAsia="Arial" w:cs="Arial"/>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07090EE8"/>
    <w:multiLevelType w:val="multilevel"/>
    <w:tmpl w:val="381298E0"/>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0" w15:restartNumberingAfterBreak="0">
    <w:nsid w:val="08683BAE"/>
    <w:multiLevelType w:val="hybridMultilevel"/>
    <w:tmpl w:val="77A8F5C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1" w15:restartNumberingAfterBreak="0">
    <w:nsid w:val="0A56275A"/>
    <w:multiLevelType w:val="hybridMultilevel"/>
    <w:tmpl w:val="D9562FC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2" w15:restartNumberingAfterBreak="0">
    <w:nsid w:val="0C5F44D4"/>
    <w:multiLevelType w:val="hybridMultilevel"/>
    <w:tmpl w:val="7710320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3" w15:restartNumberingAfterBreak="0">
    <w:nsid w:val="15C548C0"/>
    <w:multiLevelType w:val="multilevel"/>
    <w:tmpl w:val="5452691C"/>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4" w15:restartNumberingAfterBreak="0">
    <w:nsid w:val="19A50147"/>
    <w:multiLevelType w:val="hybridMultilevel"/>
    <w:tmpl w:val="3A38E7B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5" w15:restartNumberingAfterBreak="0">
    <w:nsid w:val="21D35815"/>
    <w:multiLevelType w:val="hybridMultilevel"/>
    <w:tmpl w:val="E23CA978"/>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6" w15:restartNumberingAfterBreak="0">
    <w:nsid w:val="22292F65"/>
    <w:multiLevelType w:val="hybridMultilevel"/>
    <w:tmpl w:val="0806205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7" w15:restartNumberingAfterBreak="0">
    <w:nsid w:val="2707661E"/>
    <w:multiLevelType w:val="hybridMultilevel"/>
    <w:tmpl w:val="CB68DC3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8" w15:restartNumberingAfterBreak="0">
    <w:nsid w:val="28725F57"/>
    <w:multiLevelType w:val="multilevel"/>
    <w:tmpl w:val="0C0C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2C15693D"/>
    <w:multiLevelType w:val="hybridMultilevel"/>
    <w:tmpl w:val="3CC60978"/>
    <w:lvl w:ilvl="0" w:tplc="0C0C0001">
      <w:start w:val="1"/>
      <w:numFmt w:val="bullet"/>
      <w:lvlText w:val=""/>
      <w:lvlJc w:val="left"/>
      <w:pPr>
        <w:ind w:left="720" w:hanging="360"/>
      </w:pPr>
      <w:rPr>
        <w:rFonts w:ascii="Arial" w:hAnsi="Arial" w:hint="default" w:eastAsia="Arial" w:cs="Arial"/>
      </w:rPr>
    </w:lvl>
    <w:lvl w:ilvl="1" w:tplc="0C0C0003" w:tentative="1">
      <w:start w:val="1"/>
      <w:numFmt w:val="bullet"/>
      <w:lvlText w:val="o"/>
      <w:lvlJc w:val="left"/>
      <w:pPr>
        <w:ind w:left="1440" w:hanging="360"/>
      </w:pPr>
      <w:rPr>
        <w:rFonts w:ascii="Arial" w:hAnsi="Arial" w:cs="Arial" w:hint="default" w:eastAsia="Arial"/>
      </w:rPr>
    </w:lvl>
    <w:lvl w:ilvl="2" w:tplc="0C0C0005" w:tentative="1">
      <w:start w:val="1"/>
      <w:numFmt w:val="bullet"/>
      <w:lvlText w:val=""/>
      <w:lvlJc w:val="left"/>
      <w:pPr>
        <w:ind w:left="2160" w:hanging="360"/>
      </w:pPr>
      <w:rPr>
        <w:rFonts w:ascii="Arial" w:hAnsi="Arial" w:hint="default" w:eastAsia="Arial" w:cs="Arial"/>
      </w:rPr>
    </w:lvl>
    <w:lvl w:ilvl="3" w:tplc="0C0C0001" w:tentative="1">
      <w:start w:val="1"/>
      <w:numFmt w:val="bullet"/>
      <w:lvlText w:val=""/>
      <w:lvlJc w:val="left"/>
      <w:pPr>
        <w:ind w:left="2880" w:hanging="360"/>
      </w:pPr>
      <w:rPr>
        <w:rFonts w:ascii="Arial" w:hAnsi="Arial" w:hint="default" w:eastAsia="Arial" w:cs="Arial"/>
      </w:rPr>
    </w:lvl>
    <w:lvl w:ilvl="4" w:tplc="0C0C0003" w:tentative="1">
      <w:start w:val="1"/>
      <w:numFmt w:val="bullet"/>
      <w:lvlText w:val="o"/>
      <w:lvlJc w:val="left"/>
      <w:pPr>
        <w:ind w:left="3600" w:hanging="360"/>
      </w:pPr>
      <w:rPr>
        <w:rFonts w:ascii="Arial" w:hAnsi="Arial" w:cs="Arial" w:hint="default" w:eastAsia="Arial"/>
      </w:rPr>
    </w:lvl>
    <w:lvl w:ilvl="5" w:tplc="0C0C0005" w:tentative="1">
      <w:start w:val="1"/>
      <w:numFmt w:val="bullet"/>
      <w:lvlText w:val=""/>
      <w:lvlJc w:val="left"/>
      <w:pPr>
        <w:ind w:left="4320" w:hanging="360"/>
      </w:pPr>
      <w:rPr>
        <w:rFonts w:ascii="Arial" w:hAnsi="Arial" w:hint="default" w:eastAsia="Arial" w:cs="Arial"/>
      </w:rPr>
    </w:lvl>
    <w:lvl w:ilvl="6" w:tplc="0C0C0001" w:tentative="1">
      <w:start w:val="1"/>
      <w:numFmt w:val="bullet"/>
      <w:lvlText w:val=""/>
      <w:lvlJc w:val="left"/>
      <w:pPr>
        <w:ind w:left="5040" w:hanging="360"/>
      </w:pPr>
      <w:rPr>
        <w:rFonts w:ascii="Arial" w:hAnsi="Arial" w:hint="default" w:eastAsia="Arial" w:cs="Arial"/>
      </w:rPr>
    </w:lvl>
    <w:lvl w:ilvl="7" w:tplc="0C0C0003" w:tentative="1">
      <w:start w:val="1"/>
      <w:numFmt w:val="bullet"/>
      <w:lvlText w:val="o"/>
      <w:lvlJc w:val="left"/>
      <w:pPr>
        <w:ind w:left="5760" w:hanging="360"/>
      </w:pPr>
      <w:rPr>
        <w:rFonts w:ascii="Arial" w:hAnsi="Arial" w:cs="Arial" w:hint="default" w:eastAsia="Arial"/>
      </w:rPr>
    </w:lvl>
    <w:lvl w:ilvl="8" w:tplc="0C0C0005" w:tentative="1">
      <w:start w:val="1"/>
      <w:numFmt w:val="bullet"/>
      <w:lvlText w:val=""/>
      <w:lvlJc w:val="left"/>
      <w:pPr>
        <w:ind w:left="6480" w:hanging="360"/>
      </w:pPr>
      <w:rPr>
        <w:rFonts w:ascii="Arial" w:hAnsi="Arial" w:hint="default" w:eastAsia="Arial" w:cs="Arial"/>
      </w:rPr>
    </w:lvl>
  </w:abstractNum>
  <w:abstractNum w:abstractNumId="20" w15:restartNumberingAfterBreak="0">
    <w:nsid w:val="301976A5"/>
    <w:multiLevelType w:val="multilevel"/>
    <w:tmpl w:val="AF782DA6"/>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1" w15:restartNumberingAfterBreak="0">
    <w:nsid w:val="32D559ED"/>
    <w:multiLevelType w:val="multilevel"/>
    <w:tmpl w:val="50D46C0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2" w15:restartNumberingAfterBreak="0">
    <w:nsid w:val="34525CF3"/>
    <w:multiLevelType w:val="multilevel"/>
    <w:tmpl w:val="47C0203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3" w15:restartNumberingAfterBreak="0">
    <w:nsid w:val="387D4998"/>
    <w:multiLevelType w:val="hybridMultilevel"/>
    <w:tmpl w:val="1A407A8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4" w15:restartNumberingAfterBreak="0">
    <w:nsid w:val="398279B3"/>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F1227E"/>
    <w:multiLevelType w:val="hybridMultilevel"/>
    <w:tmpl w:val="A05467C0"/>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6" w15:restartNumberingAfterBreak="0">
    <w:nsid w:val="411333B3"/>
    <w:multiLevelType w:val="multilevel"/>
    <w:tmpl w:val="0AA47778"/>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7" w15:restartNumberingAfterBreak="0">
    <w:nsid w:val="455043B3"/>
    <w:multiLevelType w:val="hybridMultilevel"/>
    <w:tmpl w:val="E5FCB492"/>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8" w15:restartNumberingAfterBreak="0">
    <w:nsid w:val="49046329"/>
    <w:multiLevelType w:val="hybridMultilevel"/>
    <w:tmpl w:val="C6F6424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9" w15:restartNumberingAfterBreak="0">
    <w:nsid w:val="4DB56325"/>
    <w:multiLevelType w:val="hybridMultilevel"/>
    <w:tmpl w:val="BDAC28D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0" w15:restartNumberingAfterBreak="0">
    <w:nsid w:val="533F6E04"/>
    <w:multiLevelType w:val="hybridMultilevel"/>
    <w:tmpl w:val="A2DC4DB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1" w15:restartNumberingAfterBreak="0">
    <w:nsid w:val="54DF4358"/>
    <w:multiLevelType w:val="hybridMultilevel"/>
    <w:tmpl w:val="AAE45700"/>
    <w:lvl w:ilvl="0" w:tplc="326CC1A8">
      <w:start w:val="1"/>
      <w:numFmt w:val="bullet"/>
      <w:lvlText w:val=""/>
      <w:lvlJc w:val="left"/>
      <w:pPr>
        <w:ind w:left="720" w:hanging="360"/>
      </w:pPr>
      <w:rPr>
        <w:rFonts w:ascii="Arial" w:hAnsi="Arial" w:hint="default" w:eastAsia="Arial" w:cs="Arial"/>
      </w:rPr>
    </w:lvl>
    <w:lvl w:ilvl="1" w:tplc="BD061A38" w:tentative="1">
      <w:start w:val="1"/>
      <w:numFmt w:val="bullet"/>
      <w:lvlText w:val="o"/>
      <w:lvlJc w:val="left"/>
      <w:pPr>
        <w:ind w:left="1440" w:hanging="360"/>
      </w:pPr>
      <w:rPr>
        <w:rFonts w:ascii="Arial" w:hAnsi="Arial" w:cs="Arial" w:hint="default" w:eastAsia="Arial"/>
      </w:rPr>
    </w:lvl>
    <w:lvl w:ilvl="2" w:tplc="52FE4A46" w:tentative="1">
      <w:start w:val="1"/>
      <w:numFmt w:val="bullet"/>
      <w:lvlText w:val=""/>
      <w:lvlJc w:val="left"/>
      <w:pPr>
        <w:ind w:left="2160" w:hanging="360"/>
      </w:pPr>
      <w:rPr>
        <w:rFonts w:ascii="Arial" w:hAnsi="Arial" w:hint="default" w:eastAsia="Arial" w:cs="Arial"/>
      </w:rPr>
    </w:lvl>
    <w:lvl w:ilvl="3" w:tplc="DE3AE390" w:tentative="1">
      <w:start w:val="1"/>
      <w:numFmt w:val="bullet"/>
      <w:lvlText w:val=""/>
      <w:lvlJc w:val="left"/>
      <w:pPr>
        <w:ind w:left="2880" w:hanging="360"/>
      </w:pPr>
      <w:rPr>
        <w:rFonts w:ascii="Arial" w:hAnsi="Arial" w:hint="default" w:eastAsia="Arial" w:cs="Arial"/>
      </w:rPr>
    </w:lvl>
    <w:lvl w:ilvl="4" w:tplc="AD6CA7FC" w:tentative="1">
      <w:start w:val="1"/>
      <w:numFmt w:val="bullet"/>
      <w:lvlText w:val="o"/>
      <w:lvlJc w:val="left"/>
      <w:pPr>
        <w:ind w:left="3600" w:hanging="360"/>
      </w:pPr>
      <w:rPr>
        <w:rFonts w:ascii="Arial" w:hAnsi="Arial" w:cs="Arial" w:hint="default" w:eastAsia="Arial"/>
      </w:rPr>
    </w:lvl>
    <w:lvl w:ilvl="5" w:tplc="F920DC96" w:tentative="1">
      <w:start w:val="1"/>
      <w:numFmt w:val="bullet"/>
      <w:lvlText w:val=""/>
      <w:lvlJc w:val="left"/>
      <w:pPr>
        <w:ind w:left="4320" w:hanging="360"/>
      </w:pPr>
      <w:rPr>
        <w:rFonts w:ascii="Arial" w:hAnsi="Arial" w:hint="default" w:eastAsia="Arial" w:cs="Arial"/>
      </w:rPr>
    </w:lvl>
    <w:lvl w:ilvl="6" w:tplc="EA009F46" w:tentative="1">
      <w:start w:val="1"/>
      <w:numFmt w:val="bullet"/>
      <w:lvlText w:val=""/>
      <w:lvlJc w:val="left"/>
      <w:pPr>
        <w:ind w:left="5040" w:hanging="360"/>
      </w:pPr>
      <w:rPr>
        <w:rFonts w:ascii="Arial" w:hAnsi="Arial" w:hint="default" w:eastAsia="Arial" w:cs="Arial"/>
      </w:rPr>
    </w:lvl>
    <w:lvl w:ilvl="7" w:tplc="A6E89774" w:tentative="1">
      <w:start w:val="1"/>
      <w:numFmt w:val="bullet"/>
      <w:lvlText w:val="o"/>
      <w:lvlJc w:val="left"/>
      <w:pPr>
        <w:ind w:left="5760" w:hanging="360"/>
      </w:pPr>
      <w:rPr>
        <w:rFonts w:ascii="Arial" w:hAnsi="Arial" w:cs="Arial" w:hint="default" w:eastAsia="Arial"/>
      </w:rPr>
    </w:lvl>
    <w:lvl w:ilvl="8" w:tplc="BDBC6C52" w:tentative="1">
      <w:start w:val="1"/>
      <w:numFmt w:val="bullet"/>
      <w:lvlText w:val=""/>
      <w:lvlJc w:val="left"/>
      <w:pPr>
        <w:ind w:left="6480" w:hanging="360"/>
      </w:pPr>
      <w:rPr>
        <w:rFonts w:ascii="Arial" w:hAnsi="Arial" w:hint="default" w:eastAsia="Arial" w:cs="Arial"/>
      </w:rPr>
    </w:lvl>
  </w:abstractNum>
  <w:abstractNum w:abstractNumId="32" w15:restartNumberingAfterBreak="0">
    <w:nsid w:val="55B6778A"/>
    <w:multiLevelType w:val="multilevel"/>
    <w:tmpl w:val="0444E1B2"/>
    <w:name w:val="BDC numbered list"/>
    <w:lvl w:ilvl="0">
      <w:start w:val="1"/>
      <w:numFmt w:val="decimal"/>
      <w:pStyle w:val="ListNumber"/>
      <w:lvlText w:val="%1."/>
      <w:lvlJc w:val="left"/>
      <w:pPr>
        <w:tabs>
          <w:tab w:val="num" w:pos="360"/>
        </w:tabs>
        <w:ind w:left="360" w:hanging="360"/>
      </w:pPr>
      <w:rPr>
        <w:rFonts w:hint="default" w:ascii="Arial" w:hAnsi="Arial" w:eastAsia="Arial" w:cs="Arial"/>
        <w:b/>
        <w:i w:val="0"/>
      </w:rPr>
    </w:lvl>
    <w:lvl w:ilvl="1">
      <w:start w:val="1"/>
      <w:numFmt w:val="decimal"/>
      <w:pStyle w:val="ListNumber2"/>
      <w:lvlText w:val="%1.%2."/>
      <w:lvlJc w:val="left"/>
      <w:pPr>
        <w:tabs>
          <w:tab w:val="num" w:pos="840"/>
        </w:tabs>
        <w:ind w:left="840" w:hanging="480"/>
      </w:pPr>
      <w:rPr>
        <w:rFonts w:hint="default" w:ascii="Arial" w:hAnsi="Arial" w:eastAsia="Arial" w:cs="Arial"/>
      </w:rPr>
    </w:lvl>
    <w:lvl w:ilvl="2">
      <w:start w:val="1"/>
      <w:numFmt w:val="decimal"/>
      <w:pStyle w:val="ListNumber3"/>
      <w:lvlText w:val="%1.%2.%3."/>
      <w:lvlJc w:val="left"/>
      <w:pPr>
        <w:tabs>
          <w:tab w:val="num" w:pos="1440"/>
        </w:tabs>
        <w:ind w:left="1440" w:hanging="600"/>
      </w:pPr>
      <w:rPr>
        <w:rFonts w:hint="default" w:ascii="Arial" w:hAnsi="Arial" w:eastAsia="Arial" w:cs="Arial"/>
      </w:rPr>
    </w:lvl>
    <w:lvl w:ilvl="3">
      <w:start w:val="1"/>
      <w:numFmt w:val="decimal"/>
      <w:pStyle w:val="ListNumber4"/>
      <w:lvlText w:val="%1.%2.%3.%4."/>
      <w:lvlJc w:val="left"/>
      <w:pPr>
        <w:tabs>
          <w:tab w:val="num" w:pos="2220"/>
        </w:tabs>
        <w:ind w:left="2220" w:hanging="78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3" w15:restartNumberingAfterBreak="0">
    <w:nsid w:val="67B00D43"/>
    <w:multiLevelType w:val="hybridMultilevel"/>
    <w:tmpl w:val="879E2AB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4" w15:restartNumberingAfterBreak="0">
    <w:nsid w:val="6A533DB0"/>
    <w:multiLevelType w:val="multilevel"/>
    <w:tmpl w:val="E7AC55C6"/>
    <w:lvl w:ilvl="0">
      <w:start w:val="1"/>
      <w:numFmt w:val="decimal"/>
      <w:lvlText w:val="%1."/>
      <w:lvlJc w:val="left"/>
      <w:pPr>
        <w:ind w:left="360" w:hanging="360"/>
      </w:pPr>
      <w:rPr>
        <w:rFonts w:hint="default" w:ascii="Arial" w:hAnsi="Arial" w:eastAsia="Arial" w:cs="Arial"/>
        <w:b/>
        <w:i w:val="0"/>
      </w:rPr>
    </w:lvl>
    <w:lvl w:ilvl="1">
      <w:start w:val="1"/>
      <w:numFmt w:val="decimal"/>
      <w:lvlText w:val="%1.%2."/>
      <w:lvlJc w:val="left"/>
      <w:pPr>
        <w:ind w:left="720" w:hanging="360"/>
      </w:pPr>
      <w:rPr>
        <w:rFonts w:hint="default" w:ascii="Arial" w:hAnsi="Arial" w:eastAsia="Arial" w:cs="Arial"/>
      </w:rPr>
    </w:lvl>
    <w:lvl w:ilvl="2">
      <w:start w:val="1"/>
      <w:numFmt w:val="decimal"/>
      <w:lvlText w:val="%1.%2.%3."/>
      <w:lvlJc w:val="left"/>
      <w:pPr>
        <w:ind w:left="1080" w:hanging="360"/>
      </w:pPr>
      <w:rPr>
        <w:rFonts w:hint="default" w:ascii="Arial" w:hAnsi="Arial" w:eastAsia="Arial" w:cs="Arial"/>
      </w:rPr>
    </w:lvl>
    <w:lvl w:ilvl="3">
      <w:start w:val="1"/>
      <w:numFmt w:val="decimal"/>
      <w:lvlText w:val="%1.%2.%3.%4."/>
      <w:lvlJc w:val="left"/>
      <w:pPr>
        <w:ind w:left="1440" w:hanging="36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5" w15:restartNumberingAfterBreak="0">
    <w:nsid w:val="76A67D71"/>
    <w:multiLevelType w:val="multilevel"/>
    <w:tmpl w:val="743A6532"/>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36" w15:restartNumberingAfterBreak="0">
    <w:nsid w:val="76D22729"/>
    <w:multiLevelType w:val="hybridMultilevel"/>
    <w:tmpl w:val="CFD25C5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7" w15:restartNumberingAfterBreak="0">
    <w:nsid w:val="7A0C7209"/>
    <w:multiLevelType w:val="hybridMultilevel"/>
    <w:tmpl w:val="3C14421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8" w15:restartNumberingAfterBreak="0">
    <w:nsid w:val="7D6A29DE"/>
    <w:multiLevelType w:val="hybridMultilevel"/>
    <w:tmpl w:val="B69E725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num w:numId="1" w16cid:durableId="885069769">
    <w:abstractNumId w:val="24"/>
  </w:num>
  <w:num w:numId="2" w16cid:durableId="1059330783">
    <w:abstractNumId w:val="18"/>
  </w:num>
  <w:num w:numId="3" w16cid:durableId="624778531">
    <w:abstractNumId w:val="2"/>
  </w:num>
  <w:num w:numId="4" w16cid:durableId="1125345696">
    <w:abstractNumId w:val="1"/>
  </w:num>
  <w:num w:numId="5" w16cid:durableId="346835815">
    <w:abstractNumId w:val="0"/>
  </w:num>
  <w:num w:numId="6" w16cid:durableId="59254994">
    <w:abstractNumId w:val="7"/>
  </w:num>
  <w:num w:numId="7" w16cid:durableId="1349988208">
    <w:abstractNumId w:val="6"/>
  </w:num>
  <w:num w:numId="8" w16cid:durableId="1446923792">
    <w:abstractNumId w:val="5"/>
  </w:num>
  <w:num w:numId="9" w16cid:durableId="805704830">
    <w:abstractNumId w:val="4"/>
  </w:num>
  <w:num w:numId="10" w16cid:durableId="251625013">
    <w:abstractNumId w:val="3"/>
  </w:num>
  <w:num w:numId="11" w16cid:durableId="279607779">
    <w:abstractNumId w:val="31"/>
  </w:num>
  <w:num w:numId="12" w16cid:durableId="302004554">
    <w:abstractNumId w:val="34"/>
  </w:num>
  <w:num w:numId="13" w16cid:durableId="1579553183">
    <w:abstractNumId w:val="32"/>
  </w:num>
  <w:num w:numId="14" w16cid:durableId="75716023">
    <w:abstractNumId w:val="19"/>
  </w:num>
  <w:num w:numId="15" w16cid:durableId="272790154">
    <w:abstractNumId w:val="29"/>
  </w:num>
  <w:num w:numId="16" w16cid:durableId="1474056973">
    <w:abstractNumId w:val="37"/>
  </w:num>
  <w:num w:numId="17" w16cid:durableId="1085303947">
    <w:abstractNumId w:val="33"/>
  </w:num>
  <w:num w:numId="18" w16cid:durableId="2101640717">
    <w:abstractNumId w:val="11"/>
  </w:num>
  <w:num w:numId="19" w16cid:durableId="197548614">
    <w:abstractNumId w:val="16"/>
  </w:num>
  <w:num w:numId="20" w16cid:durableId="297877984">
    <w:abstractNumId w:val="27"/>
  </w:num>
  <w:num w:numId="21" w16cid:durableId="643193045">
    <w:abstractNumId w:val="17"/>
  </w:num>
  <w:num w:numId="22" w16cid:durableId="1849830962">
    <w:abstractNumId w:val="30"/>
  </w:num>
  <w:num w:numId="23" w16cid:durableId="297422055">
    <w:abstractNumId w:val="23"/>
  </w:num>
  <w:num w:numId="24" w16cid:durableId="1575818704">
    <w:abstractNumId w:val="12"/>
  </w:num>
  <w:num w:numId="25" w16cid:durableId="2076513308">
    <w:abstractNumId w:val="28"/>
  </w:num>
  <w:num w:numId="26" w16cid:durableId="678429846">
    <w:abstractNumId w:val="38"/>
  </w:num>
  <w:num w:numId="27" w16cid:durableId="806048573">
    <w:abstractNumId w:val="25"/>
  </w:num>
  <w:num w:numId="28" w16cid:durableId="1114592716">
    <w:abstractNumId w:val="14"/>
  </w:num>
  <w:num w:numId="29" w16cid:durableId="1648707548">
    <w:abstractNumId w:val="10"/>
  </w:num>
  <w:num w:numId="30" w16cid:durableId="1334726026">
    <w:abstractNumId w:val="15"/>
  </w:num>
  <w:num w:numId="31" w16cid:durableId="2051025173">
    <w:abstractNumId w:val="36"/>
  </w:num>
  <w:num w:numId="32" w16cid:durableId="639266897">
    <w:abstractNumId w:val="8"/>
  </w:num>
  <w:num w:numId="33" w16cid:durableId="1267807463">
    <w:abstractNumId w:val="32"/>
  </w:num>
  <w:num w:numId="34" w16cid:durableId="2044675424">
    <w:abstractNumId w:val="13"/>
  </w:num>
  <w:num w:numId="35" w16cid:durableId="1443066280">
    <w:abstractNumId w:val="20"/>
  </w:num>
  <w:num w:numId="36" w16cid:durableId="697898850">
    <w:abstractNumId w:val="9"/>
  </w:num>
  <w:num w:numId="37" w16cid:durableId="412774510">
    <w:abstractNumId w:val="21"/>
  </w:num>
  <w:num w:numId="38" w16cid:durableId="1312251424">
    <w:abstractNumId w:val="35"/>
  </w:num>
  <w:num w:numId="39" w16cid:durableId="1738092998">
    <w:abstractNumId w:val="26"/>
  </w:num>
  <w:num w:numId="40" w16cid:durableId="20573145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displayBackgroundShape/>
  <w:hideSpelling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lickAndTypeStyle w:val="BodyText"/>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2ED"/>
    <w:rsid w:val="0000491C"/>
    <w:rsid w:val="00005433"/>
    <w:rsid w:val="00016748"/>
    <w:rsid w:val="000225DD"/>
    <w:rsid w:val="0003049B"/>
    <w:rsid w:val="00033B08"/>
    <w:rsid w:val="00035CB5"/>
    <w:rsid w:val="00040C19"/>
    <w:rsid w:val="000420C1"/>
    <w:rsid w:val="00050A47"/>
    <w:rsid w:val="0005164C"/>
    <w:rsid w:val="00057F72"/>
    <w:rsid w:val="00063E5D"/>
    <w:rsid w:val="000647D8"/>
    <w:rsid w:val="00064EB2"/>
    <w:rsid w:val="00065C0C"/>
    <w:rsid w:val="00067481"/>
    <w:rsid w:val="00067C16"/>
    <w:rsid w:val="000702E3"/>
    <w:rsid w:val="00073EED"/>
    <w:rsid w:val="00077444"/>
    <w:rsid w:val="00090547"/>
    <w:rsid w:val="00094D4D"/>
    <w:rsid w:val="00095A37"/>
    <w:rsid w:val="00096358"/>
    <w:rsid w:val="00097CA1"/>
    <w:rsid w:val="000A76D5"/>
    <w:rsid w:val="000B4395"/>
    <w:rsid w:val="000B6521"/>
    <w:rsid w:val="000C2EAB"/>
    <w:rsid w:val="000C5801"/>
    <w:rsid w:val="000C5FB0"/>
    <w:rsid w:val="000D5CD0"/>
    <w:rsid w:val="000E2E0D"/>
    <w:rsid w:val="000E3277"/>
    <w:rsid w:val="000E5A77"/>
    <w:rsid w:val="000E639C"/>
    <w:rsid w:val="000E6C10"/>
    <w:rsid w:val="000E7E52"/>
    <w:rsid w:val="000F4C69"/>
    <w:rsid w:val="000F7F3F"/>
    <w:rsid w:val="00100052"/>
    <w:rsid w:val="00100601"/>
    <w:rsid w:val="001026E3"/>
    <w:rsid w:val="00102EF0"/>
    <w:rsid w:val="0011081C"/>
    <w:rsid w:val="001109EA"/>
    <w:rsid w:val="00111D9A"/>
    <w:rsid w:val="0011244C"/>
    <w:rsid w:val="00120BDA"/>
    <w:rsid w:val="00125D02"/>
    <w:rsid w:val="00127E87"/>
    <w:rsid w:val="00133D35"/>
    <w:rsid w:val="001364D6"/>
    <w:rsid w:val="00137E3E"/>
    <w:rsid w:val="00142B2A"/>
    <w:rsid w:val="00144C55"/>
    <w:rsid w:val="00147A72"/>
    <w:rsid w:val="001562C7"/>
    <w:rsid w:val="001576A9"/>
    <w:rsid w:val="001636BC"/>
    <w:rsid w:val="00171D52"/>
    <w:rsid w:val="001727B6"/>
    <w:rsid w:val="00173CB8"/>
    <w:rsid w:val="001822D1"/>
    <w:rsid w:val="00186879"/>
    <w:rsid w:val="0018768B"/>
    <w:rsid w:val="00196FB5"/>
    <w:rsid w:val="001A54B0"/>
    <w:rsid w:val="001A7D80"/>
    <w:rsid w:val="001B5732"/>
    <w:rsid w:val="001C0BD2"/>
    <w:rsid w:val="001C5EC7"/>
    <w:rsid w:val="001C66A2"/>
    <w:rsid w:val="001D3DE2"/>
    <w:rsid w:val="001D6E97"/>
    <w:rsid w:val="001E3FA8"/>
    <w:rsid w:val="001F6EE7"/>
    <w:rsid w:val="00200C67"/>
    <w:rsid w:val="002100DC"/>
    <w:rsid w:val="00211CEF"/>
    <w:rsid w:val="002128B1"/>
    <w:rsid w:val="00217007"/>
    <w:rsid w:val="002172A4"/>
    <w:rsid w:val="0023512D"/>
    <w:rsid w:val="00240B48"/>
    <w:rsid w:val="00242661"/>
    <w:rsid w:val="00255392"/>
    <w:rsid w:val="00260D87"/>
    <w:rsid w:val="00262744"/>
    <w:rsid w:val="00274164"/>
    <w:rsid w:val="00276F1F"/>
    <w:rsid w:val="00282B95"/>
    <w:rsid w:val="00294DE1"/>
    <w:rsid w:val="002A6CBC"/>
    <w:rsid w:val="002B029A"/>
    <w:rsid w:val="002B10A5"/>
    <w:rsid w:val="002B1EE9"/>
    <w:rsid w:val="002C24E7"/>
    <w:rsid w:val="002C618E"/>
    <w:rsid w:val="002D2A5D"/>
    <w:rsid w:val="002D396E"/>
    <w:rsid w:val="002D4E83"/>
    <w:rsid w:val="002D70C9"/>
    <w:rsid w:val="002E24EB"/>
    <w:rsid w:val="002E3842"/>
    <w:rsid w:val="002E7A5E"/>
    <w:rsid w:val="002F0A78"/>
    <w:rsid w:val="002F16F6"/>
    <w:rsid w:val="002F44CA"/>
    <w:rsid w:val="002F5C4F"/>
    <w:rsid w:val="003047A5"/>
    <w:rsid w:val="00332720"/>
    <w:rsid w:val="003447A3"/>
    <w:rsid w:val="00362350"/>
    <w:rsid w:val="00363768"/>
    <w:rsid w:val="00365872"/>
    <w:rsid w:val="003663F8"/>
    <w:rsid w:val="00371FE2"/>
    <w:rsid w:val="0037256A"/>
    <w:rsid w:val="0037421D"/>
    <w:rsid w:val="00374476"/>
    <w:rsid w:val="00384B47"/>
    <w:rsid w:val="00392C4E"/>
    <w:rsid w:val="00393275"/>
    <w:rsid w:val="00394ED5"/>
    <w:rsid w:val="00395935"/>
    <w:rsid w:val="0039597D"/>
    <w:rsid w:val="003965FD"/>
    <w:rsid w:val="00397F0D"/>
    <w:rsid w:val="003A05B6"/>
    <w:rsid w:val="003A188A"/>
    <w:rsid w:val="003A3FFD"/>
    <w:rsid w:val="003A4BD5"/>
    <w:rsid w:val="003A79F6"/>
    <w:rsid w:val="003B3C6C"/>
    <w:rsid w:val="003B6B3A"/>
    <w:rsid w:val="003D4AF2"/>
    <w:rsid w:val="003D5135"/>
    <w:rsid w:val="003E04E3"/>
    <w:rsid w:val="003F0136"/>
    <w:rsid w:val="003F1137"/>
    <w:rsid w:val="003F24A9"/>
    <w:rsid w:val="00401ADF"/>
    <w:rsid w:val="00404798"/>
    <w:rsid w:val="004135A4"/>
    <w:rsid w:val="00421A6F"/>
    <w:rsid w:val="004301F5"/>
    <w:rsid w:val="00433AD3"/>
    <w:rsid w:val="00435F79"/>
    <w:rsid w:val="0044091F"/>
    <w:rsid w:val="004451F9"/>
    <w:rsid w:val="00453E3A"/>
    <w:rsid w:val="00462D93"/>
    <w:rsid w:val="004770CA"/>
    <w:rsid w:val="004827F1"/>
    <w:rsid w:val="004852F1"/>
    <w:rsid w:val="00490F53"/>
    <w:rsid w:val="0049383E"/>
    <w:rsid w:val="0049408F"/>
    <w:rsid w:val="00494A5B"/>
    <w:rsid w:val="004A292F"/>
    <w:rsid w:val="004A63A8"/>
    <w:rsid w:val="004A740F"/>
    <w:rsid w:val="004B2235"/>
    <w:rsid w:val="004C0A4D"/>
    <w:rsid w:val="004C174F"/>
    <w:rsid w:val="004C402B"/>
    <w:rsid w:val="004C4D43"/>
    <w:rsid w:val="004D48BD"/>
    <w:rsid w:val="004D59A6"/>
    <w:rsid w:val="004E41BC"/>
    <w:rsid w:val="004F1E7F"/>
    <w:rsid w:val="004F4257"/>
    <w:rsid w:val="004F7BD9"/>
    <w:rsid w:val="005017E8"/>
    <w:rsid w:val="005030F9"/>
    <w:rsid w:val="00503492"/>
    <w:rsid w:val="005042DE"/>
    <w:rsid w:val="00510F27"/>
    <w:rsid w:val="00511F71"/>
    <w:rsid w:val="00516C77"/>
    <w:rsid w:val="0052161C"/>
    <w:rsid w:val="00525E19"/>
    <w:rsid w:val="00526007"/>
    <w:rsid w:val="0052748A"/>
    <w:rsid w:val="005302EA"/>
    <w:rsid w:val="00530DD2"/>
    <w:rsid w:val="00533CC4"/>
    <w:rsid w:val="005429A3"/>
    <w:rsid w:val="00543590"/>
    <w:rsid w:val="00555C19"/>
    <w:rsid w:val="005567C6"/>
    <w:rsid w:val="00556995"/>
    <w:rsid w:val="00556DC6"/>
    <w:rsid w:val="00565912"/>
    <w:rsid w:val="00565EE2"/>
    <w:rsid w:val="00575A53"/>
    <w:rsid w:val="00576996"/>
    <w:rsid w:val="00576D31"/>
    <w:rsid w:val="005843BD"/>
    <w:rsid w:val="00587FD8"/>
    <w:rsid w:val="0059630F"/>
    <w:rsid w:val="005A7906"/>
    <w:rsid w:val="005A7D46"/>
    <w:rsid w:val="005B76D0"/>
    <w:rsid w:val="005C285C"/>
    <w:rsid w:val="005C35BF"/>
    <w:rsid w:val="005C4273"/>
    <w:rsid w:val="005C4E2D"/>
    <w:rsid w:val="005D71B4"/>
    <w:rsid w:val="005D795E"/>
    <w:rsid w:val="005E083F"/>
    <w:rsid w:val="005E429A"/>
    <w:rsid w:val="005E79B3"/>
    <w:rsid w:val="005F2DB2"/>
    <w:rsid w:val="005F4513"/>
    <w:rsid w:val="005F7968"/>
    <w:rsid w:val="00600315"/>
    <w:rsid w:val="00601391"/>
    <w:rsid w:val="00604514"/>
    <w:rsid w:val="006107F8"/>
    <w:rsid w:val="00612267"/>
    <w:rsid w:val="00614F3F"/>
    <w:rsid w:val="006162C6"/>
    <w:rsid w:val="0062022E"/>
    <w:rsid w:val="00621E53"/>
    <w:rsid w:val="006231B6"/>
    <w:rsid w:val="00623870"/>
    <w:rsid w:val="00623943"/>
    <w:rsid w:val="00627D83"/>
    <w:rsid w:val="006302E6"/>
    <w:rsid w:val="00633BD1"/>
    <w:rsid w:val="00656F1C"/>
    <w:rsid w:val="00667AB6"/>
    <w:rsid w:val="00671AAD"/>
    <w:rsid w:val="00676A3B"/>
    <w:rsid w:val="00682153"/>
    <w:rsid w:val="00684B13"/>
    <w:rsid w:val="00686E7C"/>
    <w:rsid w:val="00693A43"/>
    <w:rsid w:val="006963BC"/>
    <w:rsid w:val="006A1169"/>
    <w:rsid w:val="006A71BA"/>
    <w:rsid w:val="006B4153"/>
    <w:rsid w:val="006B549F"/>
    <w:rsid w:val="006B73BE"/>
    <w:rsid w:val="006B7A9E"/>
    <w:rsid w:val="006C02ED"/>
    <w:rsid w:val="006C6453"/>
    <w:rsid w:val="006D24AF"/>
    <w:rsid w:val="006D3B4A"/>
    <w:rsid w:val="006D568B"/>
    <w:rsid w:val="006D6E7A"/>
    <w:rsid w:val="006E0D64"/>
    <w:rsid w:val="006E2EBC"/>
    <w:rsid w:val="006E7631"/>
    <w:rsid w:val="006F3057"/>
    <w:rsid w:val="006F6D40"/>
    <w:rsid w:val="007018E0"/>
    <w:rsid w:val="00702BE8"/>
    <w:rsid w:val="0070382D"/>
    <w:rsid w:val="00711B2F"/>
    <w:rsid w:val="00713838"/>
    <w:rsid w:val="0071496C"/>
    <w:rsid w:val="00716E6A"/>
    <w:rsid w:val="0072361A"/>
    <w:rsid w:val="007245CA"/>
    <w:rsid w:val="007326A3"/>
    <w:rsid w:val="00735B37"/>
    <w:rsid w:val="00736201"/>
    <w:rsid w:val="00743581"/>
    <w:rsid w:val="00744339"/>
    <w:rsid w:val="0074637B"/>
    <w:rsid w:val="00750845"/>
    <w:rsid w:val="007525CF"/>
    <w:rsid w:val="007548DA"/>
    <w:rsid w:val="00761C58"/>
    <w:rsid w:val="00767DC4"/>
    <w:rsid w:val="00771C4D"/>
    <w:rsid w:val="0079378B"/>
    <w:rsid w:val="00796131"/>
    <w:rsid w:val="0079701E"/>
    <w:rsid w:val="007A266C"/>
    <w:rsid w:val="007A2C9B"/>
    <w:rsid w:val="007A3CAB"/>
    <w:rsid w:val="007A4326"/>
    <w:rsid w:val="007A754F"/>
    <w:rsid w:val="007C5F25"/>
    <w:rsid w:val="007C75EE"/>
    <w:rsid w:val="007E1F84"/>
    <w:rsid w:val="007E256C"/>
    <w:rsid w:val="007E2DD1"/>
    <w:rsid w:val="007E5576"/>
    <w:rsid w:val="007F030E"/>
    <w:rsid w:val="00800C94"/>
    <w:rsid w:val="00800F9E"/>
    <w:rsid w:val="0080342E"/>
    <w:rsid w:val="00805F9E"/>
    <w:rsid w:val="0081668B"/>
    <w:rsid w:val="00821C21"/>
    <w:rsid w:val="0082319B"/>
    <w:rsid w:val="0084335D"/>
    <w:rsid w:val="008445A1"/>
    <w:rsid w:val="00844C83"/>
    <w:rsid w:val="00855ED7"/>
    <w:rsid w:val="00856BE9"/>
    <w:rsid w:val="00856CDF"/>
    <w:rsid w:val="00856DDF"/>
    <w:rsid w:val="00866A15"/>
    <w:rsid w:val="008710AB"/>
    <w:rsid w:val="0087160F"/>
    <w:rsid w:val="00873D07"/>
    <w:rsid w:val="00876427"/>
    <w:rsid w:val="00876953"/>
    <w:rsid w:val="00880295"/>
    <w:rsid w:val="008810FF"/>
    <w:rsid w:val="0088250B"/>
    <w:rsid w:val="00883988"/>
    <w:rsid w:val="00883E90"/>
    <w:rsid w:val="008840FE"/>
    <w:rsid w:val="00885610"/>
    <w:rsid w:val="00891088"/>
    <w:rsid w:val="00891148"/>
    <w:rsid w:val="0089163E"/>
    <w:rsid w:val="00895538"/>
    <w:rsid w:val="008A0441"/>
    <w:rsid w:val="008A3A47"/>
    <w:rsid w:val="008A5709"/>
    <w:rsid w:val="008B0755"/>
    <w:rsid w:val="008B3870"/>
    <w:rsid w:val="008C21CA"/>
    <w:rsid w:val="008C317F"/>
    <w:rsid w:val="008C34C7"/>
    <w:rsid w:val="008D005C"/>
    <w:rsid w:val="008D049C"/>
    <w:rsid w:val="008D7E33"/>
    <w:rsid w:val="008E293F"/>
    <w:rsid w:val="008E3528"/>
    <w:rsid w:val="008E56F6"/>
    <w:rsid w:val="008F44AD"/>
    <w:rsid w:val="00905B2D"/>
    <w:rsid w:val="00912588"/>
    <w:rsid w:val="00915470"/>
    <w:rsid w:val="00917DFA"/>
    <w:rsid w:val="009210B0"/>
    <w:rsid w:val="00921BF4"/>
    <w:rsid w:val="009255B9"/>
    <w:rsid w:val="00925D7D"/>
    <w:rsid w:val="0092773B"/>
    <w:rsid w:val="00930758"/>
    <w:rsid w:val="00941DFD"/>
    <w:rsid w:val="00943AD2"/>
    <w:rsid w:val="009477D0"/>
    <w:rsid w:val="00951ABB"/>
    <w:rsid w:val="0095523C"/>
    <w:rsid w:val="009675D1"/>
    <w:rsid w:val="009705A4"/>
    <w:rsid w:val="00973DF3"/>
    <w:rsid w:val="009747C8"/>
    <w:rsid w:val="0097523B"/>
    <w:rsid w:val="0097755B"/>
    <w:rsid w:val="00983F4D"/>
    <w:rsid w:val="009847C9"/>
    <w:rsid w:val="009917BF"/>
    <w:rsid w:val="009969DD"/>
    <w:rsid w:val="009A38AD"/>
    <w:rsid w:val="009B443E"/>
    <w:rsid w:val="009B7494"/>
    <w:rsid w:val="009C3F8A"/>
    <w:rsid w:val="009D44C1"/>
    <w:rsid w:val="009E0506"/>
    <w:rsid w:val="009E4E48"/>
    <w:rsid w:val="009F7E00"/>
    <w:rsid w:val="00A03EB4"/>
    <w:rsid w:val="00A06AAC"/>
    <w:rsid w:val="00A075F4"/>
    <w:rsid w:val="00A12FEB"/>
    <w:rsid w:val="00A1734E"/>
    <w:rsid w:val="00A22CB8"/>
    <w:rsid w:val="00A34DC8"/>
    <w:rsid w:val="00A45A71"/>
    <w:rsid w:val="00A474F4"/>
    <w:rsid w:val="00A50D08"/>
    <w:rsid w:val="00A5111B"/>
    <w:rsid w:val="00A63928"/>
    <w:rsid w:val="00A710B8"/>
    <w:rsid w:val="00A74261"/>
    <w:rsid w:val="00A76E8C"/>
    <w:rsid w:val="00A84CD7"/>
    <w:rsid w:val="00AA2B94"/>
    <w:rsid w:val="00AA3DAD"/>
    <w:rsid w:val="00AA5D09"/>
    <w:rsid w:val="00AA68B4"/>
    <w:rsid w:val="00AA70CA"/>
    <w:rsid w:val="00AB3906"/>
    <w:rsid w:val="00AB40A5"/>
    <w:rsid w:val="00AB5EDA"/>
    <w:rsid w:val="00AD1279"/>
    <w:rsid w:val="00AD4490"/>
    <w:rsid w:val="00AD668E"/>
    <w:rsid w:val="00AE5738"/>
    <w:rsid w:val="00AF30CD"/>
    <w:rsid w:val="00AF34EA"/>
    <w:rsid w:val="00AF41F9"/>
    <w:rsid w:val="00AF536E"/>
    <w:rsid w:val="00B00C83"/>
    <w:rsid w:val="00B0294E"/>
    <w:rsid w:val="00B042F9"/>
    <w:rsid w:val="00B07685"/>
    <w:rsid w:val="00B079F5"/>
    <w:rsid w:val="00B202E1"/>
    <w:rsid w:val="00B23272"/>
    <w:rsid w:val="00B24140"/>
    <w:rsid w:val="00B3366D"/>
    <w:rsid w:val="00B33CFA"/>
    <w:rsid w:val="00B4595A"/>
    <w:rsid w:val="00B5791F"/>
    <w:rsid w:val="00B60115"/>
    <w:rsid w:val="00B621B1"/>
    <w:rsid w:val="00B740FD"/>
    <w:rsid w:val="00B74BD0"/>
    <w:rsid w:val="00B74DBA"/>
    <w:rsid w:val="00B766DA"/>
    <w:rsid w:val="00B775CB"/>
    <w:rsid w:val="00B848F9"/>
    <w:rsid w:val="00B94E92"/>
    <w:rsid w:val="00B9765E"/>
    <w:rsid w:val="00BA5022"/>
    <w:rsid w:val="00BA7AA4"/>
    <w:rsid w:val="00BB4729"/>
    <w:rsid w:val="00BF0D2A"/>
    <w:rsid w:val="00BF12CC"/>
    <w:rsid w:val="00BF283B"/>
    <w:rsid w:val="00BF2DF1"/>
    <w:rsid w:val="00BF3ABE"/>
    <w:rsid w:val="00BF7562"/>
    <w:rsid w:val="00BF7659"/>
    <w:rsid w:val="00C04615"/>
    <w:rsid w:val="00C07D52"/>
    <w:rsid w:val="00C07FD4"/>
    <w:rsid w:val="00C10179"/>
    <w:rsid w:val="00C14E89"/>
    <w:rsid w:val="00C1565C"/>
    <w:rsid w:val="00C17AFD"/>
    <w:rsid w:val="00C20064"/>
    <w:rsid w:val="00C249D9"/>
    <w:rsid w:val="00C33106"/>
    <w:rsid w:val="00C337FE"/>
    <w:rsid w:val="00C33905"/>
    <w:rsid w:val="00C35B85"/>
    <w:rsid w:val="00C35D57"/>
    <w:rsid w:val="00C36146"/>
    <w:rsid w:val="00C465FA"/>
    <w:rsid w:val="00C56DD3"/>
    <w:rsid w:val="00C63E78"/>
    <w:rsid w:val="00C65929"/>
    <w:rsid w:val="00C77F7B"/>
    <w:rsid w:val="00C822D2"/>
    <w:rsid w:val="00C86783"/>
    <w:rsid w:val="00C92191"/>
    <w:rsid w:val="00C946D4"/>
    <w:rsid w:val="00C9505C"/>
    <w:rsid w:val="00CA0B58"/>
    <w:rsid w:val="00CA4274"/>
    <w:rsid w:val="00CA43DF"/>
    <w:rsid w:val="00CA6733"/>
    <w:rsid w:val="00CA6B1C"/>
    <w:rsid w:val="00CA7325"/>
    <w:rsid w:val="00CA73CB"/>
    <w:rsid w:val="00CB57F8"/>
    <w:rsid w:val="00CC239D"/>
    <w:rsid w:val="00CD4ECF"/>
    <w:rsid w:val="00CE4121"/>
    <w:rsid w:val="00CE49F4"/>
    <w:rsid w:val="00CF20F2"/>
    <w:rsid w:val="00CF3F52"/>
    <w:rsid w:val="00CF64F7"/>
    <w:rsid w:val="00D0222C"/>
    <w:rsid w:val="00D0266D"/>
    <w:rsid w:val="00D03FA0"/>
    <w:rsid w:val="00D04CCD"/>
    <w:rsid w:val="00D10DB3"/>
    <w:rsid w:val="00D111BD"/>
    <w:rsid w:val="00D16F2C"/>
    <w:rsid w:val="00D2695D"/>
    <w:rsid w:val="00D26FAF"/>
    <w:rsid w:val="00D2731C"/>
    <w:rsid w:val="00D30D1A"/>
    <w:rsid w:val="00D3121F"/>
    <w:rsid w:val="00D327B9"/>
    <w:rsid w:val="00D37B5C"/>
    <w:rsid w:val="00D466AA"/>
    <w:rsid w:val="00D547C7"/>
    <w:rsid w:val="00D5718D"/>
    <w:rsid w:val="00D66B9F"/>
    <w:rsid w:val="00D70183"/>
    <w:rsid w:val="00D7045B"/>
    <w:rsid w:val="00D71D1C"/>
    <w:rsid w:val="00D80553"/>
    <w:rsid w:val="00D83FD7"/>
    <w:rsid w:val="00D866BA"/>
    <w:rsid w:val="00D92620"/>
    <w:rsid w:val="00D944D2"/>
    <w:rsid w:val="00D95D3F"/>
    <w:rsid w:val="00D96726"/>
    <w:rsid w:val="00D975F2"/>
    <w:rsid w:val="00DB56EB"/>
    <w:rsid w:val="00DC10DE"/>
    <w:rsid w:val="00DC24A5"/>
    <w:rsid w:val="00DC4BE5"/>
    <w:rsid w:val="00DD3BAB"/>
    <w:rsid w:val="00DE1604"/>
    <w:rsid w:val="00DE2AED"/>
    <w:rsid w:val="00DE3C08"/>
    <w:rsid w:val="00DE69A8"/>
    <w:rsid w:val="00DF4579"/>
    <w:rsid w:val="00DF6E50"/>
    <w:rsid w:val="00E0033A"/>
    <w:rsid w:val="00E14928"/>
    <w:rsid w:val="00E151B1"/>
    <w:rsid w:val="00E17EE9"/>
    <w:rsid w:val="00E23D12"/>
    <w:rsid w:val="00E332D8"/>
    <w:rsid w:val="00E362F5"/>
    <w:rsid w:val="00E3764C"/>
    <w:rsid w:val="00E46662"/>
    <w:rsid w:val="00E503CE"/>
    <w:rsid w:val="00E505D0"/>
    <w:rsid w:val="00E5071B"/>
    <w:rsid w:val="00E67177"/>
    <w:rsid w:val="00E81551"/>
    <w:rsid w:val="00E8797C"/>
    <w:rsid w:val="00E91588"/>
    <w:rsid w:val="00E91A21"/>
    <w:rsid w:val="00E925C4"/>
    <w:rsid w:val="00E92D81"/>
    <w:rsid w:val="00E95836"/>
    <w:rsid w:val="00EA4131"/>
    <w:rsid w:val="00EA4211"/>
    <w:rsid w:val="00EA48CD"/>
    <w:rsid w:val="00EC7374"/>
    <w:rsid w:val="00EC7B55"/>
    <w:rsid w:val="00ED4DCE"/>
    <w:rsid w:val="00EE1FC8"/>
    <w:rsid w:val="00EE46BF"/>
    <w:rsid w:val="00EE566F"/>
    <w:rsid w:val="00EE5AA6"/>
    <w:rsid w:val="00EE71B0"/>
    <w:rsid w:val="00EF1A7E"/>
    <w:rsid w:val="00EF24FD"/>
    <w:rsid w:val="00F1083D"/>
    <w:rsid w:val="00F10E40"/>
    <w:rsid w:val="00F172F4"/>
    <w:rsid w:val="00F17D89"/>
    <w:rsid w:val="00F21F89"/>
    <w:rsid w:val="00F22B40"/>
    <w:rsid w:val="00F23D13"/>
    <w:rsid w:val="00F23EE4"/>
    <w:rsid w:val="00F3179D"/>
    <w:rsid w:val="00F3334E"/>
    <w:rsid w:val="00F354AF"/>
    <w:rsid w:val="00F379F2"/>
    <w:rsid w:val="00F43112"/>
    <w:rsid w:val="00F43CCA"/>
    <w:rsid w:val="00F60EEF"/>
    <w:rsid w:val="00F62592"/>
    <w:rsid w:val="00F644DC"/>
    <w:rsid w:val="00F7611E"/>
    <w:rsid w:val="00F80BFB"/>
    <w:rsid w:val="00F83A21"/>
    <w:rsid w:val="00F84E21"/>
    <w:rsid w:val="00FA284E"/>
    <w:rsid w:val="00FA2883"/>
    <w:rsid w:val="00FA5E14"/>
    <w:rsid w:val="00FB7C3D"/>
    <w:rsid w:val="00FB7FA2"/>
    <w:rsid w:val="00FD7300"/>
    <w:rsid w:val="00FE4442"/>
    <w:rsid w:val="00FF56CB"/>
    <w:rsid w:val="00FF6BD0"/>
    <w:rsid w:val="00FF7543"/>
  </w:rsids>
  <m:mathPr>
    <m:mathFont m:val="Cambria Math"/>
    <m:brkBin m:val="before"/>
    <m:brkBinSub m:val="--"/>
    <m:smallFrac m:val="0"/>
    <m:dispDef/>
    <m:lMargin m:val="0"/>
    <m:rMargin m:val="0"/>
    <m:defJc m:val="centerGroup"/>
    <m:wrapIndent m:val="1440"/>
    <m:intLim m:val="subSup"/>
    <m:naryLim m:val="undOvr"/>
  </m:mathPr>
  <w:themeFontLang w:val="fr-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7380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cstheme="minorBidi" w:ascii="Noto Sans SC" w:hAnsi="Noto Sans SC" w:eastAsia="Noto Sans SC" w:cs="Noto Sans SC"/>
        <w:lang w:val="zh-CN" w:eastAsia="zh-CN" w:bidi="ar-SA"/>
      </w:rPr>
    </w:rPrDefault>
    <w:pPrDefault>
      <w:pPr>
        <w:spacing w:after="12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68B4"/>
    <w:pPr>
      <w:keepNext w:val="0"/>
      <w:widowControl/>
      <w:spacing w:lineRule="auto" w:line="276" w:after="120" w:before="0"/>
    </w:pPr>
    <w:rPr>
      <w:rFonts w:ascii="Noto Sans SC" w:hAnsi="Noto Sans SC" w:eastAsia="Noto Sans SC" w:cs="Noto Sans SC"/>
      <w:b w:val="0"/>
      <w:i w:val="0"/>
      <w:sz w:val="22"/>
    </w:rPr>
  </w:style>
  <w:style w:type="paragraph" w:styleId="Heading1">
    <w:name w:val="heading 1"/>
    <w:basedOn w:val="Normal"/>
    <w:next w:val="BodyText"/>
    <w:link w:val="Heading1Char"/>
    <w:uiPriority w:val="9"/>
    <w:qFormat/>
    <w:rsid w:val="00943AD2"/>
    <w:pPr>
      <w:keepNext/>
      <w:keepLines/>
      <w:widowControl/>
      <w:spacing w:before="180" w:after="120" w:lineRule="auto" w:line="276"/>
      <w:outlineLvl w:val="0"/>
    </w:pPr>
    <w:rPr>
      <w:rFonts w:cstheme="majorBidi" w:ascii="Noto Sans SC" w:hAnsi="Noto Sans SC" w:eastAsia="Noto Sans SC" w:cs="Noto Sans SC"/>
      <w:b/>
      <w:i w:val="0"/>
      <w:sz w:val="32"/>
      <w:szCs w:val="32"/>
    </w:rPr>
  </w:style>
  <w:style w:type="paragraph" w:styleId="Heading2">
    <w:name w:val="heading 2"/>
    <w:basedOn w:val="Normal"/>
    <w:next w:val="BodyText"/>
    <w:link w:val="Heading2Char"/>
    <w:uiPriority w:val="9"/>
    <w:unhideWhenUsed/>
    <w:qFormat/>
    <w:rsid w:val="00094D4D"/>
    <w:pPr>
      <w:keepNext/>
      <w:keepLines/>
      <w:widowControl/>
      <w:spacing w:before="180" w:after="120" w:lineRule="auto" w:line="276"/>
      <w:outlineLvl w:val="1"/>
    </w:pPr>
    <w:rPr>
      <w:rFonts w:cstheme="majorBidi" w:ascii="Noto Sans SC" w:hAnsi="Noto Sans SC" w:eastAsia="Noto Sans SC" w:cs="Noto Sans SC"/>
      <w:b/>
      <w:i w:val="0"/>
      <w:sz w:val="26"/>
      <w:szCs w:val="26"/>
    </w:rPr>
  </w:style>
  <w:style w:type="paragraph" w:styleId="Heading3">
    <w:name w:val="heading 3"/>
    <w:basedOn w:val="Normal"/>
    <w:next w:val="BodyText"/>
    <w:link w:val="Heading3Char"/>
    <w:uiPriority w:val="9"/>
    <w:unhideWhenUsed/>
    <w:qFormat/>
    <w:rsid w:val="0049408F"/>
    <w:pPr>
      <w:keepNext/>
      <w:keepLines/>
      <w:widowControl/>
      <w:spacing w:before="180" w:lineRule="auto" w:line="276" w:after="120"/>
      <w:outlineLvl w:val="2"/>
    </w:pPr>
    <w:rPr>
      <w:rFonts w:cstheme="majorBidi" w:ascii="Noto Sans SC" w:hAnsi="Noto Sans SC" w:eastAsia="Noto Sans SC" w:cs="Noto Sans SC"/>
      <w:b/>
      <w:i w:val="0"/>
      <w:sz w:val="22"/>
      <w:szCs w:val="24"/>
    </w:rPr>
  </w:style>
  <w:style w:type="paragraph" w:styleId="Heading4">
    <w:name w:val="heading 4"/>
    <w:aliases w:val="Titre 4 - Notes"/>
    <w:basedOn w:val="Normal"/>
    <w:next w:val="BodyText"/>
    <w:link w:val="Heading4Char"/>
    <w:uiPriority w:val="9"/>
    <w:unhideWhenUsed/>
    <w:qFormat/>
    <w:rsid w:val="007C75EE"/>
    <w:pPr>
      <w:keepNext/>
      <w:keepLines/>
      <w:spacing w:before="240" w:after="0"/>
      <w:outlineLvl w:val="3"/>
    </w:pPr>
    <w:rPr>
      <w:rFonts w:cs="Noto Sans SC" w:ascii="Noto Sans SC" w:hAnsi="Noto Sans SC" w:eastAsia="Noto Sans SC"/>
      <w:b/>
      <w:iCs/>
    </w:rPr>
  </w:style>
  <w:style w:type="paragraph" w:styleId="Heading5">
    <w:name w:val="heading 5"/>
    <w:basedOn w:val="Normal"/>
    <w:next w:val="BodyText"/>
    <w:link w:val="Heading5Char"/>
    <w:uiPriority w:val="9"/>
    <w:unhideWhenUsed/>
    <w:qFormat/>
    <w:rsid w:val="0049408F"/>
    <w:pPr>
      <w:keepNext/>
      <w:keepLines/>
      <w:spacing w:before="240" w:after="0"/>
      <w:outlineLvl w:val="4"/>
    </w:pPr>
    <w:rPr>
      <w:rFonts w:cstheme="majorBidi" w:ascii="Noto Sans SC" w:hAnsi="Noto Sans SC" w:eastAsia="Noto Sans SC" w:cs="Noto Sans SC"/>
      <w:u w:val="single"/>
    </w:rPr>
  </w:style>
  <w:style w:type="paragraph" w:styleId="Heading6">
    <w:name w:val="heading 6"/>
    <w:basedOn w:val="Normal"/>
    <w:next w:val="BodyText"/>
    <w:link w:val="Heading6Char"/>
    <w:uiPriority w:val="9"/>
    <w:unhideWhenUsed/>
    <w:qFormat/>
    <w:rsid w:val="00397F0D"/>
    <w:pPr>
      <w:keepNext/>
      <w:keepLines/>
      <w:spacing w:before="240" w:after="0"/>
      <w:outlineLvl w:val="5"/>
    </w:pPr>
    <w:rPr>
      <w:rFonts w:cstheme="majorBidi" w:ascii="Noto Sans SC" w:hAnsi="Noto Sans SC" w:eastAsia="Noto Sans SC" w:cs="Noto Sans SC"/>
      <w:i/>
    </w:rPr>
  </w:style>
  <w:style w:type="paragraph" w:styleId="Heading9">
    <w:name w:val="heading 9"/>
    <w:basedOn w:val="Normal"/>
    <w:next w:val="Normal"/>
    <w:link w:val="Heading9Char"/>
    <w:uiPriority w:val="9"/>
    <w:semiHidden/>
    <w:unhideWhenUsed/>
    <w:qFormat/>
    <w:rsid w:val="008810FF"/>
    <w:pPr>
      <w:keepNext/>
      <w:keepLines/>
      <w:spacing w:before="40"/>
      <w:outlineLvl w:val="8"/>
    </w:pPr>
    <w:rPr>
      <w:rFonts w:cstheme="majorBidi" w:ascii="Noto Sans SC" w:hAnsi="Noto Sans SC" w:eastAsia="Noto Sans SC" w:cs="Noto Sans SC"/>
      <w:i/>
      <w:iCs/>
      <w:sz w:val="21"/>
      <w:szCs w:val="21"/>
    </w:rPr>
  </w:style>
  <w:style w:type="character" w:default="1" w:styleId="DefaultParagraphFont">
    <w:name w:val="Default Paragraph Font"/>
    <w:uiPriority w:val="1"/>
    <w:semiHidden/>
    <w:unhideWhenUsed/>
    <w:rPr>
      <w:rFonts w:ascii="Noto Sans SC" w:hAnsi="Noto Sans SC" w:eastAsia="Noto Sans SC" w:cs="Noto Sans SC"/>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Noto Sans SC" w:hAnsi="Noto Sans SC" w:eastAsia="Noto Sans SC" w:cs="Noto Sans SC"/>
    </w:rPr>
  </w:style>
  <w:style w:type="numbering" w:default="1" w:styleId="NoList">
    <w:name w:val="No List"/>
    <w:uiPriority w:val="99"/>
    <w:semiHidden/>
    <w:unhideWhenUsed/>
    <w:rPr>
      <w:rFonts w:ascii="Noto Sans SC" w:hAnsi="Noto Sans SC" w:eastAsia="Noto Sans SC" w:cs="Noto Sans SC"/>
    </w:rPr>
  </w:style>
  <w:style w:type="paragraph" w:styleId="BodyText">
    <w:name w:val="Body Text"/>
    <w:basedOn w:val="Normal"/>
    <w:link w:val="BodyTextChar"/>
    <w:qFormat/>
    <w:rsid w:val="00BF283B"/>
    <w:pPr>
      <w:keepNext w:val="0"/>
      <w:widowControl/>
      <w:spacing w:lineRule="auto" w:line="276" w:after="120" w:before="0"/>
    </w:pPr>
    <w:rPr>
      <w:rFonts w:ascii="Noto Sans SC" w:hAnsi="Noto Sans SC" w:eastAsia="Noto Sans SC" w:cs="Noto Sans SC"/>
      <w:b w:val="0"/>
      <w:i w:val="0"/>
      <w:sz w:val="22"/>
    </w:rPr>
  </w:style>
  <w:style w:type="character" w:customStyle="1" w:styleId="BodyTextChar">
    <w:name w:val="Body Text Char"/>
    <w:basedOn w:val="DefaultParagraphFont"/>
    <w:link w:val="BodyText"/>
    <w:rsid w:val="000B6521"/>
    <w:rPr>
      <w:rFonts w:ascii="Noto Sans SC" w:hAnsi="Noto Sans SC" w:eastAsia="Noto Sans SC" w:cs="Noto Sans SC"/>
      <w:lang w:val="en-CA"/>
    </w:rPr>
  </w:style>
  <w:style w:type="paragraph" w:styleId="BodyText2">
    <w:name w:val="Body Text 2"/>
    <w:basedOn w:val="BodyText"/>
    <w:next w:val="BodyText"/>
    <w:link w:val="BodyText2Char"/>
    <w:unhideWhenUsed/>
    <w:rsid w:val="007C5F25"/>
    <w:pPr>
      <w:spacing w:before="240"/>
    </w:pPr>
    <w:rPr>
      <w:rFonts w:ascii="Noto Sans SC" w:hAnsi="Noto Sans SC" w:eastAsia="Noto Sans SC" w:cs="Noto Sans SC"/>
    </w:rPr>
  </w:style>
  <w:style w:type="character" w:customStyle="1" w:styleId="BodyText2Char">
    <w:name w:val="Body Text 2 Char"/>
    <w:basedOn w:val="DefaultParagraphFont"/>
    <w:link w:val="BodyText2"/>
    <w:rsid w:val="000B6521"/>
    <w:rPr>
      <w:rFonts w:ascii="Noto Sans SC" w:hAnsi="Noto Sans SC" w:eastAsia="Noto Sans SC" w:cs="Noto Sans SC"/>
      <w:lang w:val="en-CA"/>
    </w:rPr>
  </w:style>
  <w:style w:type="paragraph" w:styleId="BodyText3">
    <w:name w:val="Body Text 3"/>
    <w:basedOn w:val="Normal"/>
    <w:link w:val="BodyText3Char"/>
    <w:unhideWhenUsed/>
    <w:rsid w:val="00490F53"/>
    <w:rPr>
      <w:rFonts w:ascii="Noto Sans SC" w:hAnsi="Noto Sans SC" w:eastAsia="Noto Sans SC" w:cs="Noto Sans SC"/>
      <w:sz w:val="16"/>
      <w:szCs w:val="16"/>
    </w:rPr>
  </w:style>
  <w:style w:type="character" w:customStyle="1" w:styleId="BodyText3Char">
    <w:name w:val="Body Text 3 Char"/>
    <w:basedOn w:val="DefaultParagraphFont"/>
    <w:link w:val="BodyText3"/>
    <w:rsid w:val="000B6521"/>
    <w:rPr>
      <w:rFonts w:ascii="Noto Sans SC" w:hAnsi="Noto Sans SC" w:eastAsia="Noto Sans SC" w:cs="Noto Sans SC"/>
      <w:sz w:val="16"/>
      <w:szCs w:val="16"/>
      <w:lang w:val="en-CA"/>
    </w:rPr>
  </w:style>
  <w:style w:type="character" w:customStyle="1" w:styleId="Heading1Char">
    <w:name w:val="Heading 1 Char"/>
    <w:basedOn w:val="DefaultParagraphFont"/>
    <w:link w:val="Heading1"/>
    <w:uiPriority w:val="9"/>
    <w:rsid w:val="00943AD2"/>
    <w:rPr>
      <w:rFonts w:cstheme="majorBidi" w:ascii="Noto Sans SC" w:hAnsi="Noto Sans SC" w:eastAsia="Noto Sans SC" w:cs="Noto Sans SC"/>
      <w:b/>
      <w:sz w:val="68"/>
      <w:szCs w:val="32"/>
    </w:rPr>
  </w:style>
  <w:style w:type="character" w:customStyle="1" w:styleId="Heading2Char">
    <w:name w:val="Heading 2 Char"/>
    <w:basedOn w:val="DefaultParagraphFont"/>
    <w:link w:val="Heading2"/>
    <w:uiPriority w:val="9"/>
    <w:rsid w:val="00094D4D"/>
    <w:rPr>
      <w:rFonts w:cstheme="majorBidi" w:ascii="Noto Sans SC" w:hAnsi="Noto Sans SC" w:eastAsia="Noto Sans SC" w:cs="Noto Sans SC"/>
      <w:b/>
      <w:sz w:val="36"/>
      <w:szCs w:val="26"/>
    </w:rPr>
  </w:style>
  <w:style w:type="character" w:customStyle="1" w:styleId="Heading3Char">
    <w:name w:val="Heading 3 Char"/>
    <w:basedOn w:val="DefaultParagraphFont"/>
    <w:link w:val="Heading3"/>
    <w:uiPriority w:val="9"/>
    <w:rsid w:val="0049408F"/>
    <w:rPr>
      <w:rFonts w:cstheme="majorBidi" w:ascii="Noto Sans SC" w:hAnsi="Noto Sans SC" w:eastAsia="Noto Sans SC" w:cs="Noto Sans SC"/>
      <w:b/>
      <w:sz w:val="26"/>
      <w:szCs w:val="24"/>
    </w:rPr>
  </w:style>
  <w:style w:type="character" w:customStyle="1" w:styleId="Heading4Char">
    <w:name w:val="Heading 4 Char"/>
    <w:aliases w:val="Titre 4 - Notes Char"/>
    <w:basedOn w:val="DefaultParagraphFont"/>
    <w:link w:val="Heading4"/>
    <w:uiPriority w:val="9"/>
    <w:rsid w:val="007C75EE"/>
    <w:rPr>
      <w:rFonts w:cs="Noto Sans SC" w:ascii="Noto Sans SC" w:hAnsi="Noto Sans SC" w:eastAsia="Noto Sans SC"/>
      <w:b/>
      <w:iCs/>
    </w:rPr>
  </w:style>
  <w:style w:type="character" w:customStyle="1" w:styleId="Heading5Char">
    <w:name w:val="Heading 5 Char"/>
    <w:basedOn w:val="DefaultParagraphFont"/>
    <w:link w:val="Heading5"/>
    <w:uiPriority w:val="9"/>
    <w:rsid w:val="0049408F"/>
    <w:rPr>
      <w:rFonts w:cstheme="majorBidi" w:ascii="Noto Sans SC" w:hAnsi="Noto Sans SC" w:eastAsia="Noto Sans SC" w:cs="Noto Sans SC"/>
      <w:sz w:val="20"/>
      <w:u w:val="single"/>
    </w:rPr>
  </w:style>
  <w:style w:type="paragraph" w:styleId="ListBullet">
    <w:name w:val="List Bullet"/>
    <w:basedOn w:val="BodyText"/>
    <w:uiPriority w:val="99"/>
    <w:unhideWhenUsed/>
    <w:rsid w:val="008E293F"/>
    <w:pPr>
      <w:numPr>
        <w:numId w:val="6"/>
      </w:numPr>
    </w:pPr>
    <w:rPr>
      <w:rFonts w:ascii="Noto Sans SC" w:hAnsi="Noto Sans SC" w:eastAsia="Noto Sans SC" w:cs="Noto Sans SC"/>
    </w:rPr>
  </w:style>
  <w:style w:type="paragraph" w:styleId="Header">
    <w:name w:val="header"/>
    <w:basedOn w:val="Normal"/>
    <w:link w:val="HeaderChar"/>
    <w:uiPriority w:val="99"/>
    <w:unhideWhenUsed/>
    <w:rsid w:val="00EE566F"/>
    <w:pPr>
      <w:keepNext w:val="0"/>
      <w:widowControl/>
      <w:tabs>
        <w:tab w:pos="9026" w:val="right"/>
      </w:tabs>
      <w:spacing w:after="120" w:line="276" w:lineRule="auto" w:before="0"/>
    </w:pPr>
    <w:rPr>
      <w:rFonts w:ascii="Noto Sans SC" w:hAnsi="Noto Sans SC" w:eastAsia="Noto Sans SC" w:cs="Noto Sans SC"/>
      <w:b w:val="0"/>
      <w:i w:val="0"/>
      <w:sz w:val="18"/>
    </w:rPr>
  </w:style>
  <w:style w:type="character" w:customStyle="1" w:styleId="HeaderChar">
    <w:name w:val="Header Char"/>
    <w:basedOn w:val="DefaultParagraphFont"/>
    <w:link w:val="Header"/>
    <w:uiPriority w:val="99"/>
    <w:rsid w:val="00EE566F"/>
    <w:rPr>
      <w:rFonts w:ascii="Noto Sans SC" w:hAnsi="Noto Sans SC" w:eastAsia="Noto Sans SC" w:cs="Noto Sans SC"/>
    </w:rPr>
  </w:style>
  <w:style w:type="paragraph" w:styleId="Footer">
    <w:name w:val="footer"/>
    <w:basedOn w:val="Normal"/>
    <w:link w:val="FooterChar"/>
    <w:uiPriority w:val="99"/>
    <w:unhideWhenUsed/>
    <w:rsid w:val="00EC7B55"/>
    <w:pPr>
      <w:keepNext w:val="0"/>
      <w:widowControl/>
      <w:tabs>
        <w:tab w:pos="9026" w:val="right"/>
      </w:tabs>
      <w:spacing w:before="0" w:after="120" w:line="276" w:lineRule="auto"/>
    </w:pPr>
    <w:rPr>
      <w:rFonts w:ascii="Noto Sans SC" w:hAnsi="Noto Sans SC" w:eastAsia="Noto Sans SC" w:cs="Noto Sans SC"/>
      <w:b w:val="0"/>
      <w:i w:val="0"/>
      <w:sz w:val="18"/>
    </w:rPr>
  </w:style>
  <w:style w:type="character" w:customStyle="1" w:styleId="FooterChar">
    <w:name w:val="Footer Char"/>
    <w:basedOn w:val="DefaultParagraphFont"/>
    <w:link w:val="Footer"/>
    <w:uiPriority w:val="99"/>
    <w:rsid w:val="00EC7B55"/>
    <w:rPr>
      <w:rFonts w:ascii="Noto Sans SC" w:hAnsi="Noto Sans SC" w:eastAsia="Noto Sans SC" w:cs="Noto Sans SC"/>
      <w:sz w:val="16"/>
    </w:rPr>
  </w:style>
  <w:style w:type="paragraph" w:styleId="ListBullet2">
    <w:name w:val="List Bullet 2"/>
    <w:basedOn w:val="BodyText"/>
    <w:uiPriority w:val="99"/>
    <w:unhideWhenUsed/>
    <w:rsid w:val="005F4513"/>
    <w:pPr>
      <w:numPr>
        <w:numId w:val="7"/>
      </w:numPr>
      <w:contextualSpacing/>
    </w:pPr>
    <w:rPr>
      <w:rFonts w:ascii="Noto Sans SC" w:hAnsi="Noto Sans SC" w:eastAsia="Noto Sans SC" w:cs="Noto Sans SC"/>
    </w:rPr>
  </w:style>
  <w:style w:type="paragraph" w:styleId="ListBullet3">
    <w:name w:val="List Bullet 3"/>
    <w:basedOn w:val="BodyText"/>
    <w:uiPriority w:val="99"/>
    <w:unhideWhenUsed/>
    <w:qFormat/>
    <w:rsid w:val="00891148"/>
    <w:pPr>
      <w:numPr>
        <w:numId w:val="8"/>
      </w:numPr>
      <w:contextualSpacing/>
    </w:pPr>
    <w:rPr>
      <w:rFonts w:ascii="Noto Sans SC" w:hAnsi="Noto Sans SC" w:eastAsia="Noto Sans SC" w:cs="Noto Sans SC"/>
    </w:rPr>
  </w:style>
  <w:style w:type="paragraph" w:styleId="ListBullet4">
    <w:name w:val="List Bullet 4"/>
    <w:basedOn w:val="BodyText"/>
    <w:uiPriority w:val="99"/>
    <w:unhideWhenUsed/>
    <w:qFormat/>
    <w:rsid w:val="00D80553"/>
    <w:pPr>
      <w:numPr>
        <w:numId w:val="9"/>
      </w:numPr>
      <w:ind w:left="240" w:hanging="240"/>
      <w:contextualSpacing/>
    </w:pPr>
    <w:rPr>
      <w:rFonts w:ascii="Noto Sans SC" w:hAnsi="Noto Sans SC" w:eastAsia="Noto Sans SC" w:cs="Noto Sans SC"/>
    </w:rPr>
  </w:style>
  <w:style w:type="paragraph" w:styleId="ListBullet5">
    <w:name w:val="List Bullet 5"/>
    <w:basedOn w:val="BodyText"/>
    <w:uiPriority w:val="99"/>
    <w:unhideWhenUsed/>
    <w:rsid w:val="000E2E0D"/>
    <w:pPr>
      <w:numPr>
        <w:numId w:val="10"/>
      </w:numPr>
      <w:ind w:left="1560" w:hanging="240"/>
      <w:contextualSpacing/>
    </w:pPr>
    <w:rPr>
      <w:rFonts w:ascii="Noto Sans SC" w:hAnsi="Noto Sans SC" w:eastAsia="Noto Sans SC" w:cs="Noto Sans SC"/>
    </w:rPr>
  </w:style>
  <w:style w:type="paragraph" w:styleId="ListContinue">
    <w:name w:val="List Continue"/>
    <w:basedOn w:val="BodyText"/>
    <w:uiPriority w:val="99"/>
    <w:unhideWhenUsed/>
    <w:rsid w:val="00F84E21"/>
    <w:pPr>
      <w:ind w:left="360"/>
      <w:contextualSpacing/>
    </w:pPr>
    <w:rPr>
      <w:rFonts w:ascii="Noto Sans SC" w:hAnsi="Noto Sans SC" w:eastAsia="Noto Sans SC" w:cs="Noto Sans SC"/>
    </w:rPr>
  </w:style>
  <w:style w:type="paragraph" w:styleId="BodyTextIndent">
    <w:name w:val="Body Text Indent"/>
    <w:basedOn w:val="BodyText"/>
    <w:link w:val="BodyTextIndentChar"/>
    <w:uiPriority w:val="99"/>
    <w:unhideWhenUsed/>
    <w:rsid w:val="008E293F"/>
    <w:pPr>
      <w:ind w:left="360"/>
    </w:pPr>
    <w:rPr>
      <w:rFonts w:ascii="Noto Sans SC" w:hAnsi="Noto Sans SC" w:eastAsia="Noto Sans SC" w:cs="Noto Sans SC"/>
    </w:rPr>
  </w:style>
  <w:style w:type="character" w:customStyle="1" w:styleId="BodyTextIndentChar">
    <w:name w:val="Body Text Indent Char"/>
    <w:basedOn w:val="DefaultParagraphFont"/>
    <w:link w:val="BodyTextIndent"/>
    <w:uiPriority w:val="99"/>
    <w:rsid w:val="008E293F"/>
    <w:rPr>
      <w:rFonts w:ascii="Noto Sans SC" w:hAnsi="Noto Sans SC" w:eastAsia="Noto Sans SC" w:cs="Noto Sans SC"/>
    </w:rPr>
  </w:style>
  <w:style w:type="paragraph" w:styleId="BodyTextIndent2">
    <w:name w:val="Body Text Indent 2"/>
    <w:basedOn w:val="BodyText"/>
    <w:link w:val="BodyTextIndent2Char"/>
    <w:uiPriority w:val="99"/>
    <w:unhideWhenUsed/>
    <w:rsid w:val="00C946D4"/>
    <w:pPr>
      <w:ind w:left="720"/>
    </w:pPr>
    <w:rPr>
      <w:rFonts w:ascii="Noto Sans SC" w:hAnsi="Noto Sans SC" w:eastAsia="Noto Sans SC" w:cs="Noto Sans SC"/>
    </w:rPr>
  </w:style>
  <w:style w:type="character" w:customStyle="1" w:styleId="BodyTextIndent2Char">
    <w:name w:val="Body Text Indent 2 Char"/>
    <w:basedOn w:val="DefaultParagraphFont"/>
    <w:link w:val="BodyTextIndent2"/>
    <w:uiPriority w:val="99"/>
    <w:rsid w:val="00C946D4"/>
    <w:rPr>
      <w:rFonts w:ascii="Noto Sans SC" w:hAnsi="Noto Sans SC" w:eastAsia="Noto Sans SC" w:cs="Noto Sans SC"/>
      <w:lang w:val="en-CA"/>
    </w:rPr>
  </w:style>
  <w:style w:type="paragraph" w:styleId="BodyTextFirstIndent2">
    <w:name w:val="Body Text First Indent 2"/>
    <w:basedOn w:val="BodyTextIndent"/>
    <w:link w:val="BodyTextFirstIndent2Char"/>
    <w:uiPriority w:val="99"/>
    <w:unhideWhenUsed/>
    <w:rsid w:val="00B621B1"/>
    <w:pPr>
      <w:ind w:firstLine="360"/>
    </w:pPr>
    <w:rPr>
      <w:rFonts w:ascii="Noto Sans SC" w:hAnsi="Noto Sans SC" w:eastAsia="Noto Sans SC" w:cs="Noto Sans SC"/>
    </w:rPr>
  </w:style>
  <w:style w:type="character" w:customStyle="1" w:styleId="BodyTextFirstIndent2Char">
    <w:name w:val="Body Text First Indent 2 Char"/>
    <w:basedOn w:val="BodyTextIndentChar"/>
    <w:link w:val="BodyTextFirstIndent2"/>
    <w:uiPriority w:val="99"/>
    <w:rsid w:val="00B621B1"/>
    <w:rPr>
      <w:rFonts w:ascii="Noto Sans SC" w:hAnsi="Noto Sans SC" w:eastAsia="Noto Sans SC" w:cs="Noto Sans SC"/>
    </w:rPr>
  </w:style>
  <w:style w:type="paragraph" w:styleId="BodyTextFirstIndent">
    <w:name w:val="Body Text First Indent"/>
    <w:basedOn w:val="BodyText"/>
    <w:link w:val="BodyTextFirstIndentChar"/>
    <w:uiPriority w:val="99"/>
    <w:unhideWhenUsed/>
    <w:rsid w:val="005F7968"/>
    <w:pPr>
      <w:ind w:firstLine="360"/>
    </w:pPr>
    <w:rPr>
      <w:rFonts w:ascii="Noto Sans SC" w:hAnsi="Noto Sans SC" w:eastAsia="Noto Sans SC" w:cs="Noto Sans SC"/>
    </w:rPr>
  </w:style>
  <w:style w:type="character" w:customStyle="1" w:styleId="BodyTextFirstIndentChar">
    <w:name w:val="Body Text First Indent Char"/>
    <w:basedOn w:val="BodyTextChar"/>
    <w:link w:val="BodyTextFirstIndent"/>
    <w:uiPriority w:val="99"/>
    <w:rsid w:val="005F7968"/>
    <w:rPr>
      <w:rFonts w:ascii="Noto Sans SC" w:hAnsi="Noto Sans SC" w:eastAsia="Noto Sans SC" w:cs="Noto Sans SC"/>
      <w:sz w:val="20"/>
      <w:lang w:val="en-CA"/>
    </w:rPr>
  </w:style>
  <w:style w:type="paragraph" w:styleId="ListNumber">
    <w:name w:val="List Number"/>
    <w:basedOn w:val="BodyText"/>
    <w:uiPriority w:val="99"/>
    <w:unhideWhenUsed/>
    <w:rsid w:val="00F1083D"/>
    <w:pPr>
      <w:numPr>
        <w:numId w:val="13"/>
      </w:numPr>
    </w:pPr>
    <w:rPr>
      <w:rFonts w:ascii="Noto Sans SC" w:hAnsi="Noto Sans SC" w:eastAsia="Noto Sans SC" w:cs="Noto Sans SC"/>
    </w:rPr>
  </w:style>
  <w:style w:type="paragraph" w:styleId="ListNumber2">
    <w:name w:val="List Number 2"/>
    <w:basedOn w:val="BodyText"/>
    <w:uiPriority w:val="99"/>
    <w:unhideWhenUsed/>
    <w:rsid w:val="00F1083D"/>
    <w:pPr>
      <w:numPr>
        <w:ilvl w:val="1"/>
        <w:numId w:val="13"/>
      </w:numPr>
    </w:pPr>
    <w:rPr>
      <w:rFonts w:ascii="Noto Sans SC" w:hAnsi="Noto Sans SC" w:eastAsia="Noto Sans SC" w:cs="Noto Sans SC"/>
    </w:rPr>
  </w:style>
  <w:style w:type="paragraph" w:styleId="ListNumber3">
    <w:name w:val="List Number 3"/>
    <w:basedOn w:val="BodyText"/>
    <w:uiPriority w:val="99"/>
    <w:unhideWhenUsed/>
    <w:rsid w:val="00F1083D"/>
    <w:pPr>
      <w:numPr>
        <w:ilvl w:val="2"/>
        <w:numId w:val="13"/>
      </w:numPr>
    </w:pPr>
    <w:rPr>
      <w:rFonts w:ascii="Noto Sans SC" w:hAnsi="Noto Sans SC" w:eastAsia="Noto Sans SC" w:cs="Noto Sans SC"/>
    </w:rPr>
  </w:style>
  <w:style w:type="paragraph" w:styleId="ListNumber4">
    <w:name w:val="List Number 4"/>
    <w:basedOn w:val="BodyText"/>
    <w:uiPriority w:val="99"/>
    <w:unhideWhenUsed/>
    <w:rsid w:val="00F1083D"/>
    <w:pPr>
      <w:numPr>
        <w:ilvl w:val="3"/>
        <w:numId w:val="13"/>
      </w:numPr>
    </w:pPr>
    <w:rPr>
      <w:rFonts w:ascii="Noto Sans SC" w:hAnsi="Noto Sans SC" w:eastAsia="Noto Sans SC" w:cs="Noto Sans SC"/>
    </w:rPr>
  </w:style>
  <w:style w:type="paragraph" w:styleId="ListNumber5">
    <w:name w:val="List Number 5"/>
    <w:basedOn w:val="BodyText"/>
    <w:uiPriority w:val="99"/>
    <w:semiHidden/>
    <w:unhideWhenUsed/>
    <w:rsid w:val="006162C6"/>
    <w:pPr>
      <w:numPr>
        <w:numId w:val="5"/>
      </w:numPr>
      <w:contextualSpacing/>
    </w:pPr>
    <w:rPr>
      <w:rFonts w:ascii="Noto Sans SC" w:hAnsi="Noto Sans SC" w:eastAsia="Noto Sans SC" w:cs="Noto Sans SC"/>
    </w:rPr>
  </w:style>
  <w:style w:type="character" w:styleId="PageNumber">
    <w:name w:val="page number"/>
    <w:basedOn w:val="DefaultParagraphFont"/>
    <w:uiPriority w:val="99"/>
    <w:unhideWhenUsed/>
    <w:rsid w:val="0039597D"/>
    <w:rPr>
      <w:rFonts w:ascii="Noto Sans SC" w:hAnsi="Noto Sans SC" w:eastAsia="Noto Sans SC" w:cs="Noto Sans SC"/>
      <w:b/>
      <w:sz w:val="16"/>
    </w:rPr>
  </w:style>
  <w:style w:type="character" w:styleId="IntenseEmphasis">
    <w:name w:val="Intense Emphasis"/>
    <w:basedOn w:val="DefaultParagraphFont"/>
    <w:uiPriority w:val="21"/>
    <w:rsid w:val="002D2A5D"/>
    <w:rPr>
      <w:rFonts w:ascii="Noto Sans SC" w:hAnsi="Noto Sans SC" w:eastAsia="Noto Sans SC" w:cs="Noto Sans SC"/>
      <w:i/>
      <w:iCs/>
    </w:rPr>
  </w:style>
  <w:style w:type="character" w:styleId="Strong">
    <w:name w:val="Strong"/>
    <w:basedOn w:val="DefaultParagraphFont"/>
    <w:uiPriority w:val="22"/>
    <w:qFormat/>
    <w:rsid w:val="002D2A5D"/>
    <w:rPr>
      <w:rFonts w:ascii="Noto Sans SC" w:hAnsi="Noto Sans SC" w:eastAsia="Noto Sans SC" w:cs="Noto Sans SC"/>
      <w:b/>
      <w:bCs/>
    </w:rPr>
  </w:style>
  <w:style w:type="character" w:styleId="PlaceholderText">
    <w:name w:val="Placeholder Text"/>
    <w:basedOn w:val="DefaultParagraphFont"/>
    <w:uiPriority w:val="99"/>
    <w:semiHidden/>
    <w:rsid w:val="002D2A5D"/>
    <w:rPr>
      <w:rFonts w:ascii="Noto Sans SC" w:hAnsi="Noto Sans SC" w:eastAsia="Noto Sans SC" w:cs="Noto Sans SC"/>
    </w:rPr>
  </w:style>
  <w:style w:type="paragraph" w:styleId="TOCHeading">
    <w:name w:val="TOC Heading"/>
    <w:basedOn w:val="Heading1"/>
    <w:next w:val="TOC1"/>
    <w:uiPriority w:val="39"/>
    <w:unhideWhenUsed/>
    <w:rsid w:val="00983F4D"/>
    <w:pPr>
      <w:keepNext w:val="0"/>
      <w:widowControl/>
      <w:spacing w:before="0" w:after="120" w:lineRule="auto" w:line="276"/>
      <w:outlineLvl w:val="9"/>
    </w:pPr>
    <w:rPr>
      <w:rFonts w:ascii="Noto Sans SC" w:hAnsi="Noto Sans SC" w:eastAsia="Noto Sans SC" w:cs="Noto Sans SC"/>
      <w:b/>
      <w:i w:val="0"/>
      <w:sz w:val="32"/>
      <w:lang w:eastAsia="fr-CA"/>
    </w:rPr>
  </w:style>
  <w:style w:type="paragraph" w:styleId="TOC1">
    <w:name w:val="toc 1"/>
    <w:basedOn w:val="Normal"/>
    <w:next w:val="BodyText"/>
    <w:autoRedefine/>
    <w:uiPriority w:val="39"/>
    <w:unhideWhenUsed/>
    <w:rsid w:val="00B00C83"/>
    <w:pPr>
      <w:spacing w:before="0" w:after="30" w:line="240" w:lineRule="auto"/>
      <w:tabs>
        <w:tab w:val="right" w:leader="dot" w:pos="9026"/>
      </w:tabs>
    </w:pPr>
    <w:rPr>
      <w:rFonts w:ascii="Noto Sans SC" w:hAnsi="Noto Sans SC" w:eastAsia="Noto Sans SC" w:cs="Noto Sans SC"/>
      <w:b/>
      <w:sz w:val="20"/>
      <w:szCs w:val="20"/>
    </w:rPr>
  </w:style>
  <w:style w:type="paragraph" w:styleId="TOC2">
    <w:name w:val="toc 2"/>
    <w:basedOn w:val="Normal"/>
    <w:next w:val="BodyText"/>
    <w:autoRedefine/>
    <w:uiPriority w:val="39"/>
    <w:unhideWhenUsed/>
    <w:rsid w:val="00365872"/>
    <w:pPr>
      <w:spacing w:after="30" w:before="0" w:line="240" w:lineRule="auto"/>
      <w:tabs>
        <w:tab w:val="right" w:leader="dot" w:pos="9026"/>
      </w:tabs>
    </w:pPr>
    <w:rPr>
      <w:rFonts w:ascii="Noto Sans SC" w:hAnsi="Noto Sans SC" w:eastAsia="Noto Sans SC" w:cs="Noto Sans SC"/>
      <w:sz w:val="20"/>
      <w:szCs w:val="20"/>
    </w:rPr>
  </w:style>
  <w:style w:type="paragraph" w:styleId="TOC3">
    <w:name w:val="toc 3"/>
    <w:basedOn w:val="Normal"/>
    <w:next w:val="BodyText"/>
    <w:autoRedefine/>
    <w:uiPriority w:val="39"/>
    <w:unhideWhenUsed/>
    <w:rsid w:val="002E3842"/>
    <w:pPr>
      <w:spacing w:after="30" w:before="0" w:line="240" w:lineRule="auto"/>
      <w:ind w:left="360"/>
      <w:tabs>
        <w:tab w:val="right" w:leader="dot" w:pos="9026"/>
      </w:tabs>
    </w:pPr>
    <w:rPr>
      <w:rFonts w:ascii="Noto Sans SC" w:hAnsi="Noto Sans SC" w:eastAsia="Noto Sans SC" w:cs="Noto Sans SC"/>
      <w:sz w:val="20"/>
      <w:szCs w:val="20"/>
    </w:rPr>
  </w:style>
  <w:style w:type="character" w:styleId="Hyperlink">
    <w:name w:val="Hyperlink"/>
    <w:basedOn w:val="DefaultParagraphFont"/>
    <w:uiPriority w:val="99"/>
    <w:unhideWhenUsed/>
    <w:rsid w:val="00D95D3F"/>
    <w:rPr>
      <w:rFonts w:ascii="Noto Sans SC" w:hAnsi="Noto Sans SC" w:eastAsia="Noto Sans SC" w:cs="Noto Sans SC"/>
      <w:b w:val="0"/>
      <w:i w:val="0"/>
      <w:sz w:val="22"/>
      <w:u w:val="single"/>
    </w:rPr>
  </w:style>
  <w:style w:type="paragraph" w:styleId="FootnoteText">
    <w:name w:val="footnote text"/>
    <w:basedOn w:val="Normal"/>
    <w:link w:val="FootnoteTextChar"/>
    <w:uiPriority w:val="99"/>
    <w:rsid w:val="00171D52"/>
    <w:pPr>
      <w:spacing w:before="60" w:line="240" w:lineRule="auto"/>
    </w:pPr>
    <w:rPr>
      <w:rFonts w:ascii="Noto Sans SC" w:hAnsi="Noto Sans SC" w:eastAsia="Noto Sans SC" w:cs="Noto Sans SC"/>
      <w:sz w:val="13"/>
    </w:rPr>
  </w:style>
  <w:style w:type="character" w:customStyle="1" w:styleId="FootnoteTextChar">
    <w:name w:val="Footnote Text Char"/>
    <w:basedOn w:val="DefaultParagraphFont"/>
    <w:link w:val="FootnoteText"/>
    <w:uiPriority w:val="99"/>
    <w:rsid w:val="00716E6A"/>
    <w:rPr>
      <w:rFonts w:ascii="Noto Sans SC" w:hAnsi="Noto Sans SC" w:eastAsia="Noto Sans SC" w:cs="Noto Sans SC"/>
      <w:sz w:val="13"/>
      <w:lang w:val="en-CA"/>
    </w:rPr>
  </w:style>
  <w:style w:type="character" w:styleId="FootnoteReference">
    <w:name w:val="footnote reference"/>
    <w:basedOn w:val="DefaultParagraphFont"/>
    <w:uiPriority w:val="99"/>
    <w:semiHidden/>
    <w:unhideWhenUsed/>
    <w:rsid w:val="00915470"/>
    <w:rPr>
      <w:rFonts w:ascii="Noto Sans SC" w:hAnsi="Noto Sans SC" w:eastAsia="Noto Sans SC" w:cs="Noto Sans SC"/>
      <w:vertAlign w:val="superscript"/>
    </w:rPr>
  </w:style>
  <w:style w:type="paragraph" w:styleId="ListContinue2">
    <w:name w:val="List Continue 2"/>
    <w:basedOn w:val="BodyText"/>
    <w:uiPriority w:val="99"/>
    <w:unhideWhenUsed/>
    <w:rsid w:val="00F84E21"/>
    <w:pPr>
      <w:ind w:left="720"/>
      <w:contextualSpacing/>
    </w:pPr>
    <w:rPr>
      <w:rFonts w:ascii="Noto Sans SC" w:hAnsi="Noto Sans SC" w:eastAsia="Noto Sans SC" w:cs="Noto Sans SC"/>
    </w:rPr>
  </w:style>
  <w:style w:type="paragraph" w:styleId="ListContinue3">
    <w:name w:val="List Continue 3"/>
    <w:basedOn w:val="BodyText"/>
    <w:uiPriority w:val="99"/>
    <w:unhideWhenUsed/>
    <w:rsid w:val="003D4AF2"/>
    <w:pPr>
      <w:ind w:left="1080"/>
      <w:contextualSpacing/>
    </w:pPr>
    <w:rPr>
      <w:rFonts w:ascii="Noto Sans SC" w:hAnsi="Noto Sans SC" w:eastAsia="Noto Sans SC" w:cs="Noto Sans SC"/>
    </w:rPr>
  </w:style>
  <w:style w:type="character" w:customStyle="1" w:styleId="Heading6Char">
    <w:name w:val="Heading 6 Char"/>
    <w:basedOn w:val="DefaultParagraphFont"/>
    <w:link w:val="Heading6"/>
    <w:uiPriority w:val="9"/>
    <w:rsid w:val="00397F0D"/>
    <w:rPr>
      <w:rFonts w:cstheme="majorBidi" w:ascii="Noto Sans SC" w:hAnsi="Noto Sans SC" w:eastAsia="Noto Sans SC" w:cs="Noto Sans SC"/>
      <w:i/>
    </w:rPr>
  </w:style>
  <w:style w:type="character" w:customStyle="1" w:styleId="Heading9Char">
    <w:name w:val="Heading 9 Char"/>
    <w:basedOn w:val="DefaultParagraphFont"/>
    <w:link w:val="Heading9"/>
    <w:uiPriority w:val="9"/>
    <w:semiHidden/>
    <w:rsid w:val="008810FF"/>
    <w:rPr>
      <w:rFonts w:cstheme="majorBidi" w:ascii="Noto Sans SC" w:hAnsi="Noto Sans SC" w:eastAsia="Noto Sans SC" w:cs="Noto Sans SC"/>
      <w:i/>
      <w:iCs/>
      <w:sz w:val="21"/>
      <w:szCs w:val="21"/>
    </w:rPr>
  </w:style>
  <w:style w:type="paragraph" w:styleId="NoSpacing">
    <w:name w:val="No Spacing"/>
    <w:link w:val="NoSpacingChar"/>
    <w:uiPriority w:val="1"/>
    <w:unhideWhenUsed/>
    <w:qFormat/>
    <w:rsid w:val="00530DD2"/>
    <w:pPr>
      <w:spacing w:after="0" w:line="240" w:lineRule="auto"/>
    </w:pPr>
    <w:rPr>
      <w:rFonts w:ascii="Noto Sans SC" w:hAnsi="Noto Sans SC" w:eastAsia="Noto Sans SC" w:cs="Noto Sans SC"/>
    </w:rPr>
  </w:style>
  <w:style w:type="paragraph" w:customStyle="1" w:styleId="DocumentHead">
    <w:name w:val="Document Head"/>
    <w:basedOn w:val="Normal"/>
    <w:next w:val="DocumentSubhead"/>
    <w:uiPriority w:val="2"/>
    <w:rsid w:val="00503492"/>
    <w:pPr>
      <w:keepNext w:val="0"/>
      <w:widowControl/>
      <w:suppressAutoHyphens/>
      <w:spacing w:after="120" w:line="276" w:lineRule="auto" w:before="0"/>
    </w:pPr>
    <w:rPr>
      <w:rFonts w:ascii="Noto Sans SC" w:hAnsi="Noto Sans SC" w:eastAsia="Noto Sans SC" w:cs="Noto Sans SC"/>
      <w:b/>
      <w:i w:val="0"/>
      <w:kern w:val="56"/>
      <w:sz w:val="48"/>
    </w:rPr>
  </w:style>
  <w:style w:type="paragraph" w:customStyle="1" w:styleId="DocumentSubhead">
    <w:name w:val="Document Subhead"/>
    <w:basedOn w:val="Normal"/>
    <w:next w:val="DocumentDate"/>
    <w:uiPriority w:val="2"/>
    <w:rsid w:val="00404798"/>
    <w:pPr>
      <w:keepNext w:val="0"/>
      <w:widowControl/>
      <w:spacing w:before="0" w:line="276" w:lineRule="auto" w:after="120"/>
    </w:pPr>
    <w:rPr>
      <w:rFonts w:ascii="Noto Sans SC" w:hAnsi="Noto Sans SC" w:eastAsia="Noto Sans SC" w:cs="Noto Sans SC"/>
      <w:b w:val="0"/>
      <w:i w:val="0"/>
      <w:sz w:val="28"/>
    </w:rPr>
  </w:style>
  <w:style w:type="paragraph" w:customStyle="1" w:styleId="DocumentDate">
    <w:name w:val="Document Date"/>
    <w:basedOn w:val="Normal"/>
    <w:uiPriority w:val="2"/>
    <w:rsid w:val="0044091F"/>
    <w:pPr>
      <w:spacing w:before="360"/>
    </w:pPr>
    <w:rPr>
      <w:rFonts w:ascii="Noto Sans SC" w:hAnsi="Noto Sans SC" w:eastAsia="Noto Sans SC" w:cs="Noto Sans SC"/>
      <w:sz w:val="22"/>
    </w:rPr>
  </w:style>
  <w:style w:type="paragraph" w:styleId="ListParagraph">
    <w:name w:val="List Paragraph"/>
    <w:basedOn w:val="Normal"/>
    <w:uiPriority w:val="34"/>
    <w:qFormat/>
    <w:rsid w:val="003D5135"/>
    <w:pPr>
      <w:ind w:left="720"/>
      <w:contextualSpacing/>
    </w:pPr>
    <w:rPr>
      <w:rFonts w:ascii="Noto Sans SC" w:hAnsi="Noto Sans SC" w:eastAsia="Noto Sans SC" w:cs="Noto Sans SC"/>
    </w:rPr>
  </w:style>
  <w:style w:type="table" w:styleId="TableGrid">
    <w:name w:val="Table Grid"/>
    <w:basedOn w:val="TableNormal"/>
    <w:uiPriority w:val="59"/>
    <w:rsid w:val="006D568B"/>
    <w:pPr>
      <w:spacing w:after="0" w:line="240" w:lineRule="auto"/>
    </w:pPr>
    <w:tblPr>
      <w:tblStyleRowBandSize w:val="1"/>
      <w:tblCellSpacing w:w="14" w:type="dxa"/>
      <w:tblCellMar>
        <w:top w:w="28" w:type="dxa"/>
        <w:bottom w:w="28" w:type="dxa"/>
      </w:tblCellMa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CellSpacing w:w="14" w:type="dxa"/>
    </w:trPr>
    <w:tblStylePr w:type="firstRow">
      <w:rPr>
        <w:b/>
      </w:rPr>
    </w:tblStylePr>
    <w:rPr>
      <w:rFonts w:ascii="Noto Sans SC" w:hAnsi="Noto Sans SC" w:eastAsia="Noto Sans SC" w:cs="Noto Sans SC"/>
    </w:rPr>
  </w:style>
  <w:style w:type="table" w:customStyle="1" w:styleId="Table-Liste">
    <w:name w:val="Table - Liste"/>
    <w:basedOn w:val="TableNormal"/>
    <w:uiPriority w:val="49"/>
    <w:rsid w:val="006D568B"/>
    <w:pPr>
      <w:spacing w:after="0" w:line="240" w:lineRule="auto"/>
    </w:pPr>
    <w:tblPr>
      <w:tblStyleRowBandSize w:val="1"/>
      <w:tblStyleColBandSize w:val="1"/>
      <w:tblBorders>
        <w:insideH w:val="single" w:sz="2" w:space="0" w:color="auto"/>
        <w:insideV w:val="single" w:sz="2" w:space="0" w:color="auto"/>
      </w:tblBorders>
      <w:tblCellMar>
        <w:top w:w="60" w:type="dxa"/>
        <w:left w:w="120" w:type="dxa"/>
        <w:bottom w:w="60" w:type="dxa"/>
        <w:right w:w="120" w:type="dxa"/>
      </w:tblCellMar>
    </w:tblPr>
    <w:tcPr/>
    <w:tblStylePr w:type="firstRow">
      <w:rPr>
        <w:b/>
        <w:bCs/>
      </w:rPr>
      <w:tblPr/>
      <w:tcPr>
        <w:tcBorders>
          <w:top w:val="single" w:sz="4" w:space="0" w:color="auto"/>
          <w:left w:val="single" w:sz="4" w:space="0" w:color="auto"/>
          <w:bottom w:val="single" w:sz="4" w:space="0" w:color="auto"/>
          <w:right w:val="single" w:sz="4" w:space="0" w:color="auto"/>
          <w:insideH w:val="nil" w:color="auto"/>
        </w:tcBorders>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tblStylePr>
    <w:tblStylePr w:type="band1Horz">
      <w:tblPr/>
      <w:tcPr/>
    </w:tblStylePr>
    <w:rPr>
      <w:rFonts w:ascii="Noto Sans SC" w:hAnsi="Noto Sans SC" w:eastAsia="Noto Sans SC" w:cs="Noto Sans SC"/>
    </w:rPr>
  </w:style>
  <w:style w:type="paragraph" w:customStyle="1" w:styleId="Charttitle">
    <w:name w:val="Chart title"/>
    <w:basedOn w:val="Heading2"/>
    <w:next w:val="Chartposition"/>
    <w:uiPriority w:val="20"/>
    <w:rsid w:val="007C5F25"/>
    <w:pPr>
      <w:outlineLvl w:val="9"/>
    </w:pPr>
    <w:rPr>
      <w:rFonts w:ascii="Noto Sans SC" w:hAnsi="Noto Sans SC" w:eastAsia="Noto Sans SC" w:cs="Noto Sans SC"/>
      <w:b w:val="0"/>
      <w:sz w:val="26"/>
    </w:rPr>
  </w:style>
  <w:style w:type="table" w:customStyle="1" w:styleId="Table-Simple">
    <w:name w:val="Table - Simple"/>
    <w:basedOn w:val="TableNormal"/>
    <w:uiPriority w:val="99"/>
    <w:rsid w:val="002E7A5E"/>
    <w:pPr>
      <w:spacing w:after="0" w:line="240" w:lineRule="auto"/>
      <w:jc w:val="center"/>
    </w:pPr>
    <w:tblPr>
      <w:tblBorders>
        <w:top w:val="single" w:sz="4" w:space="0" w:color="auto"/>
        <w:bottom w:val="single" w:sz="4" w:space="0" w:color="auto"/>
        <w:insideH w:val="single" w:sz="4" w:space="0" w:color="auto"/>
      </w:tblBorders>
      <w:tblCellMar>
        <w:top w:w="60" w:type="dxa"/>
        <w:left w:w="120" w:type="dxa"/>
        <w:bottom w:w="60" w:type="dxa"/>
        <w:right w:w="120" w:type="dxa"/>
      </w:tblCellMar>
    </w:tblPr>
    <w:trPr>
      <w:cantSplit/>
    </w:trPr>
    <w:tcPr>
      <w:vAlign w:val="bottom"/>
    </w:tcPr>
    <w:tblStylePr w:type="firstRow">
      <w:pPr>
        <w:keepNext/>
        <w:keepLines/>
        <w:wordWrap/>
      </w:pPr>
      <w:rPr/>
      <w:tblPr/>
      <w:tcPr>
        <w:tcBorders>
          <w:top w:val="nil" w:color="auto"/>
          <w:left w:val="nil" w:color="auto"/>
          <w:bottom w:val="nil" w:color="auto"/>
          <w:right w:val="nil" w:color="auto"/>
          <w:insideH w:val="nil" w:color="auto"/>
          <w:insideV w:val="nil" w:color="auto"/>
          <w:tl2br w:val="nil" w:color="auto"/>
          <w:tr2bl w:val="nil" w:color="auto"/>
        </w:tcBorders>
      </w:tcPr>
    </w:tblStylePr>
    <w:tblStylePr w:type="lastRow">
      <w:rPr>
        <w:b/>
        <w:i w:val="0"/>
      </w:rPr>
      <w:tblPr/>
      <w:tcPr>
        <w:tcBorders>
          <w:top w:val="single" w:sz="18" w:space="0" w:color="auto"/>
          <w:left w:val="nil" w:color="auto"/>
          <w:bottom w:val="single" w:sz="18" w:space="0" w:color="auto"/>
          <w:right w:val="nil" w:color="auto"/>
          <w:insideH w:val="nil" w:color="auto"/>
          <w:insideV w:val="nil" w:color="auto"/>
          <w:tl2br w:val="nil" w:color="auto"/>
          <w:tr2bl w:val="nil" w:color="auto"/>
        </w:tcBorders>
      </w:tcPr>
    </w:tblStylePr>
    <w:tblStylePr w:type="firstCol">
      <w:pPr>
        <w:wordWrap/>
        <w:jc w:val="left"/>
      </w:pPr>
    </w:tblStylePr>
    <w:rPr>
      <w:rFonts w:ascii="Noto Sans SC" w:hAnsi="Noto Sans SC" w:eastAsia="Noto Sans SC" w:cs="Noto Sans SC"/>
    </w:rPr>
  </w:style>
  <w:style w:type="paragraph" w:styleId="TOC4">
    <w:name w:val="toc 4"/>
    <w:basedOn w:val="Normal"/>
    <w:next w:val="BodyText"/>
    <w:autoRedefine/>
    <w:uiPriority w:val="39"/>
    <w:unhideWhenUsed/>
    <w:rsid w:val="00565912"/>
    <w:pPr>
      <w:tabs>
        <w:tab w:val="right" w:leader="dot" w:pos="10790"/>
      </w:tabs>
      <w:spacing w:after="60"/>
      <w:ind w:left="720"/>
    </w:pPr>
    <w:rPr>
      <w:rFonts w:ascii="Noto Sans SC" w:hAnsi="Noto Sans SC" w:eastAsia="Noto Sans SC" w:cs="Noto Sans SC"/>
    </w:rPr>
  </w:style>
  <w:style w:type="paragraph" w:styleId="TOC5">
    <w:name w:val="toc 5"/>
    <w:basedOn w:val="Normal"/>
    <w:next w:val="BodyText"/>
    <w:autoRedefine/>
    <w:uiPriority w:val="39"/>
    <w:unhideWhenUsed/>
    <w:rsid w:val="00565912"/>
    <w:pPr>
      <w:spacing w:after="60"/>
      <w:ind w:left="720"/>
    </w:pPr>
    <w:rPr>
      <w:rFonts w:ascii="Noto Sans SC" w:hAnsi="Noto Sans SC" w:eastAsia="Noto Sans SC" w:cs="Noto Sans SC"/>
    </w:rPr>
  </w:style>
  <w:style w:type="paragraph" w:customStyle="1" w:styleId="Cover">
    <w:name w:val="Cover"/>
    <w:basedOn w:val="Normal"/>
    <w:uiPriority w:val="3"/>
    <w:qFormat/>
    <w:rsid w:val="00F62592"/>
    <w:pPr>
      <w:spacing w:line="180" w:lineRule="auto"/>
    </w:pPr>
    <w:rPr>
      <w:rFonts w:cs="Noto Sans SC" w:ascii="Noto Sans SC" w:hAnsi="Noto Sans SC" w:eastAsia="Noto Sans SC"/>
      <w:b/>
      <w:spacing w:val="-50"/>
      <w:kern w:val="72"/>
      <w:sz w:val="96"/>
    </w:rPr>
  </w:style>
  <w:style w:type="paragraph" w:customStyle="1" w:styleId="SectionHead">
    <w:name w:val="Section Head"/>
    <w:basedOn w:val="Normal"/>
    <w:uiPriority w:val="3"/>
    <w:qFormat/>
    <w:rsid w:val="00A45A71"/>
    <w:pPr>
      <w:spacing w:after="180" w:line="240" w:lineRule="auto"/>
    </w:pPr>
    <w:rPr>
      <w:rFonts w:ascii="Noto Sans SC" w:hAnsi="Noto Sans SC" w:eastAsia="Noto Sans SC" w:cs="Noto Sans SC"/>
      <w:b/>
      <w:sz w:val="54"/>
    </w:rPr>
  </w:style>
  <w:style w:type="character" w:customStyle="1" w:styleId="Whitetypo">
    <w:name w:val="White typo"/>
    <w:basedOn w:val="DefaultParagraphFont"/>
    <w:uiPriority w:val="3"/>
    <w:qFormat/>
    <w:rsid w:val="009F7E00"/>
    <w:rPr>
      <w:rFonts w:ascii="Noto Sans SC" w:hAnsi="Noto Sans SC" w:eastAsia="Noto Sans SC" w:cs="Noto Sans SC"/>
    </w:rPr>
  </w:style>
  <w:style w:type="paragraph" w:customStyle="1" w:styleId="Introduction">
    <w:name w:val="Introduction"/>
    <w:basedOn w:val="BodyText"/>
    <w:next w:val="BodyText"/>
    <w:uiPriority w:val="4"/>
    <w:qFormat/>
    <w:rsid w:val="005D795E"/>
    <w:rPr>
      <w:rFonts w:ascii="Noto Sans SC" w:hAnsi="Noto Sans SC" w:eastAsia="Noto Sans SC" w:cs="Noto Sans SC"/>
      <w:b/>
      <w:sz w:val="24"/>
    </w:rPr>
  </w:style>
  <w:style w:type="paragraph" w:customStyle="1" w:styleId="Chartposition">
    <w:name w:val="Chart position"/>
    <w:basedOn w:val="BodyText"/>
    <w:next w:val="BodyText2"/>
    <w:uiPriority w:val="21"/>
    <w:qFormat/>
    <w:rsid w:val="002D396E"/>
    <w:pPr>
      <w:keepNext/>
      <w:keepLines/>
      <w:pBdr>
        <w:bottom w:val="single" w:sz="8" w:space="1" w:color="auto"/>
      </w:pBdr>
      <w:jc w:val="center"/>
    </w:pPr>
    <w:rPr>
      <w:rFonts w:ascii="Noto Sans SC" w:hAnsi="Noto Sans SC" w:eastAsia="Noto Sans SC" w:cs="Noto Sans SC"/>
    </w:rPr>
  </w:style>
  <w:style w:type="paragraph" w:customStyle="1" w:styleId="Tabletitle">
    <w:name w:val="Table title"/>
    <w:basedOn w:val="Charttitle"/>
    <w:next w:val="BodyText"/>
    <w:uiPriority w:val="20"/>
    <w:qFormat/>
    <w:rsid w:val="005030F9"/>
    <w:pPr>
      <w:keepNext w:val="0"/>
      <w:widowControl/>
      <w:spacing w:lineRule="auto" w:line="276" w:after="120" w:before="0"/>
    </w:pPr>
    <w:rPr>
      <w:rFonts w:ascii="Noto Sans SC" w:hAnsi="Noto Sans SC" w:eastAsia="Noto Sans SC" w:cs="Noto Sans SC"/>
      <w:b w:val="0"/>
      <w:i w:val="0"/>
      <w:sz w:val="20"/>
    </w:rPr>
  </w:style>
  <w:style w:type="paragraph" w:customStyle="1" w:styleId="BDCsocialparagraph">
    <w:name w:val="BDC social paragraph"/>
    <w:basedOn w:val="Normal"/>
    <w:uiPriority w:val="40"/>
    <w:rsid w:val="0095523C"/>
    <w:pPr>
      <w:spacing w:after="60"/>
    </w:pPr>
    <w:rPr>
      <w:rFonts w:ascii="Noto Sans SC" w:hAnsi="Noto Sans SC" w:eastAsia="Noto Sans SC" w:cs="Noto Sans SC"/>
      <w:b/>
    </w:rPr>
  </w:style>
  <w:style w:type="paragraph" w:customStyle="1" w:styleId="BDCwebsite">
    <w:name w:val="BDC web site"/>
    <w:basedOn w:val="BodyText"/>
    <w:next w:val="BDCinfo"/>
    <w:uiPriority w:val="40"/>
    <w:rsid w:val="000B6521"/>
    <w:pPr>
      <w:spacing w:before="480" w:after="0" w:line="240" w:lineRule="auto"/>
    </w:pPr>
    <w:rPr>
      <w:rFonts w:ascii="Noto Sans SC" w:hAnsi="Noto Sans SC" w:eastAsia="Noto Sans SC" w:cs="Noto Sans SC"/>
      <w:b/>
      <w:sz w:val="32"/>
      <w:szCs w:val="32"/>
    </w:rPr>
  </w:style>
  <w:style w:type="paragraph" w:customStyle="1" w:styleId="BDCinfo">
    <w:name w:val="BDC info"/>
    <w:basedOn w:val="BodyText"/>
    <w:next w:val="BodyText"/>
    <w:uiPriority w:val="40"/>
    <w:rsid w:val="000B6521"/>
    <w:pPr>
      <w:spacing w:line="240" w:lineRule="auto"/>
    </w:pPr>
    <w:rPr>
      <w:rFonts w:ascii="Noto Sans SC" w:hAnsi="Noto Sans SC" w:eastAsia="Noto Sans SC" w:cs="Noto Sans SC"/>
      <w:b/>
      <w:sz w:val="26"/>
      <w:szCs w:val="26"/>
    </w:rPr>
  </w:style>
  <w:style w:type="paragraph" w:styleId="BalloonText">
    <w:name w:val="Balloon Text"/>
    <w:basedOn w:val="Normal"/>
    <w:link w:val="BalloonTextChar"/>
    <w:uiPriority w:val="99"/>
    <w:semiHidden/>
    <w:unhideWhenUsed/>
    <w:rsid w:val="004B2235"/>
    <w:pPr>
      <w:spacing w:after="0" w:line="240" w:lineRule="auto"/>
    </w:pPr>
    <w:rPr>
      <w:rFonts w:ascii="Noto Sans SC" w:hAnsi="Noto Sans SC" w:cs="Noto Sans SC" w:eastAsia="Noto Sans SC"/>
      <w:sz w:val="16"/>
      <w:szCs w:val="16"/>
    </w:rPr>
  </w:style>
  <w:style w:type="character" w:customStyle="1" w:styleId="BalloonTextChar">
    <w:name w:val="Balloon Text Char"/>
    <w:basedOn w:val="DefaultParagraphFont"/>
    <w:link w:val="BalloonText"/>
    <w:uiPriority w:val="99"/>
    <w:semiHidden/>
    <w:rsid w:val="004B2235"/>
    <w:rPr>
      <w:rFonts w:ascii="Noto Sans SC" w:hAnsi="Noto Sans SC" w:cs="Noto Sans SC" w:eastAsia="Noto Sans SC"/>
      <w:sz w:val="16"/>
      <w:szCs w:val="16"/>
      <w:lang w:val="en-CA"/>
    </w:rPr>
  </w:style>
  <w:style w:type="character" w:customStyle="1" w:styleId="BDCsocialtextup">
    <w:name w:val="BDC social text up"/>
    <w:basedOn w:val="DefaultParagraphFont"/>
    <w:uiPriority w:val="40"/>
    <w:rsid w:val="0095523C"/>
    <w:rPr>
      <w:rFonts w:ascii="Noto Sans SC" w:hAnsi="Noto Sans SC" w:eastAsia="Noto Sans SC" w:cs="Noto Sans SC"/>
      <w:position w:val="12"/>
    </w:rPr>
  </w:style>
  <w:style w:type="character" w:styleId="UnresolvedMention">
    <w:name w:val="Unresolved Mention"/>
    <w:basedOn w:val="DefaultParagraphFont"/>
    <w:uiPriority w:val="99"/>
    <w:semiHidden/>
    <w:unhideWhenUsed/>
    <w:rsid w:val="00B74DBA"/>
    <w:rPr>
      <w:rFonts w:ascii="Noto Sans SC" w:hAnsi="Noto Sans SC" w:eastAsia="Noto Sans SC" w:cs="Noto Sans SC"/>
    </w:rPr>
  </w:style>
  <w:style w:type="character" w:styleId="FollowedHyperlink">
    <w:name w:val="FollowedHyperlink"/>
    <w:basedOn w:val="DefaultParagraphFont"/>
    <w:uiPriority w:val="99"/>
    <w:semiHidden/>
    <w:unhideWhenUsed/>
    <w:rsid w:val="008C21CA"/>
    <w:rPr>
      <w:rFonts w:ascii="Noto Sans SC" w:hAnsi="Noto Sans SC" w:eastAsia="Noto Sans SC" w:cs="Noto Sans SC"/>
      <w:u w:val="single"/>
    </w:rPr>
  </w:style>
  <w:style w:type="character" w:customStyle="1" w:styleId="NoSpacingChar">
    <w:name w:val="No Spacing Char"/>
    <w:basedOn w:val="DefaultParagraphFont"/>
    <w:link w:val="NoSpacing"/>
    <w:uiPriority w:val="1"/>
    <w:rsid w:val="00684B13"/>
    <w:rPr>
      <w:rFonts w:ascii="Noto Sans SC" w:hAnsi="Noto Sans SC" w:eastAsia="Noto Sans SC" w:cs="Noto Sans SC"/>
    </w:rPr>
  </w:style>
  <w:style w:type="paragraph" w:customStyle="1" w:styleId="Corpsdetexte-Notes">
    <w:name w:val="Corps de texte - Notes"/>
    <w:basedOn w:val="BodyText"/>
    <w:link w:val="Corpsdetexte-NotesCar"/>
    <w:autoRedefine/>
    <w:qFormat/>
    <w:rsid w:val="007C75EE"/>
    <w:rPr>
      <w:rFonts w:cs="Noto Sans SC" w:ascii="Noto Sans SC" w:hAnsi="Noto Sans SC" w:eastAsia="Noto Sans SC"/>
      <w:bCs/>
      <w:lang w:val="en-US"/>
    </w:rPr>
  </w:style>
  <w:style w:type="paragraph" w:customStyle="1" w:styleId="Listepuces-Notes">
    <w:name w:val="Liste à puces - Notes"/>
    <w:basedOn w:val="ListBullet4"/>
    <w:next w:val="BodyText"/>
    <w:autoRedefine/>
    <w:qFormat/>
    <w:rsid w:val="007C75EE"/>
    <w:rPr>
      <w:rFonts w:cs="Noto Sans SC" w:ascii="Noto Sans SC" w:hAnsi="Noto Sans SC" w:eastAsia="Noto Sans SC"/>
      <w:lang w:val="en-US"/>
    </w:rPr>
  </w:style>
  <w:style w:type="character" w:customStyle="1" w:styleId="Corpsdetexte-NotesCar">
    <w:name w:val="Corps de texte - Notes Car"/>
    <w:basedOn w:val="BodyTextChar"/>
    <w:link w:val="Corpsdetexte-Notes"/>
    <w:rsid w:val="007C75EE"/>
    <w:rPr>
      <w:rFonts w:cs="Noto Sans SC" w:ascii="Noto Sans SC" w:hAnsi="Noto Sans SC" w:eastAsia="Noto Sans SC"/>
      <w:bCs/>
      <w:lang w:val="en-US"/>
    </w:rPr>
  </w:style>
  <w:style w:type="character" w:styleId="CommentReference">
    <w:name w:val="annotation reference"/>
    <w:basedOn w:val="DefaultParagraphFont"/>
    <w:uiPriority w:val="99"/>
    <w:semiHidden/>
    <w:unhideWhenUsed/>
    <w:rsid w:val="00E332D8"/>
    <w:rPr>
      <w:rFonts w:ascii="Noto Sans SC" w:hAnsi="Noto Sans SC" w:eastAsia="Noto Sans SC" w:cs="Noto Sans SC"/>
      <w:sz w:val="16"/>
      <w:szCs w:val="16"/>
    </w:rPr>
  </w:style>
  <w:style w:type="paragraph" w:styleId="CommentText">
    <w:name w:val="annotation text"/>
    <w:basedOn w:val="Normal"/>
    <w:link w:val="CommentTextChar"/>
    <w:uiPriority w:val="99"/>
    <w:semiHidden/>
    <w:unhideWhenUsed/>
    <w:rsid w:val="00E332D8"/>
    <w:pPr>
      <w:spacing w:line="240" w:lineRule="auto"/>
    </w:pPr>
    <w:rPr>
      <w:rFonts w:ascii="Noto Sans SC" w:hAnsi="Noto Sans SC" w:eastAsia="Noto Sans SC" w:cs="Noto Sans SC"/>
    </w:rPr>
  </w:style>
  <w:style w:type="character" w:customStyle="1" w:styleId="CommentTextChar">
    <w:name w:val="Comment Text Char"/>
    <w:basedOn w:val="DefaultParagraphFont"/>
    <w:link w:val="CommentText"/>
    <w:uiPriority w:val="99"/>
    <w:semiHidden/>
    <w:rsid w:val="00E332D8"/>
    <w:rPr>
      <w:rFonts w:ascii="Noto Sans SC" w:hAnsi="Noto Sans SC" w:eastAsia="Noto Sans SC" w:cs="Noto Sans SC"/>
    </w:rPr>
  </w:style>
  <w:style w:type="paragraph" w:styleId="CommentSubject">
    <w:name w:val="annotation subject"/>
    <w:basedOn w:val="CommentText"/>
    <w:next w:val="CommentText"/>
    <w:link w:val="CommentSubjectChar"/>
    <w:uiPriority w:val="99"/>
    <w:semiHidden/>
    <w:unhideWhenUsed/>
    <w:rsid w:val="00E332D8"/>
    <w:rPr>
      <w:rFonts w:ascii="Noto Sans SC" w:hAnsi="Noto Sans SC" w:eastAsia="Noto Sans SC" w:cs="Noto Sans SC"/>
      <w:b/>
      <w:bCs/>
    </w:rPr>
  </w:style>
  <w:style w:type="character" w:customStyle="1" w:styleId="CommentSubjectChar">
    <w:name w:val="Comment Subject Char"/>
    <w:basedOn w:val="CommentTextChar"/>
    <w:link w:val="CommentSubject"/>
    <w:uiPriority w:val="99"/>
    <w:semiHidden/>
    <w:rsid w:val="00E332D8"/>
    <w:rPr>
      <w:rFonts w:ascii="Noto Sans SC" w:hAnsi="Noto Sans SC" w:eastAsia="Noto Sans SC" w:cs="Noto Sans SC"/>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0024">
      <w:bodyDiv w:val="1"/>
      <w:marLeft w:val="0"/>
      <w:marRight w:val="0"/>
      <w:marTop w:val="0"/>
      <w:marBottom w:val="0"/>
      <w:divBdr>
        <w:top w:val="none" w:sz="0" w:space="0" w:color="auto"/>
        <w:left w:val="none" w:sz="0" w:space="0" w:color="auto"/>
        <w:bottom w:val="none" w:sz="0" w:space="0" w:color="auto"/>
        <w:right w:val="none" w:sz="0" w:space="0" w:color="auto"/>
      </w:divBdr>
    </w:div>
    <w:div w:id="236018666">
      <w:bodyDiv w:val="1"/>
      <w:marLeft w:val="0"/>
      <w:marRight w:val="0"/>
      <w:marTop w:val="0"/>
      <w:marBottom w:val="0"/>
      <w:divBdr>
        <w:top w:val="none" w:sz="0" w:space="0" w:color="auto"/>
        <w:left w:val="none" w:sz="0" w:space="0" w:color="auto"/>
        <w:bottom w:val="none" w:sz="0" w:space="0" w:color="auto"/>
        <w:right w:val="none" w:sz="0" w:space="0" w:color="auto"/>
      </w:divBdr>
    </w:div>
    <w:div w:id="1282611727">
      <w:bodyDiv w:val="1"/>
      <w:marLeft w:val="0"/>
      <w:marRight w:val="0"/>
      <w:marTop w:val="0"/>
      <w:marBottom w:val="0"/>
      <w:divBdr>
        <w:top w:val="none" w:sz="0" w:space="0" w:color="auto"/>
        <w:left w:val="none" w:sz="0" w:space="0" w:color="auto"/>
        <w:bottom w:val="none" w:sz="0" w:space="0" w:color="auto"/>
        <w:right w:val="none" w:sz="0" w:space="0" w:color="auto"/>
      </w:divBdr>
    </w:div>
    <w:div w:id="1527475674">
      <w:bodyDiv w:val="1"/>
      <w:marLeft w:val="0"/>
      <w:marRight w:val="0"/>
      <w:marTop w:val="0"/>
      <w:marBottom w:val="0"/>
      <w:divBdr>
        <w:top w:val="none" w:sz="0" w:space="0" w:color="auto"/>
        <w:left w:val="none" w:sz="0" w:space="0" w:color="auto"/>
        <w:bottom w:val="none" w:sz="0" w:space="0" w:color="auto"/>
        <w:right w:val="none" w:sz="0" w:space="0" w:color="auto"/>
      </w:divBdr>
    </w:div>
    <w:div w:id="1692146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1.xml"/><Relationship Id="rId7" Type="http://schemas.openxmlformats.org/officeDocument/2006/relationships/settings" Target="settings.xml"/><Relationship Id="rId17" Type="http://schemas.openxmlformats.org/officeDocument/2006/relationships/header" Target="header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2.xml"/><Relationship Id="rId2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Template>Normal</Template>
  <TotalTime>0</TotalTime>
  <Pages>18</Pages>
  <Words>3070</Words>
  <Characters>17503</Characters>
  <Application>Microsoft Office Word</Application>
  <DocSecurity>0</DocSecurity>
  <Lines>145</Lines>
  <Paragraphs>41</Paragraphs>
  <ScaleCrop>false</ScaleCrop>
  <Company/>
  <LinksUpToDate>false</LinksUpToDate>
  <CharactersWithSpaces>20532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Blocky Studio 商业计划书</dc:title>
  <dc:subject/>
  <dc:creator>TB快重置就队</dc:creator>
  <cp:keywords/>
  <dc:description/>
  <cp:lastModifiedBy>TB快重置就队</cp:lastModifiedBy>
  <cp:revision>1</cp:revision>
  <dcterms:created xsi:type="dcterms:W3CDTF">2026-10-03T07:47:12Z</dcterms:created>
  <dcterms:modified xsi:type="dcterms:W3CDTF">2026-10-03T07:47:12Z</dcterms:modified>
</cp:coreProperties>
</file>