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37FE" w14:textId="77777777" w:rsidR="005C2F7F" w:rsidRDefault="00000000">
      <w:pPr>
        <w:spacing w:before="120" w:after="120" w:line="276" w:lineRule="auto"/>
      </w:pPr>
      <w:r>
        <w:t>Managing your investments in a way that aligns with your long-term plan is a key part of meeting your financial goals. Nearly all plans assume some level of portfolio growth and risk and achieving those targets requires a clearly defined investment strategy. The purpose of this Investment Policy Statement is to outline your investment strategy and how the strategy aligns with your plan.</w:t>
      </w:r>
    </w:p>
    <w:p w14:paraId="1658D48E" w14:textId="77777777" w:rsidR="005C2F7F" w:rsidRDefault="00000000">
      <w:pPr>
        <w:spacing w:before="120" w:after="120" w:line="276" w:lineRule="auto"/>
      </w:pPr>
      <w:r>
        <w:t xml:space="preserve">We consider </w:t>
      </w:r>
      <w:proofErr w:type="gramStart"/>
      <w:r>
        <w:t>a number of</w:t>
      </w:r>
      <w:proofErr w:type="gramEnd"/>
      <w:r>
        <w:t xml:space="preserve"> factors in formulating your investment strategy, but broadly, they involve combining our investment approach with your unique needs and goals, and we outline the key details of each below.</w:t>
      </w:r>
    </w:p>
    <w:p w14:paraId="68DF17C9" w14:textId="77777777" w:rsidR="005C2F7F" w:rsidRDefault="005C2F7F">
      <w:pPr>
        <w:spacing w:before="60" w:after="60"/>
      </w:pPr>
    </w:p>
    <w:p w14:paraId="51A06FCE" w14:textId="77777777" w:rsidR="005C2F7F" w:rsidRDefault="00000000">
      <w:pPr>
        <w:spacing w:before="240" w:after="60"/>
      </w:pPr>
      <w:r>
        <w:rPr>
          <w:b/>
          <w:bCs/>
        </w:rPr>
        <w:t>Investment Approach</w:t>
      </w:r>
    </w:p>
    <w:p w14:paraId="12EE205C" w14:textId="77777777" w:rsidR="005C2F7F" w:rsidRDefault="00000000">
      <w:pPr>
        <w:spacing w:before="120" w:after="120" w:line="276" w:lineRule="auto"/>
      </w:pPr>
      <w:r>
        <w:t>There are a few core beliefs that inform our investment approach. They are as follows:</w:t>
      </w:r>
    </w:p>
    <w:p w14:paraId="545C19D3" w14:textId="77777777" w:rsidR="005C2F7F" w:rsidRDefault="00000000">
      <w:pPr>
        <w:pStyle w:val="ListParagraph"/>
        <w:numPr>
          <w:ilvl w:val="0"/>
          <w:numId w:val="1"/>
        </w:numPr>
        <w:spacing w:before="60" w:after="60" w:line="276" w:lineRule="auto"/>
      </w:pPr>
      <w:r>
        <w:t>Asset allocation provides the lion’s share of return, and the overall allocation chosen should have long-term historical returns that meet client return needs while not exceeding risk tolerance.</w:t>
      </w:r>
    </w:p>
    <w:p w14:paraId="77D015F1" w14:textId="2F1C9E53" w:rsidR="005C2F7F" w:rsidRDefault="00000000" w:rsidP="004D3464">
      <w:pPr>
        <w:pStyle w:val="ListParagraph"/>
        <w:numPr>
          <w:ilvl w:val="0"/>
          <w:numId w:val="1"/>
        </w:numPr>
        <w:spacing w:before="60" w:after="60" w:line="276" w:lineRule="auto"/>
      </w:pPr>
      <w:r>
        <w:t>Diversification is needed to temper short-term losses while providing steadier returns over the long-term. However, at any given time, some investments will underperform others for a time, and in those instances, patience is usually the best approach.</w:t>
      </w:r>
    </w:p>
    <w:p w14:paraId="04E6A3C8" w14:textId="77777777" w:rsidR="005C2F7F" w:rsidRDefault="00000000">
      <w:pPr>
        <w:pStyle w:val="ListParagraph"/>
        <w:numPr>
          <w:ilvl w:val="0"/>
          <w:numId w:val="1"/>
        </w:numPr>
        <w:spacing w:before="60" w:after="60" w:line="276" w:lineRule="auto"/>
      </w:pPr>
      <w:r>
        <w:t>Value stocks have, over the long term, outperformed growth stocks so a slight value tilt to portfolios is advisable. Given the pattern of outperformance – which can take years to manifest – investor patience is key when it comes to value investing.</w:t>
      </w:r>
    </w:p>
    <w:p w14:paraId="1F25F26B" w14:textId="77777777" w:rsidR="005C2F7F" w:rsidRDefault="005C2F7F">
      <w:pPr>
        <w:spacing w:before="60" w:after="60"/>
      </w:pPr>
    </w:p>
    <w:p w14:paraId="0DD1C6A5" w14:textId="77777777" w:rsidR="005C2F7F" w:rsidRDefault="00000000">
      <w:pPr>
        <w:spacing w:before="240" w:after="60"/>
      </w:pPr>
      <w:r>
        <w:rPr>
          <w:b/>
          <w:bCs/>
        </w:rPr>
        <w:t>Background</w:t>
      </w:r>
    </w:p>
    <w:p w14:paraId="43BE5E44" w14:textId="77777777" w:rsidR="005C2F7F" w:rsidRDefault="00000000">
      <w:pPr>
        <w:spacing w:before="120" w:after="120" w:line="276" w:lineRule="auto"/>
      </w:pPr>
      <w:r>
        <w:rPr>
          <w:b/>
          <w:bCs/>
          <w:u w:val="single"/>
        </w:rPr>
        <w:t>{{BACKGROUND}}</w:t>
      </w:r>
    </w:p>
    <w:p w14:paraId="793324A0" w14:textId="77777777" w:rsidR="005C2F7F" w:rsidRDefault="005C2F7F">
      <w:pPr>
        <w:spacing w:before="60" w:after="60"/>
      </w:pPr>
    </w:p>
    <w:p w14:paraId="3A110ABB" w14:textId="77777777" w:rsidR="005C2F7F" w:rsidRDefault="00000000">
      <w:pPr>
        <w:spacing w:before="240" w:after="60"/>
      </w:pPr>
      <w:r>
        <w:rPr>
          <w:b/>
          <w:bCs/>
        </w:rPr>
        <w:t>Portfolio Allocation, Return and Risk Targets</w:t>
      </w:r>
    </w:p>
    <w:p w14:paraId="3AD58478" w14:textId="75801EE7" w:rsidR="005C2F7F" w:rsidRDefault="00000000">
      <w:pPr>
        <w:spacing w:before="120" w:after="120" w:line="276" w:lineRule="auto"/>
      </w:pPr>
      <w:r>
        <w:t xml:space="preserve">Based on your needs, we recommend our </w:t>
      </w:r>
      <w:r>
        <w:rPr>
          <w:b/>
          <w:bCs/>
          <w:u w:val="single"/>
        </w:rPr>
        <w:t>{{ALLOCATION}}</w:t>
      </w:r>
      <w:r>
        <w:t xml:space="preserve"> portfolio. Historically, a portfolio invested using our </w:t>
      </w:r>
      <w:r>
        <w:rPr>
          <w:b/>
          <w:bCs/>
          <w:u w:val="single"/>
        </w:rPr>
        <w:t>{{ALLOCATION}}</w:t>
      </w:r>
      <w:r>
        <w:t xml:space="preserve"> allocation has exceeded the </w:t>
      </w:r>
      <w:r>
        <w:rPr>
          <w:b/>
          <w:bCs/>
          <w:u w:val="single"/>
        </w:rPr>
        <w:t>{{ALLOCATION_RETURN}}</w:t>
      </w:r>
      <w:r>
        <w:t xml:space="preserve"> target</w:t>
      </w:r>
      <w:r w:rsidR="004D3464">
        <w:t>, after fees and inflation,</w:t>
      </w:r>
      <w:r>
        <w:t xml:space="preserve"> outlined in your financial plan. Note that this is a long-term average and extended periods of outperformance or underperformance are not unusual. To minimize the risk that return falls short of the long-term target, we’ve used the maximum period for which data is available to calculate the expected return for your portfolio.</w:t>
      </w:r>
    </w:p>
    <w:p w14:paraId="2C47D5F3" w14:textId="67455E9E" w:rsidR="005C2F7F" w:rsidRDefault="00000000">
      <w:pPr>
        <w:spacing w:before="120" w:after="120" w:line="276" w:lineRule="auto"/>
      </w:pPr>
      <w:r>
        <w:t xml:space="preserve">When it comes to quantifying risk in a portfolio, we consider both maximum drawdown and period to recovery. Maximum drawdown is the maximum percentage drop in a portfolio – from peak to trough – over a given </w:t>
      </w:r>
      <w:proofErr w:type="gramStart"/>
      <w:r>
        <w:t>time period</w:t>
      </w:r>
      <w:proofErr w:type="gramEnd"/>
      <w:r>
        <w:t xml:space="preserve">. We </w:t>
      </w:r>
      <w:r w:rsidR="004D3464">
        <w:t>believe</w:t>
      </w:r>
      <w:r>
        <w:t xml:space="preserve"> maximum drawdown </w:t>
      </w:r>
      <w:r w:rsidR="004D3464">
        <w:t>provides a</w:t>
      </w:r>
      <w:r>
        <w:t xml:space="preserve"> clearer </w:t>
      </w:r>
      <w:r w:rsidR="004D3464">
        <w:t>understanding of potential downside risk</w:t>
      </w:r>
      <w:r>
        <w:t xml:space="preserve"> than measures like standard deviation that other advisors use, and in your case, the maximum drawdown over the last 40 years for a portfolio similarly invested to yours was </w:t>
      </w:r>
      <w:r>
        <w:rPr>
          <w:b/>
          <w:bCs/>
          <w:u w:val="single"/>
        </w:rPr>
        <w:t>{{MAX_DRAWDOWN}}</w:t>
      </w:r>
      <w:r>
        <w:t>.</w:t>
      </w:r>
    </w:p>
    <w:p w14:paraId="5AE78366" w14:textId="77777777" w:rsidR="005C2F7F" w:rsidRDefault="00000000">
      <w:pPr>
        <w:spacing w:before="120" w:after="120" w:line="276" w:lineRule="auto"/>
      </w:pPr>
      <w:r>
        <w:lastRenderedPageBreak/>
        <w:t xml:space="preserve">Maximum drawdown only tells part of the story however, as historically, markets have rallied after downturns. Understanding how long it has taken portfolios to go from drop to recovery is another useful risk metric, particularly if you have regular cash needs from your portfolio. Looking again at the last 40 years, the maximum period it has taken a portfolio </w:t>
      </w:r>
      <w:proofErr w:type="gramStart"/>
      <w:r>
        <w:t>similar to</w:t>
      </w:r>
      <w:proofErr w:type="gramEnd"/>
      <w:r>
        <w:t xml:space="preserve"> yours to drop and recover – without taking cash flows into or out of the portfolio into account – was </w:t>
      </w:r>
      <w:r>
        <w:rPr>
          <w:b/>
          <w:bCs/>
          <w:u w:val="single"/>
        </w:rPr>
        <w:t>{{RECOVERY_TIME}}</w:t>
      </w:r>
      <w:r>
        <w:t xml:space="preserve"> days.</w:t>
      </w:r>
    </w:p>
    <w:p w14:paraId="2A3834A2" w14:textId="755FD8E1" w:rsidR="005C2F7F" w:rsidRDefault="00000000">
      <w:pPr>
        <w:spacing w:before="240" w:after="60"/>
      </w:pPr>
      <w:r>
        <w:rPr>
          <w:b/>
          <w:bCs/>
        </w:rPr>
        <w:t>Cash Needs</w:t>
      </w:r>
    </w:p>
    <w:p w14:paraId="4947EA04" w14:textId="77777777" w:rsidR="005C2F7F" w:rsidRDefault="00000000">
      <w:pPr>
        <w:spacing w:before="120" w:after="120" w:line="276" w:lineRule="auto"/>
      </w:pPr>
      <w:r>
        <w:rPr>
          <w:b/>
          <w:bCs/>
          <w:u w:val="single"/>
        </w:rPr>
        <w:t>{{CASH_NEEDS}}</w:t>
      </w:r>
    </w:p>
    <w:p w14:paraId="66E97A03" w14:textId="77777777" w:rsidR="005C2F7F" w:rsidRDefault="005C2F7F">
      <w:pPr>
        <w:spacing w:before="60" w:after="60"/>
      </w:pPr>
    </w:p>
    <w:p w14:paraId="25FAA7C6" w14:textId="77777777" w:rsidR="005C2F7F" w:rsidRDefault="00000000">
      <w:pPr>
        <w:spacing w:before="240" w:after="60"/>
      </w:pPr>
      <w:r>
        <w:rPr>
          <w:b/>
          <w:bCs/>
        </w:rPr>
        <w:t>Time Frame</w:t>
      </w:r>
    </w:p>
    <w:p w14:paraId="1C0312E0" w14:textId="77777777" w:rsidR="005C2F7F" w:rsidRDefault="00000000">
      <w:pPr>
        <w:spacing w:before="120" w:after="120" w:line="276" w:lineRule="auto"/>
      </w:pPr>
      <w:r>
        <w:rPr>
          <w:b/>
          <w:bCs/>
          <w:u w:val="single"/>
        </w:rPr>
        <w:t>{{TIME_FRAME}}</w:t>
      </w:r>
    </w:p>
    <w:p w14:paraId="3CF7DAD7" w14:textId="77777777" w:rsidR="005C2F7F" w:rsidRDefault="005C2F7F">
      <w:pPr>
        <w:spacing w:before="60" w:after="60"/>
      </w:pPr>
    </w:p>
    <w:p w14:paraId="0B933E2E" w14:textId="77777777" w:rsidR="005C2F7F" w:rsidRDefault="00000000">
      <w:pPr>
        <w:spacing w:before="240" w:after="60"/>
      </w:pPr>
      <w:r>
        <w:rPr>
          <w:b/>
          <w:bCs/>
        </w:rPr>
        <w:t>Unique Circumstances</w:t>
      </w:r>
    </w:p>
    <w:p w14:paraId="2AC5168C" w14:textId="77777777" w:rsidR="005C2F7F" w:rsidRDefault="00000000">
      <w:pPr>
        <w:spacing w:before="120" w:after="120" w:line="276" w:lineRule="auto"/>
      </w:pPr>
      <w:r>
        <w:rPr>
          <w:b/>
          <w:bCs/>
          <w:u w:val="single"/>
        </w:rPr>
        <w:t>{{UNIQUE_CONSIDERATIONS}}</w:t>
      </w:r>
    </w:p>
    <w:sectPr w:rsidR="005C2F7F">
      <w:pgSz w:w="12240" w:h="15840"/>
      <w:pgMar w:top="1440" w:right="1440" w:bottom="1440" w:left="1440" w:header="708" w:footer="708" w:gutter="0"/>
      <w:cols w:space="720"/>
      <w:docGrid w:linePitch="360"/>
    </w:sectPr>
    <w:p>
      <w:pPr>
        <w:spacing w:before="120" w:after="120"/>
      </w:pPr>
    </w:p>
    <w:p>
      <w:pPr>
        <w:spacing w:before="120" w:after="120"/>
      </w:pPr>
    </w:p>
    <w:p>
      <w:pPr>
        <w:spacing w:before="360" w:after="40"/>
        <w:pBdr>
          <w:bottom w:val="single" w:sz="6" w:space="4" w:color="000000"/>
        </w:pBdr>
      </w:pPr>
      <w:r>
        <w:rPr>
          <w:rFonts w:ascii="Arial" w:hAnsi="Arial" w:cs="Arial"/>
          <w:sz w:val="22"/>
          <w:szCs w:val="22"/>
        </w:rPr>
        <w:t xml:space="preserve">{{SIGNER_1}}</w:t>
      </w:r>
    </w:p>
    <w:p>
      <w:pPr>
        <w:spacing w:before="40" w:after="200"/>
      </w:pPr>
      <w:r>
        <w:rPr>
          <w:rFonts w:ascii="Arial" w:hAnsi="Arial" w:cs="Arial"/>
          <w:sz w:val="22"/>
          <w:szCs w:val="22"/>
        </w:rPr>
        <w:t xml:space="preserve">Date</w:t>
      </w:r>
    </w:p>
    <w:p>
      <w:pPr>
        <w:spacing w:before="360" w:after="40"/>
        <w:pBdr>
          <w:bottom w:val="single" w:sz="6" w:space="4" w:color="000000"/>
        </w:pBdr>
      </w:pPr>
      <w:r>
        <w:rPr>
          <w:rFonts w:ascii="Arial" w:hAnsi="Arial" w:cs="Arial"/>
          <w:sz w:val="22"/>
          <w:szCs w:val="22"/>
        </w:rPr>
        <w:t xml:space="preserve">{{SIGNER_2}}</w:t>
      </w:r>
    </w:p>
    <w:p>
      <w:pPr>
        <w:spacing w:before="40" w:after="200"/>
      </w:pPr>
      <w:r>
        <w:rPr>
          <w:rFonts w:ascii="Arial" w:hAnsi="Arial" w:cs="Arial"/>
          <w:sz w:val="22"/>
          <w:szCs w:val="22"/>
        </w:rPr>
        <w:t xml:space="preserve">Date</w:t>
      </w:r>
    </w:p>
    <w:p>
      <w:pPr>
        <w:spacing w:before="120" w:after="120"/>
      </w:pPr>
    </w:p>
    <w:p>
      <w:pPr>
        <w:spacing w:before="120" w:after="40"/>
      </w:pPr>
      <w:r>
        <w:rPr>
          <w:rFonts w:ascii="Arial" w:hAnsi="Arial" w:cs="Arial"/>
          <w:b/>
          <w:sz w:val="22"/>
          <w:szCs w:val="22"/>
        </w:rPr>
        <w:t xml:space="preserve">Micah Porter</w:t>
      </w:r>
    </w:p>
    <w:p>
      <w:pPr>
        <w:spacing w:before="0" w:after="20"/>
      </w:pPr>
      <w:r>
        <w:rPr>
          <w:rFonts w:ascii="Arial" w:hAnsi="Arial" w:cs="Arial"/>
          <w:sz w:val="22"/>
          <w:szCs w:val="22"/>
        </w:rPr>
        <w:t xml:space="preserve">Minerva Planning Group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40D43"/>
    <w:multiLevelType w:val="hybridMultilevel"/>
    <w:tmpl w:val="82184536"/>
    <w:lvl w:ilvl="0" w:tplc="8506AB36">
      <w:start w:val="1"/>
      <w:numFmt w:val="bullet"/>
      <w:lvlText w:val="●"/>
      <w:lvlJc w:val="left"/>
      <w:pPr>
        <w:ind w:left="720" w:hanging="360"/>
      </w:pPr>
    </w:lvl>
    <w:lvl w:ilvl="1" w:tplc="CFA6A35A">
      <w:start w:val="1"/>
      <w:numFmt w:val="bullet"/>
      <w:lvlText w:val="○"/>
      <w:lvlJc w:val="left"/>
      <w:pPr>
        <w:ind w:left="1440" w:hanging="360"/>
      </w:pPr>
    </w:lvl>
    <w:lvl w:ilvl="2" w:tplc="1E68DBB6">
      <w:start w:val="1"/>
      <w:numFmt w:val="bullet"/>
      <w:lvlText w:val="■"/>
      <w:lvlJc w:val="left"/>
      <w:pPr>
        <w:ind w:left="2160" w:hanging="360"/>
      </w:pPr>
    </w:lvl>
    <w:lvl w:ilvl="3" w:tplc="53AA3712">
      <w:start w:val="1"/>
      <w:numFmt w:val="bullet"/>
      <w:lvlText w:val="●"/>
      <w:lvlJc w:val="left"/>
      <w:pPr>
        <w:ind w:left="2880" w:hanging="360"/>
      </w:pPr>
    </w:lvl>
    <w:lvl w:ilvl="4" w:tplc="3D50A60E">
      <w:start w:val="1"/>
      <w:numFmt w:val="bullet"/>
      <w:lvlText w:val="○"/>
      <w:lvlJc w:val="left"/>
      <w:pPr>
        <w:ind w:left="3600" w:hanging="360"/>
      </w:pPr>
    </w:lvl>
    <w:lvl w:ilvl="5" w:tplc="180A7822">
      <w:start w:val="1"/>
      <w:numFmt w:val="bullet"/>
      <w:lvlText w:val="■"/>
      <w:lvlJc w:val="left"/>
      <w:pPr>
        <w:ind w:left="4320" w:hanging="360"/>
      </w:pPr>
    </w:lvl>
    <w:lvl w:ilvl="6" w:tplc="0B16CCF6">
      <w:start w:val="1"/>
      <w:numFmt w:val="bullet"/>
      <w:lvlText w:val="●"/>
      <w:lvlJc w:val="left"/>
      <w:pPr>
        <w:ind w:left="5040" w:hanging="360"/>
      </w:pPr>
    </w:lvl>
    <w:lvl w:ilvl="7" w:tplc="6FD6FC98">
      <w:start w:val="1"/>
      <w:numFmt w:val="bullet"/>
      <w:lvlText w:val="●"/>
      <w:lvlJc w:val="left"/>
      <w:pPr>
        <w:ind w:left="5760" w:hanging="360"/>
      </w:pPr>
    </w:lvl>
    <w:lvl w:ilvl="8" w:tplc="14708274">
      <w:start w:val="1"/>
      <w:numFmt w:val="bullet"/>
      <w:lvlText w:val="●"/>
      <w:lvlJc w:val="left"/>
      <w:pPr>
        <w:ind w:left="6480" w:hanging="360"/>
      </w:pPr>
    </w:lvl>
  </w:abstractNum>
  <w:num w:numId="1" w16cid:durableId="885407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F7F"/>
    <w:rsid w:val="004D3464"/>
    <w:rsid w:val="00523429"/>
    <w:rsid w:val="005C2F7F"/>
    <w:rsid w:val="00ED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17440"/>
  <w15:docId w15:val="{FC9DE377-D67C-BC42-921C-E32DE3BA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Micah Porter</cp:lastModifiedBy>
  <cp:revision>2</cp:revision>
  <dcterms:created xsi:type="dcterms:W3CDTF">2026-04-01T13:11:00Z</dcterms:created>
  <dcterms:modified xsi:type="dcterms:W3CDTF">2026-04-01T13:11:00Z</dcterms:modified>
</cp:coreProperties>
</file>