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Договор 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lease_agreement_number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lease_agreement_number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} {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lease_agreement_date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passport_series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passport_number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passport_issuedBy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passport_issueDate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passport_departmentCode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vehicle_make) 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vehicle_licensePlate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vehicle_vin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chassis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bodyColor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ptsNumber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stsNumber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$(lastName) $(firstName) $(patronymic) паспорт $(passport_series)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$(passport_number ). $(passport_issuedBy), $(passport_issueDate) код $(passport_departmentCode)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$(lease_agreement_number )$(lease_agreement_date )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passport_series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passport_number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passport_issuedBy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passport_issueDate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passport_departmentCode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vehicle_make) 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vehicle_licensePlate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vehicle_vin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chassis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bodyColor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bodyNumber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ptsNumber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 stsNumber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>
          <w:trHeight w:val="4757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паспорт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passport_series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passport_number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passport_issuedBy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passport_issueDate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код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passport_departmentCode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LibreOffice/25.2.5.2$Linux_X86_64 LibreOffice_project/520$Build-2</Application>
  <AppVersion>15.0000</AppVersion>
  <Pages>7</Pages>
  <Words>2795</Words>
  <Characters>20611</Characters>
  <CharactersWithSpaces>23490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2025-08-29T17:45:40Z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