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Times New Roman" w:hAnsi="Times New Roman" w:eastAsia="SimSun"/>
          <w:b/>
          <w:color w:val="19375C"/>
          <w:sz w:val="40"/>
        </w:rPr>
        <w:t>数字员工平台 Demo｜四人开发分工</w:t>
      </w:r>
    </w:p>
    <w:p>
      <w:pPr>
        <w:spacing w:after="240"/>
        <w:jc w:val="center"/>
      </w:pPr>
      <w:r>
        <w:rPr>
          <w:rFonts w:ascii="Times New Roman" w:hAnsi="Times New Roman" w:eastAsia="SimSun"/>
          <w:color w:val="5A5A5A"/>
          <w:sz w:val="22"/>
        </w:rPr>
        <w:t>Codex 辅助开发 + DeepSeek API｜一周原型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5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SimSun"/>
                <w:b/>
                <w:color w:val="1F4E79"/>
                <w:sz w:val="22"/>
              </w:rPr>
              <w:t>分工原则：</w:t>
            </w:r>
            <w:r>
              <w:rPr>
                <w:rFonts w:ascii="Times New Roman" w:hAnsi="Times New Roman" w:eastAsia="SimSun"/>
                <w:sz w:val="22"/>
              </w:rPr>
              <w:t xml:space="preserve"> 两名正式员工负责所有真实数据、真实知识库、权限、安全策略和企业系统接入；两名实习生只接触代码、Mock 数据、虚构知识库和非敏感模块。Codex 用于加速开发，DeepSeek API 作为 Demo 的模型服务。</w:t>
            </w:r>
          </w:p>
        </w:tc>
      </w:tr>
    </w:tbl>
    <w:p/>
    <w:p>
      <w:pPr>
        <w:pStyle w:val="Heading1"/>
      </w:pPr>
      <w:r>
        <w:t>一、四人分工总览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20"/>
              </w:rPr>
              <w:t>人员</w:t>
            </w:r>
          </w:p>
        </w:tc>
        <w:tc>
          <w:tcPr>
            <w:tcW w:type="dxa" w:w="2550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550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20"/>
              </w:rPr>
              <w:t>主责</w:t>
            </w:r>
          </w:p>
        </w:tc>
        <w:tc>
          <w:tcPr>
            <w:tcW w:type="dxa" w:w="2550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20"/>
              </w:rPr>
              <w:t>数据权限</w:t>
            </w:r>
          </w:p>
        </w:tc>
      </w:tr>
      <w:tr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SimSun"/>
                <w:b/>
                <w:sz w:val="19"/>
              </w:rPr>
              <w:t>A｜你（正式员工）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项目总负责人 / 平台总装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总体架构、后端主链路、DeepSeek API、接口定义、最终联调与 Demo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4E5"/>
          </w:tcPr>
          <w:p>
            <w:pPr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可访问真实数据</w:t>
            </w:r>
          </w:p>
        </w:tc>
      </w:tr>
      <w:tr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SimSun"/>
                <w:b/>
                <w:sz w:val="19"/>
              </w:rPr>
              <w:t>B｜另一名正式员工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数据安全与企业资源负责人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内部知识库、权限策略、Plugin Gateway、Sandbox、真实 ADP/RPA/内部系统接入、审计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4E5"/>
          </w:tcPr>
          <w:p>
            <w:pPr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可访问真实数据</w:t>
            </w:r>
          </w:p>
        </w:tc>
      </w:tr>
      <w:tr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SimSun"/>
                <w:b/>
                <w:sz w:val="19"/>
              </w:rPr>
              <w:t>C｜实习生 1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前端负责人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数字员工总览、员工详情、聊天、插件配置、安全标签、Agent Team 群聊 UI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CE8E6"/>
          </w:tcPr>
          <w:p>
            <w:pPr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禁止访问任何真实数据</w:t>
            </w:r>
          </w:p>
        </w:tc>
      </w:tr>
      <w:tr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SimSun"/>
                <w:b/>
                <w:sz w:val="19"/>
              </w:rPr>
              <w:t>D｜实习生 2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Mock / 测试负责人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Mock API、虚构知识库、Mock ADP/RPA、Demo 数据、接口测试、Trace 展示与初始化脚本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CE8E6"/>
          </w:tcPr>
          <w:p>
            <w:pPr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禁止访问任何真实数据</w:t>
            </w:r>
          </w:p>
        </w:tc>
      </w:tr>
    </w:tbl>
    <w:p/>
    <w:p>
      <w:pPr>
        <w:pStyle w:val="Heading1"/>
      </w:pPr>
      <w:r>
        <w:t>二、个人职责与交付物</w:t>
      </w:r>
    </w:p>
    <w:p>
      <w:pPr>
        <w:pStyle w:val="Heading2"/>
        <w:keepNext/>
      </w:pPr>
      <w:r>
        <w:rPr>
          <w:rFonts w:ascii="Times New Roman" w:hAnsi="Times New Roman" w:eastAsia="SimSun"/>
          <w:b/>
          <w:color w:val="1F4E79"/>
          <w:sz w:val="24"/>
        </w:rPr>
        <w:t>A｜你（正式员工）— 项目总负责人 / 平台总装</w:t>
      </w:r>
    </w:p>
    <w:p>
      <w:pPr>
        <w:spacing w:after="100"/>
      </w:pPr>
      <w:r>
        <w:rPr>
          <w:rFonts w:ascii="Times New Roman" w:hAnsi="Times New Roman" w:eastAsia="SimSun"/>
          <w:b/>
          <w:color w:val="414141"/>
          <w:sz w:val="21"/>
        </w:rPr>
        <w:t>负责把所有模块“接起来”，是最终 Demo 的唯一总集成人。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>确定项目目录、接口规范、统一数据模型和任务优先级；每天合并代码并控制主分支。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>开发后端核心：数字分身/虚拟员工 CRUD、员工问答、Runtime Binding、Team 任务入口、Trace 聚合。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>接入 DeepSeek API，统一封装 chat / structured output / tool calling；会话历史由平台后端保存。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>定义并维护正式接口：员工、插件、权限、安全、团队、审计等 API，保证实习生只按 Schema 开发。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>负责 Agent Teams / DeepSeek Harness（如需）/ OpenClaw 等 Adapter 的总体编排与最终联调。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>Day 5 负责黄金链路、演示脚本、失败兜底、最终打包。</w:t>
      </w:r>
    </w:p>
    <w:p>
      <w:pPr>
        <w:keepNext/>
      </w:pPr>
      <w:r>
        <w:rPr>
          <w:rFonts w:ascii="Times New Roman" w:hAnsi="Times New Roman" w:eastAsia="SimSun"/>
          <w:b/>
          <w:color w:val="1F4E79"/>
          <w:sz w:val="21"/>
        </w:rPr>
        <w:t>明确交付物：</w:t>
      </w:r>
    </w:p>
    <w:p>
      <w:pPr>
        <w:pStyle w:val="ListBullet2"/>
        <w:spacing w:after="20"/>
      </w:pPr>
      <w:r>
        <w:rPr>
          <w:rFonts w:ascii="Times New Roman" w:hAnsi="Times New Roman" w:eastAsia="SimSun"/>
          <w:sz w:val="21"/>
        </w:rPr>
        <w:t>后端主服务可运行；DeepSeek API 问答跑通；至少 1 个数字分身 + 1 个虚拟员工真实问答；Team/Runtime Adapter 可调用；最终端到端 Demo。</w:t>
      </w:r>
    </w:p>
    <w:p>
      <w:pPr>
        <w:spacing w:after="160"/>
      </w:pPr>
      <w:r>
        <w:rPr>
          <w:rFonts w:ascii="Times New Roman" w:hAnsi="Times New Roman" w:eastAsia="SimSun"/>
          <w:b/>
          <w:color w:val="B4502D"/>
          <w:sz w:val="21"/>
        </w:rPr>
        <w:t>边界：</w:t>
      </w:r>
      <w:r>
        <w:rPr>
          <w:rFonts w:ascii="Times New Roman" w:hAnsi="Times New Roman" w:eastAsia="SimSun"/>
          <w:sz w:val="21"/>
        </w:rPr>
        <w:t>可以接触真实数据，但真实数据仅在受控环境中使用；不得将未经批准的内部内容直接发送到公网模型 API。</w:t>
      </w:r>
    </w:p>
    <w:p>
      <w:pPr>
        <w:pStyle w:val="Heading2"/>
        <w:keepNext/>
      </w:pPr>
      <w:r>
        <w:rPr>
          <w:rFonts w:ascii="Times New Roman" w:hAnsi="Times New Roman" w:eastAsia="SimSun"/>
          <w:b/>
          <w:color w:val="1F4E79"/>
          <w:sz w:val="24"/>
        </w:rPr>
        <w:t>B｜正式员工 2 — 数据安全与企业资源负责人</w:t>
      </w:r>
    </w:p>
    <w:p>
      <w:pPr>
        <w:spacing w:after="100"/>
      </w:pPr>
      <w:r>
        <w:rPr>
          <w:rFonts w:ascii="Times New Roman" w:hAnsi="Times New Roman" w:eastAsia="SimSun"/>
          <w:b/>
          <w:color w:val="414141"/>
          <w:sz w:val="21"/>
        </w:rPr>
        <w:t>负责所有“只有正式员工才能碰”的部分，是数据与安全边界的 Owner。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>梳理现有内部知识库及访问规则，形成知识库资源清单、部门 Scope、正式员工/实习生访问限制。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>实现 Knowledge Adapter：把真实知识库统一封装成受控查询接口，不把原始数据暴露给其他开发者。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>实现/维护 Policy Engine 与 Plugin Gateway：身份、插件权限、数据范围、网络、Sandbox、审批。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>负责远程 Sandbox / No Internet / 目录挂载等最小可演示隔离机制。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>负责真实 ADP Workflow、RPA、内部 API 的接入；若接口申请不及时，提供与真实接口同协议的 Mock 规范。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>负责审计字段和安全事件：Allow / Deny / Approval / trace_id / employee_id / plugin_id。</w:t>
      </w:r>
    </w:p>
    <w:p>
      <w:pPr>
        <w:keepNext/>
      </w:pPr>
      <w:r>
        <w:rPr>
          <w:rFonts w:ascii="Times New Roman" w:hAnsi="Times New Roman" w:eastAsia="SimSun"/>
          <w:b/>
          <w:color w:val="1F4E79"/>
          <w:sz w:val="21"/>
        </w:rPr>
        <w:t>明确交付物：</w:t>
      </w:r>
    </w:p>
    <w:p>
      <w:pPr>
        <w:pStyle w:val="ListBullet2"/>
        <w:spacing w:after="20"/>
      </w:pPr>
      <w:r>
        <w:rPr>
          <w:rFonts w:ascii="Times New Roman" w:hAnsi="Times New Roman" w:eastAsia="SimSun"/>
          <w:sz w:val="21"/>
        </w:rPr>
        <w:t>真实知识库 Adapter；至少 2 条 Policy（正常允许 + 越权拒绝）；Sandbox 策略；1 个真实或可替换的企业插件 Adapter；审计事件输出。</w:t>
      </w:r>
    </w:p>
    <w:p>
      <w:pPr>
        <w:spacing w:after="160"/>
      </w:pPr>
      <w:r>
        <w:rPr>
          <w:rFonts w:ascii="Times New Roman" w:hAnsi="Times New Roman" w:eastAsia="SimSun"/>
          <w:b/>
          <w:color w:val="B4502D"/>
          <w:sz w:val="21"/>
        </w:rPr>
        <w:t>边界：</w:t>
      </w:r>
      <w:r>
        <w:rPr>
          <w:rFonts w:ascii="Times New Roman" w:hAnsi="Times New Roman" w:eastAsia="SimSun"/>
          <w:sz w:val="21"/>
        </w:rPr>
        <w:t>真实知识库、Token、内部 Endpoint、内部截图/日志仅由两名正式员工掌握，禁止放入实习生可访问的仓库或 Demo 数据目录。</w:t>
      </w:r>
    </w:p>
    <w:p>
      <w:pPr>
        <w:pStyle w:val="Heading2"/>
        <w:keepNext/>
      </w:pPr>
      <w:r>
        <w:rPr>
          <w:rFonts w:ascii="Times New Roman" w:hAnsi="Times New Roman" w:eastAsia="SimSun"/>
          <w:b/>
          <w:color w:val="1F4E79"/>
          <w:sz w:val="24"/>
        </w:rPr>
        <w:t>C｜实习生 1 — 前端负责人</w:t>
      </w:r>
    </w:p>
    <w:p>
      <w:pPr>
        <w:spacing w:after="100"/>
      </w:pPr>
      <w:r>
        <w:rPr>
          <w:rFonts w:ascii="Times New Roman" w:hAnsi="Times New Roman" w:eastAsia="SimSun"/>
          <w:b/>
          <w:color w:val="414141"/>
          <w:sz w:val="21"/>
        </w:rPr>
        <w:t>只负责产品界面与交互，不接触任何真实知识库、真实 Token 或内部业务数据。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>使用 React + TypeScript（或项目既定技术栈）完成数字员工平台前端。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>开发总览页：数字分身、虚拟员工、RPA、运行状态、Runtime、Owner 等卡片。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>开发员工详情页：身份、工号、权限标签、插件、数据范围、Sandbox、联网状态。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>开发员工聊天页：模型回答、Tool 调用卡片、Policy Denied 提示、Approval 状态。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>开发插件配置/安全配置页：Allow / Deny / Approval、Remote-only、Internet Deny 等可视化。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>开发 Agent Team 群聊页：Leader、Workers、任务状态、执行阶段和结果汇总。</w:t>
      </w:r>
    </w:p>
    <w:p>
      <w:pPr>
        <w:keepNext/>
      </w:pPr>
      <w:r>
        <w:rPr>
          <w:rFonts w:ascii="Times New Roman" w:hAnsi="Times New Roman" w:eastAsia="SimSun"/>
          <w:b/>
          <w:color w:val="1F4E79"/>
          <w:sz w:val="21"/>
        </w:rPr>
        <w:t>明确交付物：</w:t>
      </w:r>
    </w:p>
    <w:p>
      <w:pPr>
        <w:pStyle w:val="ListBullet2"/>
        <w:spacing w:after="20"/>
      </w:pPr>
      <w:r>
        <w:rPr>
          <w:rFonts w:ascii="Times New Roman" w:hAnsi="Times New Roman" w:eastAsia="SimSun"/>
          <w:sz w:val="21"/>
        </w:rPr>
        <w:t>完整可操作前端；所有页面先接 Mock API；与后端正式 Schema 保持一致；Day 4 前完成主要 UI。</w:t>
      </w:r>
    </w:p>
    <w:p>
      <w:pPr>
        <w:spacing w:after="160"/>
      </w:pPr>
      <w:r>
        <w:rPr>
          <w:rFonts w:ascii="Times New Roman" w:hAnsi="Times New Roman" w:eastAsia="SimSun"/>
          <w:b/>
          <w:color w:val="B4502D"/>
          <w:sz w:val="21"/>
        </w:rPr>
        <w:t>边界：</w:t>
      </w:r>
      <w:r>
        <w:rPr>
          <w:rFonts w:ascii="Times New Roman" w:hAnsi="Times New Roman" w:eastAsia="SimSun"/>
          <w:sz w:val="21"/>
        </w:rPr>
        <w:t>只能使用 demo-data、fake_employee、虚构知识库、Mock API；不得申请或接触真实知识库、真实接口凭据及内部敏感资料。</w:t>
      </w:r>
    </w:p>
    <w:p>
      <w:pPr>
        <w:pStyle w:val="Heading2"/>
        <w:keepNext/>
      </w:pPr>
      <w:r>
        <w:rPr>
          <w:rFonts w:ascii="Times New Roman" w:hAnsi="Times New Roman" w:eastAsia="SimSun"/>
          <w:b/>
          <w:color w:val="1F4E79"/>
          <w:sz w:val="24"/>
        </w:rPr>
        <w:t>D｜实习生 2 — Mock / 测试 / Demo 基础设施负责人</w:t>
      </w:r>
    </w:p>
    <w:p>
      <w:pPr>
        <w:spacing w:after="100"/>
      </w:pPr>
      <w:r>
        <w:rPr>
          <w:rFonts w:ascii="Times New Roman" w:hAnsi="Times New Roman" w:eastAsia="SimSun"/>
          <w:b/>
          <w:color w:val="414141"/>
          <w:sz w:val="21"/>
        </w:rPr>
        <w:t>负责让其他人“没有真实数据也能开发和测试”，并保证 Demo 可重复。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>建立 Mock Server 与 demo-data，模拟员工、知识库、插件、ADP Workflow、RPA、审计 Trace。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>制作虚构知识库：内容结构与真实接口一致，但文本全部为非敏感、虚构内容。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>为前端提供稳定的 Mock API，保证 C 不依赖正式员工的真实接口即可完成开发。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>编写接口自动化测试：员工 CRUD、聊天、插件授权、Policy Allow/Deny、Trace 查询。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>准备 Demo 初始化脚本：一键生成数字分身、虚拟员工、Team、插件和测试数据。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>协助 Trace/审计展示页面的数据结构、异常场景和失败兜底。</w:t>
      </w:r>
    </w:p>
    <w:p>
      <w:pPr>
        <w:keepNext/>
      </w:pPr>
      <w:r>
        <w:rPr>
          <w:rFonts w:ascii="Times New Roman" w:hAnsi="Times New Roman" w:eastAsia="SimSun"/>
          <w:b/>
          <w:color w:val="1F4E79"/>
          <w:sz w:val="21"/>
        </w:rPr>
        <w:t>明确交付物：</w:t>
      </w:r>
    </w:p>
    <w:p>
      <w:pPr>
        <w:pStyle w:val="ListBullet2"/>
        <w:spacing w:after="20"/>
      </w:pPr>
      <w:r>
        <w:rPr>
          <w:rFonts w:ascii="Times New Roman" w:hAnsi="Times New Roman" w:eastAsia="SimSun"/>
          <w:sz w:val="21"/>
        </w:rPr>
        <w:t>Mock Knowledge API；Mock ADP/RPA；完整 Demo 数据集；接口测试；初始化脚本；可重复的 Allow/Deny/Approval 测试场景。</w:t>
      </w:r>
    </w:p>
    <w:p>
      <w:pPr>
        <w:spacing w:after="160"/>
      </w:pPr>
      <w:r>
        <w:rPr>
          <w:rFonts w:ascii="Times New Roman" w:hAnsi="Times New Roman" w:eastAsia="SimSun"/>
          <w:b/>
          <w:color w:val="B4502D"/>
          <w:sz w:val="21"/>
        </w:rPr>
        <w:t>边界：</w:t>
      </w:r>
      <w:r>
        <w:rPr>
          <w:rFonts w:ascii="Times New Roman" w:hAnsi="Times New Roman" w:eastAsia="SimSun"/>
          <w:sz w:val="21"/>
        </w:rPr>
        <w:t>只使用 Mock/虚构数据；所有 Mock 名称和字段可仿真，内容不得由真实内部数据脱敏后直接复制。</w:t>
      </w:r>
    </w:p>
    <w:p>
      <w:pPr>
        <w:pStyle w:val="Heading1"/>
      </w:pPr>
      <w:r>
        <w:t>三、代码与数据边界</w:t>
      </w:r>
    </w:p>
    <w:p>
      <w:pPr>
        <w:spacing w:after="60" w:line="276" w:lineRule="auto"/>
        <w:ind w:firstLine="420"/>
      </w:pPr>
      <w:r>
        <w:rPr>
          <w:rFonts w:ascii="Times New Roman" w:hAnsi="Times New Roman" w:eastAsia="SimSun"/>
          <w:b w:val="0"/>
          <w:sz w:val="21"/>
        </w:rPr>
        <w:t>建议采用“共享代码仓库 + 正式员工安全 Overlay”模式。共享仓库四人均可访问，但只能包含代码、接口 Schema、Mock 数据和虚构知识库；真实配置和真实企业资源单独存放。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pPr>
              <w:jc w:val="center"/>
            </w:pPr>
            <w:r>
              <w:rPr>
                <w:rFonts w:ascii="Times New Roman" w:hAnsi="Times New Roman" w:eastAsia="SimSun"/>
                <w:b/>
                <w:sz w:val="21"/>
              </w:rPr>
              <w:t>四人共享仓库</w:t>
            </w:r>
          </w:p>
        </w:tc>
        <w:tc>
          <w:tcPr>
            <w:tcW w:type="dxa" w:w="5100"/>
            <w:shd w:fill="FCE4D6"/>
          </w:tcPr>
          <w:p>
            <w:pPr>
              <w:jc w:val="center"/>
            </w:pPr>
            <w:r>
              <w:rPr>
                <w:rFonts w:ascii="Times New Roman" w:hAnsi="Times New Roman" w:eastAsia="SimSun"/>
                <w:b/>
                <w:sz w:val="21"/>
              </w:rPr>
              <w:t>仅正式员工可见 Secure Overlay</w:t>
            </w:r>
          </w:p>
        </w:tc>
      </w:tr>
      <w:tr>
        <w:tc>
          <w:tcPr>
            <w:tcW w:type="dxa" w:w="5100"/>
            <w:tcMar>
              <w:top w:w="110" w:type="dxa"/>
              <w:start w:w="140" w:type="dxa"/>
              <w:bottom w:w="110" w:type="dxa"/>
              <w:end w:w="140" w:type="dxa"/>
            </w:tcMar>
          </w:tcPr>
          <w:p/>
          <w:p>
            <w:pPr>
              <w:pStyle w:val="ListBullet"/>
              <w:spacing w:after="20"/>
            </w:pPr>
            <w:r>
              <w:rPr>
                <w:rFonts w:ascii="Times New Roman" w:hAnsi="Times New Roman" w:eastAsia="SimSun"/>
                <w:sz w:val="19"/>
              </w:rPr>
              <w:t>frontend/</w:t>
            </w:r>
          </w:p>
          <w:p>
            <w:pPr>
              <w:pStyle w:val="ListBullet"/>
              <w:spacing w:after="20"/>
            </w:pPr>
            <w:r>
              <w:rPr>
                <w:rFonts w:ascii="Times New Roman" w:hAnsi="Times New Roman" w:eastAsia="SimSun"/>
                <w:sz w:val="19"/>
              </w:rPr>
              <w:t>backend/</w:t>
            </w:r>
          </w:p>
          <w:p>
            <w:pPr>
              <w:pStyle w:val="ListBullet"/>
              <w:spacing w:after="20"/>
            </w:pPr>
            <w:r>
              <w:rPr>
                <w:rFonts w:ascii="Times New Roman" w:hAnsi="Times New Roman" w:eastAsia="SimSun"/>
                <w:sz w:val="19"/>
              </w:rPr>
              <w:t>shared-schema/</w:t>
            </w:r>
          </w:p>
          <w:p>
            <w:pPr>
              <w:pStyle w:val="ListBullet"/>
              <w:spacing w:after="20"/>
            </w:pPr>
            <w:r>
              <w:rPr>
                <w:rFonts w:ascii="Times New Roman" w:hAnsi="Times New Roman" w:eastAsia="SimSun"/>
                <w:sz w:val="19"/>
              </w:rPr>
              <w:t>adapters/mock/</w:t>
            </w:r>
          </w:p>
          <w:p>
            <w:pPr>
              <w:pStyle w:val="ListBullet"/>
              <w:spacing w:after="20"/>
            </w:pPr>
            <w:r>
              <w:rPr>
                <w:rFonts w:ascii="Times New Roman" w:hAnsi="Times New Roman" w:eastAsia="SimSun"/>
                <w:sz w:val="19"/>
              </w:rPr>
              <w:t>tests/</w:t>
            </w:r>
          </w:p>
          <w:p>
            <w:pPr>
              <w:pStyle w:val="ListBullet"/>
              <w:spacing w:after="20"/>
            </w:pPr>
            <w:r>
              <w:rPr>
                <w:rFonts w:ascii="Times New Roman" w:hAnsi="Times New Roman" w:eastAsia="SimSun"/>
                <w:sz w:val="19"/>
              </w:rPr>
              <w:t>demo-data/</w:t>
            </w:r>
          </w:p>
          <w:p>
            <w:pPr>
              <w:pStyle w:val="ListBullet"/>
              <w:spacing w:after="20"/>
            </w:pPr>
            <w:r>
              <w:rPr>
                <w:rFonts w:ascii="Times New Roman" w:hAnsi="Times New Roman" w:eastAsia="SimSun"/>
                <w:sz w:val="19"/>
              </w:rPr>
              <w:t>虚构知识库</w:t>
            </w:r>
          </w:p>
          <w:p>
            <w:pPr>
              <w:pStyle w:val="ListBullet"/>
              <w:spacing w:after="20"/>
            </w:pPr>
            <w:r>
              <w:rPr>
                <w:rFonts w:ascii="Times New Roman" w:hAnsi="Times New Roman" w:eastAsia="SimSun"/>
                <w:sz w:val="19"/>
              </w:rPr>
              <w:t>README / 接口文档</w:t>
            </w:r>
          </w:p>
        </w:tc>
        <w:tc>
          <w:tcPr>
            <w:tcW w:type="dxa" w:w="5100"/>
            <w:tcMar>
              <w:top w:w="110" w:type="dxa"/>
              <w:start w:w="140" w:type="dxa"/>
              <w:bottom w:w="110" w:type="dxa"/>
              <w:end w:w="140" w:type="dxa"/>
            </w:tcMar>
          </w:tcPr>
          <w:p/>
          <w:p>
            <w:pPr>
              <w:pStyle w:val="ListBullet"/>
              <w:spacing w:after="20"/>
            </w:pPr>
            <w:r>
              <w:rPr>
                <w:rFonts w:ascii="Times New Roman" w:hAnsi="Times New Roman" w:eastAsia="SimSun"/>
                <w:sz w:val="19"/>
              </w:rPr>
              <w:t>internal_kb/</w:t>
            </w:r>
          </w:p>
          <w:p>
            <w:pPr>
              <w:pStyle w:val="ListBullet"/>
              <w:spacing w:after="20"/>
            </w:pPr>
            <w:r>
              <w:rPr>
                <w:rFonts w:ascii="Times New Roman" w:hAnsi="Times New Roman" w:eastAsia="SimSun"/>
                <w:sz w:val="19"/>
              </w:rPr>
              <w:t>private_adapters/</w:t>
            </w:r>
          </w:p>
          <w:p>
            <w:pPr>
              <w:pStyle w:val="ListBullet"/>
              <w:spacing w:after="20"/>
            </w:pPr>
            <w:r>
              <w:rPr>
                <w:rFonts w:ascii="Times New Roman" w:hAnsi="Times New Roman" w:eastAsia="SimSun"/>
                <w:sz w:val="19"/>
              </w:rPr>
              <w:t>secure_config/</w:t>
            </w:r>
          </w:p>
          <w:p>
            <w:pPr>
              <w:pStyle w:val="ListBullet"/>
              <w:spacing w:after="20"/>
            </w:pPr>
            <w:r>
              <w:rPr>
                <w:rFonts w:ascii="Times New Roman" w:hAnsi="Times New Roman" w:eastAsia="SimSun"/>
                <w:sz w:val="19"/>
              </w:rPr>
              <w:t>credentials/</w:t>
            </w:r>
          </w:p>
          <w:p>
            <w:pPr>
              <w:pStyle w:val="ListBullet"/>
              <w:spacing w:after="20"/>
            </w:pPr>
            <w:r>
              <w:rPr>
                <w:rFonts w:ascii="Times New Roman" w:hAnsi="Times New Roman" w:eastAsia="SimSun"/>
                <w:sz w:val="19"/>
              </w:rPr>
              <w:t>真实 Endpoint 映射</w:t>
            </w:r>
          </w:p>
          <w:p>
            <w:pPr>
              <w:pStyle w:val="ListBullet"/>
              <w:spacing w:after="20"/>
            </w:pPr>
            <w:r>
              <w:rPr>
                <w:rFonts w:ascii="Times New Roman" w:hAnsi="Times New Roman" w:eastAsia="SimSun"/>
                <w:sz w:val="19"/>
              </w:rPr>
              <w:t>真实 ADP/RPA 配置</w:t>
            </w:r>
          </w:p>
          <w:p>
            <w:pPr>
              <w:pStyle w:val="ListBullet"/>
              <w:spacing w:after="20"/>
            </w:pPr>
            <w:r>
              <w:rPr>
                <w:rFonts w:ascii="Times New Roman" w:hAnsi="Times New Roman" w:eastAsia="SimSun"/>
                <w:sz w:val="19"/>
              </w:rPr>
              <w:t>真实审计/日志（如需）</w:t>
            </w:r>
          </w:p>
        </w:tc>
      </w:tr>
    </w:tbl>
    <w:p/>
    <w:p>
      <w:pPr>
        <w:pStyle w:val="Heading1"/>
      </w:pPr>
      <w:r>
        <w:t>四、协作接口与依赖关系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</w:tcPr>
          <w:p>
            <w:pPr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20"/>
              </w:rPr>
              <w:t>关系</w:t>
            </w:r>
          </w:p>
        </w:tc>
        <w:tc>
          <w:tcPr>
            <w:tcW w:type="dxa" w:w="5100"/>
            <w:shd w:fill="1F4E79"/>
          </w:tcPr>
          <w:p>
            <w:pPr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20"/>
              </w:rPr>
              <w:t>约定</w:t>
            </w:r>
          </w:p>
        </w:tc>
      </w:tr>
      <w:tr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 w:eastAsia="SimSun"/>
                <w:b/>
                <w:sz w:val="19"/>
              </w:rPr>
              <w:t>A → C/D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 w:eastAsia="SimSun"/>
                <w:b w:val="0"/>
                <w:sz w:val="19"/>
              </w:rPr>
              <w:t>Day 1 固定 API Schema、Mock 字段、页面所需状态；之后尽量不随意改字段。</w:t>
            </w:r>
          </w:p>
        </w:tc>
      </w:tr>
      <w:tr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 w:eastAsia="SimSun"/>
                <w:b/>
                <w:sz w:val="19"/>
              </w:rPr>
              <w:t>D → C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 w:eastAsia="SimSun"/>
                <w:b w:val="0"/>
                <w:sz w:val="19"/>
              </w:rPr>
              <w:t>Mock Server 先行，C 全程对 Mock 开发，不等待真实数据。</w:t>
            </w:r>
          </w:p>
        </w:tc>
      </w:tr>
      <w:tr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 w:eastAsia="SimSun"/>
                <w:b/>
                <w:sz w:val="19"/>
              </w:rPr>
              <w:t>B → A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 w:eastAsia="SimSun"/>
                <w:b w:val="0"/>
                <w:sz w:val="19"/>
              </w:rPr>
              <w:t>B 只向 A 暴露统一受控接口，不向 C/D 暴露真实资源；A 负责接入平台后端。</w:t>
            </w:r>
          </w:p>
        </w:tc>
      </w:tr>
      <w:tr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 w:eastAsia="SimSun"/>
                <w:b/>
                <w:sz w:val="19"/>
              </w:rPr>
              <w:t>A + B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 w:eastAsia="SimSun"/>
                <w:b w:val="0"/>
                <w:sz w:val="19"/>
              </w:rPr>
              <w:t>共同完成真实环境联调、权限拒绝、Sandbox、知识库和企业插件链路。</w:t>
            </w:r>
          </w:p>
        </w:tc>
      </w:tr>
      <w:tr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 w:eastAsia="SimSun"/>
                <w:b/>
                <w:sz w:val="19"/>
              </w:rPr>
              <w:t>C + D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 w:eastAsia="SimSun"/>
                <w:b w:val="0"/>
                <w:sz w:val="19"/>
              </w:rPr>
              <w:t>负责 UI、Mock、测试和演示稳定性；只在测试环境参与联调。</w:t>
            </w:r>
          </w:p>
        </w:tc>
      </w:tr>
    </w:tbl>
    <w:p/>
    <w:p>
      <w:pPr>
        <w:pStyle w:val="Heading1"/>
        <w:pageBreakBefore/>
      </w:pPr>
      <w:r>
        <w:t>五、一周交付节奏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</w:tcPr>
          <w:p>
            <w:pPr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5100"/>
            <w:shd w:fill="1F4E79"/>
          </w:tcPr>
          <w:p>
            <w:pPr>
              <w:jc w:val="center"/>
            </w:pPr>
            <w:r>
              <w:rPr>
                <w:rFonts w:ascii="Times New Roman" w:hAnsi="Times New Roman" w:eastAsia="SimSun"/>
                <w:b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 w:eastAsia="SimSun"/>
                <w:b/>
                <w:sz w:val="19"/>
              </w:rPr>
              <w:t>Day 1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 w:eastAsia="SimSun"/>
                <w:b w:val="0"/>
                <w:sz w:val="19"/>
              </w:rPr>
              <w:t>A：架构/API；B：资源/权限清单；C：前端骨架；D：Mock Server + Demo 数据</w:t>
            </w:r>
          </w:p>
        </w:tc>
      </w:tr>
      <w:tr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 w:eastAsia="SimSun"/>
                <w:b/>
                <w:sz w:val="19"/>
              </w:rPr>
              <w:t>Day 2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 w:eastAsia="SimSun"/>
                <w:b w:val="0"/>
                <w:sz w:val="19"/>
              </w:rPr>
              <w:t>A：DeepSeek API + 单员工问答；B：Knowledge Adapter + Policy；C：员工管理/聊天页；D：Mock 插件/测试</w:t>
            </w:r>
          </w:p>
        </w:tc>
      </w:tr>
      <w:tr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 w:eastAsia="SimSun"/>
                <w:b/>
                <w:sz w:val="19"/>
              </w:rPr>
              <w:t>Day 3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 w:eastAsia="SimSun"/>
                <w:b w:val="0"/>
                <w:sz w:val="19"/>
              </w:rPr>
              <w:t>A+B：Employee → Policy → Tool → Knowledge 主链路；C：安全/插件页；D：Trace + 自动化测试</w:t>
            </w:r>
          </w:p>
        </w:tc>
      </w:tr>
      <w:tr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 w:eastAsia="SimSun"/>
                <w:b/>
                <w:sz w:val="19"/>
              </w:rPr>
              <w:t>Day 4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 w:eastAsia="SimSun"/>
                <w:b w:val="0"/>
                <w:sz w:val="19"/>
              </w:rPr>
              <w:t>A+B：Agent Team / ADP 或 RPA / Sandbox 联调；C：Team 群聊；D：异常与审批场景</w:t>
            </w:r>
          </w:p>
        </w:tc>
      </w:tr>
      <w:tr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 w:eastAsia="SimSun"/>
                <w:b/>
                <w:sz w:val="19"/>
              </w:rPr>
              <w:t>Day 5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 w:eastAsia="SimSun"/>
                <w:b w:val="0"/>
                <w:sz w:val="19"/>
              </w:rPr>
              <w:t>A+B：Secure Overlay 与真实环境最终联调；C+D：UI/测试兜底；全员演练 Demo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Times New Roman" w:hAnsi="Times New Roman" w:eastAsia="SimSun"/>
                <w:b/>
                <w:color w:val="9C6500"/>
                <w:sz w:val="21"/>
              </w:rPr>
              <w:t>最终责任边界：</w:t>
            </w:r>
            <w:r>
              <w:rPr>
                <w:rFonts w:ascii="Times New Roman" w:hAnsi="Times New Roman" w:eastAsia="SimSun"/>
                <w:sz w:val="21"/>
              </w:rPr>
              <w:t xml:space="preserve"> 两名正式员工对真实数据、权限、安全与最终联调负责；两名实习生对前端、Mock 和测试交付负责。任何真实数据、内部知识库内容、Token、内部 Endpoint 均不得进入实习生可访问环境。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  <w:color w:val="828282"/>
        <w:sz w:val="16"/>
      </w:rPr>
      <w:t>数字员工平台 Demo｜四人开发分工｜内部讨论稿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SimSun"/>
      <w:color w:val="19375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