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示例证券股份有限公司分支机构合规管理细则（2026年5月修订稿）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为规范分支机构合规管理，防范合规风险与操作风险，制定本细则。</w:t>
      </w:r>
    </w:p>
    <w:p>
      <w:r>
        <w:rPr>
          <w:rFonts w:ascii="Microsoft YaHei" w:hAnsi="Microsoft YaHei" w:eastAsia="微软雅黑"/>
        </w:rPr>
        <w:t>第二条　本细则适用于公司各分支机构及其人员。</w:t>
      </w:r>
    </w:p>
    <w:p>
      <w:r>
        <w:rPr>
          <w:rFonts w:ascii="Microsoft YaHei" w:hAnsi="Microsoft YaHei" w:eastAsia="微软雅黑"/>
        </w:rPr>
        <w:t>第三条　分支机构负责人对本机构合规管理承担第一责任；合规管理部负责统筹指导与监督检查。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管理要求</w:t>
      </w:r>
    </w:p>
    <w:p>
      <w:r>
        <w:rPr>
          <w:rFonts w:ascii="Microsoft YaHei" w:hAnsi="Microsoft YaHei" w:eastAsia="微软雅黑"/>
        </w:rPr>
        <w:t>第四条　每家分支机构应指定合规联络人，负责日常合规事项对接。</w:t>
      </w:r>
    </w:p>
    <w:p>
      <w:r>
        <w:rPr>
          <w:rFonts w:ascii="Microsoft YaHei" w:hAnsi="Microsoft YaHei" w:eastAsia="微软雅黑"/>
        </w:rPr>
        <w:t>第五条　新入职员工须完成入职合规培训，全体员工每年参加合规培训并留存记录。</w:t>
      </w:r>
    </w:p>
    <w:p>
      <w:r>
        <w:rPr>
          <w:rFonts w:ascii="Microsoft YaHei" w:hAnsi="Microsoft YaHei" w:eastAsia="微软雅黑"/>
        </w:rPr>
        <w:t>第六条　发生监管问询、投诉、差错等合规风险事项，应按报告清单及时上报。</w:t>
      </w:r>
    </w:p>
    <w:p>
      <w:r>
        <w:rPr>
          <w:rFonts w:ascii="Microsoft YaHei" w:hAnsi="Microsoft YaHei" w:eastAsia="微软雅黑"/>
        </w:rPr>
        <w:t>第七条　合规管理部定期开展现场或非现场检查，检查结果形成记录。</w:t>
      </w:r>
    </w:p>
    <w:p>
      <w:r>
        <w:rPr>
          <w:rFonts w:ascii="Microsoft YaHei" w:hAnsi="Microsoft YaHei" w:eastAsia="微软雅黑"/>
        </w:rPr>
        <w:t>第八条　对检查发现的问题建立闭环整改机制，明确责任人与完成时限。</w:t>
      </w:r>
    </w:p>
    <w:p>
      <w:r>
        <w:rPr>
          <w:rFonts w:ascii="Microsoft YaHei" w:hAnsi="Microsoft YaHei" w:eastAsia="微软雅黑"/>
        </w:rPr>
        <w:t>第九条　合规管理成效纳入分支机构绩效考核。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第十条　本细则由合规管理部负责解释与修订，自发布之日起施行。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