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微软雅黑"/>
        </w:rPr>
        <w:t>【虚构演示数据】本文档为数字员工平台模拟知识库演示内容，全部信息均为虚构，不代表任何真实公司、制度或数据。</w:t>
      </w:r>
    </w:p>
    <w:p>
      <w:pPr>
        <w:pStyle w:val="Title"/>
      </w:pPr>
      <w:r>
        <w:rPr>
          <w:rFonts w:ascii="Microsoft YaHei" w:hAnsi="Microsoft YaHei" w:eastAsia="微软雅黑"/>
        </w:rPr>
        <w:t>示例证券股份有限公司同一客户风险管理指引（2026年5月修订稿）</w:t>
      </w:r>
    </w:p>
    <w:p>
      <w:pPr>
        <w:pStyle w:val="Heading1"/>
      </w:pPr>
      <w:r>
        <w:rPr>
          <w:rFonts w:ascii="Microsoft YaHei" w:hAnsi="Microsoft YaHei" w:eastAsia="微软雅黑"/>
        </w:rPr>
        <w:t>第一章　总则</w:t>
      </w:r>
    </w:p>
    <w:p>
      <w:r>
        <w:rPr>
          <w:rFonts w:ascii="Microsoft YaHei" w:hAnsi="Microsoft YaHei" w:eastAsia="微软雅黑"/>
        </w:rPr>
        <w:t>第一条　为识别同一客户在不同业务中的关联风险，建立统一风险视图，制定本指引。</w:t>
      </w:r>
    </w:p>
    <w:p>
      <w:r>
        <w:rPr>
          <w:rFonts w:ascii="Microsoft YaHei" w:hAnsi="Microsoft YaHei" w:eastAsia="微软雅黑"/>
        </w:rPr>
        <w:t>第二条　本指引适用于公司各业务线对同一客户及其关联方的风险识别、计量与管控。</w:t>
      </w:r>
    </w:p>
    <w:p>
      <w:r>
        <w:rPr>
          <w:rFonts w:ascii="Microsoft YaHei" w:hAnsi="Microsoft YaHei" w:eastAsia="微软雅黑"/>
        </w:rPr>
        <w:t>第三条　风险管理部负责统筹同一客户风险管理，各业务部门负责具体落实。</w:t>
      </w:r>
    </w:p>
    <w:p>
      <w:pPr>
        <w:pStyle w:val="Heading1"/>
      </w:pPr>
      <w:r>
        <w:rPr>
          <w:rFonts w:ascii="Microsoft YaHei" w:hAnsi="Microsoft YaHei" w:eastAsia="微软雅黑"/>
        </w:rPr>
        <w:t>第二章　管理要求</w:t>
      </w:r>
    </w:p>
    <w:p>
      <w:r>
        <w:rPr>
          <w:rFonts w:ascii="Microsoft YaHei" w:hAnsi="Microsoft YaHei" w:eastAsia="微软雅黑"/>
        </w:rPr>
        <w:t>第四条　从证件信息、联系方式、实际控制关系等维度识别同一客户及其关联方（示例口径）。</w:t>
      </w:r>
    </w:p>
    <w:p>
      <w:r>
        <w:rPr>
          <w:rFonts w:ascii="Microsoft YaHei" w:hAnsi="Microsoft YaHei" w:eastAsia="微软雅黑"/>
        </w:rPr>
        <w:t>第五条　对不同业务统一口径设置授信与风险敞口限额，超限需履行审批程序。</w:t>
      </w:r>
    </w:p>
    <w:p>
      <w:r>
        <w:rPr>
          <w:rFonts w:ascii="Microsoft YaHei" w:hAnsi="Microsoft YaHei" w:eastAsia="微软雅黑"/>
        </w:rPr>
        <w:t>第六条　在合规前提下跨部门共享风险信息，收集与使用坚持最小化原则。</w:t>
      </w:r>
    </w:p>
    <w:p>
      <w:r>
        <w:rPr>
          <w:rFonts w:ascii="Microsoft YaHei" w:hAnsi="Microsoft YaHei" w:eastAsia="微软雅黑"/>
        </w:rPr>
        <w:t>第七条　风险指标触发阈值后生成预警，业务部门应在规定时限内反馈处置情况。</w:t>
      </w:r>
    </w:p>
    <w:p>
      <w:r>
        <w:rPr>
          <w:rFonts w:ascii="Microsoft YaHei" w:hAnsi="Microsoft YaHei" w:eastAsia="微软雅黑"/>
        </w:rPr>
        <w:t>第八条　通过客户统一视图系统完成客户标识、风险汇总与监控留痕。</w:t>
      </w:r>
    </w:p>
    <w:p>
      <w:r>
        <w:rPr>
          <w:rFonts w:ascii="Microsoft YaHei" w:hAnsi="Microsoft YaHei" w:eastAsia="微软雅黑"/>
        </w:rPr>
        <w:t>第九条　定期向风险管理委员会报告同一客户风险总体情况。</w:t>
      </w:r>
    </w:p>
    <w:p>
      <w:pPr>
        <w:pStyle w:val="Heading1"/>
      </w:pPr>
      <w:r>
        <w:rPr>
          <w:rFonts w:ascii="Microsoft YaHei" w:hAnsi="Microsoft YaHei" w:eastAsia="微软雅黑"/>
        </w:rPr>
        <w:t>第三章　附则</w:t>
      </w:r>
    </w:p>
    <w:p>
      <w:r>
        <w:rPr>
          <w:rFonts w:ascii="Microsoft YaHei" w:hAnsi="Microsoft YaHei" w:eastAsia="微软雅黑"/>
        </w:rPr>
        <w:t>第十条　本指引由风险管理部负责解释与修订，自发布之日起施行。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