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</w:rPr>
        <w:t>【虚构演示数据】本文档为数字员工平台模拟知识库演示内容，全部信息均为虚构，不代表任何真实公司、制度或数据。</w:t>
      </w:r>
    </w:p>
    <w:p>
      <w:pPr>
        <w:pStyle w:val="Title"/>
      </w:pPr>
      <w:r>
        <w:rPr>
          <w:rFonts w:ascii="Microsoft YaHei" w:hAnsi="Microsoft YaHei" w:eastAsia="微软雅黑"/>
        </w:rPr>
        <w:t>保荐人尽职调查示范实践（示例证券内部参考稿）</w:t>
      </w:r>
    </w:p>
    <w:p>
      <w:pPr>
        <w:pStyle w:val="Heading1"/>
      </w:pPr>
      <w:r>
        <w:rPr>
          <w:rFonts w:ascii="Microsoft YaHei" w:hAnsi="Microsoft YaHei" w:eastAsia="微软雅黑"/>
        </w:rPr>
        <w:t>第一章　总则</w:t>
      </w:r>
    </w:p>
    <w:p>
      <w:r>
        <w:rPr>
          <w:rFonts w:ascii="Microsoft YaHei" w:hAnsi="Microsoft YaHei" w:eastAsia="微软雅黑"/>
        </w:rPr>
        <w:t>第一条　为规范保荐项目尽职调查工作，提升执业质量，保护投资者合法权益，制定本示范实践。</w:t>
      </w:r>
    </w:p>
    <w:p>
      <w:r>
        <w:rPr>
          <w:rFonts w:ascii="Microsoft YaHei" w:hAnsi="Microsoft YaHei" w:eastAsia="微软雅黑"/>
        </w:rPr>
        <w:t>第二条　本示范实践适用于公司担任保荐机构的首次公开发行及再融资项目。</w:t>
      </w:r>
    </w:p>
    <w:p>
      <w:r>
        <w:rPr>
          <w:rFonts w:ascii="Microsoft YaHei" w:hAnsi="Microsoft YaHei" w:eastAsia="微软雅黑"/>
        </w:rPr>
        <w:t>第三条　尽职调查应遵循独立、审慎、全面与全过程留痕的原则。</w:t>
      </w:r>
    </w:p>
    <w:p>
      <w:pPr>
        <w:pStyle w:val="Heading1"/>
      </w:pPr>
      <w:r>
        <w:rPr>
          <w:rFonts w:ascii="Microsoft YaHei" w:hAnsi="Microsoft YaHei" w:eastAsia="微软雅黑"/>
        </w:rPr>
        <w:t>第二章　工作要求</w:t>
      </w:r>
    </w:p>
    <w:p>
      <w:r>
        <w:rPr>
          <w:rFonts w:ascii="Microsoft YaHei" w:hAnsi="Microsoft YaHei" w:eastAsia="微软雅黑"/>
        </w:rPr>
        <w:t>第四条　项目立项后应制定尽职调查计划，明确调查范围、人员分工与时间安排。</w:t>
      </w:r>
    </w:p>
    <w:p>
      <w:r>
        <w:rPr>
          <w:rFonts w:ascii="Microsoft YaHei" w:hAnsi="Microsoft YaHei" w:eastAsia="微软雅黑"/>
        </w:rPr>
        <w:t>第五条　工作底稿应完整记录调查过程与结论，按目录归档并妥善保存。</w:t>
      </w:r>
    </w:p>
    <w:p>
      <w:r>
        <w:rPr>
          <w:rFonts w:ascii="Microsoft YaHei" w:hAnsi="Microsoft YaHei" w:eastAsia="微软雅黑"/>
        </w:rPr>
        <w:t>第六条　通过实地访谈、函证与现场核查等方式核实发行人经营与财务情况。</w:t>
      </w:r>
    </w:p>
    <w:p>
      <w:r>
        <w:rPr>
          <w:rFonts w:ascii="Microsoft YaHei" w:hAnsi="Microsoft YaHei" w:eastAsia="微软雅黑"/>
        </w:rPr>
        <w:t>第七条　重点核查收入、成本与资金流水的真实性、完整性。</w:t>
      </w:r>
    </w:p>
    <w:p>
      <w:r>
        <w:rPr>
          <w:rFonts w:ascii="Microsoft YaHei" w:hAnsi="Microsoft YaHei" w:eastAsia="微软雅黑"/>
        </w:rPr>
        <w:t>第八条　识别并核查关联交易的必要性与公允性。</w:t>
      </w:r>
    </w:p>
    <w:p>
      <w:r>
        <w:rPr>
          <w:rFonts w:ascii="Microsoft YaHei" w:hAnsi="Microsoft YaHei" w:eastAsia="微软雅黑"/>
        </w:rPr>
        <w:t>第九条　上市后按约定开展持续督导，及时提示重大事项。</w:t>
      </w:r>
    </w:p>
    <w:p>
      <w:r>
        <w:rPr>
          <w:rFonts w:ascii="Microsoft YaHei" w:hAnsi="Microsoft YaHei" w:eastAsia="微软雅黑"/>
        </w:rPr>
        <w:t>第十条　项目执行实行三级复核，确保尽调结论可追溯、可验证。</w:t>
      </w:r>
    </w:p>
    <w:p>
      <w:pPr>
        <w:pStyle w:val="Heading1"/>
      </w:pPr>
      <w:r>
        <w:rPr>
          <w:rFonts w:ascii="Microsoft YaHei" w:hAnsi="Microsoft YaHei" w:eastAsia="微软雅黑"/>
        </w:rPr>
        <w:t>第三章　附则</w:t>
      </w:r>
    </w:p>
    <w:p>
      <w:r>
        <w:rPr>
          <w:rFonts w:ascii="Microsoft YaHei" w:hAnsi="Microsoft YaHei" w:eastAsia="微软雅黑"/>
        </w:rPr>
        <w:t>第十一条　本示范实践由投行质量控制部门负责解释与修订，自发布之日起施行。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