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微软雅黑"/>
        </w:rPr>
        <w:t>【虚构演示数据】本文档为数字员工平台模拟知识库演示内容，全部信息均为虚构，不代表任何真实公司、制度或数据。</w:t>
      </w:r>
    </w:p>
    <w:p>
      <w:pPr>
        <w:pStyle w:val="Title"/>
      </w:pPr>
      <w:r>
        <w:rPr>
          <w:rFonts w:ascii="Microsoft YaHei" w:hAnsi="Microsoft YaHei" w:eastAsia="微软雅黑"/>
        </w:rPr>
        <w:t>示例证券股份有限公司创业板适当性管理实施办法（2026年4月修订稿）</w:t>
      </w:r>
    </w:p>
    <w:p>
      <w:pPr>
        <w:pStyle w:val="Heading1"/>
      </w:pPr>
      <w:r>
        <w:rPr>
          <w:rFonts w:ascii="Microsoft YaHei" w:hAnsi="Microsoft YaHei" w:eastAsia="微软雅黑"/>
        </w:rPr>
        <w:t>第一章　总则</w:t>
      </w:r>
    </w:p>
    <w:p>
      <w:r>
        <w:rPr>
          <w:rFonts w:ascii="Microsoft YaHei" w:hAnsi="Microsoft YaHei" w:eastAsia="微软雅黑"/>
        </w:rPr>
        <w:t>第一条　为落实创业板投资者适当性管理要求，保护投资者合法权益，制定本办法。</w:t>
      </w:r>
    </w:p>
    <w:p>
      <w:r>
        <w:rPr>
          <w:rFonts w:ascii="Microsoft YaHei" w:hAnsi="Microsoft YaHei" w:eastAsia="微软雅黑"/>
        </w:rPr>
        <w:t>第二条　本办法适用于公司创业板交易权限的开通、复核与持续管理。</w:t>
      </w:r>
    </w:p>
    <w:p>
      <w:r>
        <w:rPr>
          <w:rFonts w:ascii="Microsoft YaHei" w:hAnsi="Microsoft YaHei" w:eastAsia="微软雅黑"/>
        </w:rPr>
        <w:t>第三条　分支机构负责业务办理与客户沟通，合规管理部负责监督检查。</w:t>
      </w:r>
    </w:p>
    <w:p>
      <w:pPr>
        <w:pStyle w:val="Heading1"/>
      </w:pPr>
      <w:r>
        <w:rPr>
          <w:rFonts w:ascii="Microsoft YaHei" w:hAnsi="Microsoft YaHei" w:eastAsia="微软雅黑"/>
        </w:rPr>
        <w:t>第二章　管理要求</w:t>
      </w:r>
    </w:p>
    <w:p>
      <w:r>
        <w:rPr>
          <w:rFonts w:ascii="Microsoft YaHei" w:hAnsi="Microsoft YaHei" w:eastAsia="微软雅黑"/>
        </w:rPr>
        <w:t>第四条　开通权限前应核验客户资产、交易经验与风险测评结果（示例口径以办理页面为准）。</w:t>
      </w:r>
    </w:p>
    <w:p>
      <w:r>
        <w:rPr>
          <w:rFonts w:ascii="Microsoft YaHei" w:hAnsi="Microsoft YaHei" w:eastAsia="微软雅黑"/>
        </w:rPr>
        <w:t>第五条　办理前应向客户充分揭示风险并签署风险揭示书。</w:t>
      </w:r>
    </w:p>
    <w:p>
      <w:r>
        <w:rPr>
          <w:rFonts w:ascii="Microsoft YaHei" w:hAnsi="Microsoft YaHei" w:eastAsia="微软雅黑"/>
        </w:rPr>
        <w:t>第六条　客户应通过相关知识测评，确认理解创业板交易规则与风险。</w:t>
      </w:r>
    </w:p>
    <w:p>
      <w:r>
        <w:rPr>
          <w:rFonts w:ascii="Microsoft YaHei" w:hAnsi="Microsoft YaHei" w:eastAsia="微软雅黑"/>
        </w:rPr>
        <w:t>第七条　定期复核客户适当性状态，通过回访等方式核实客户信息与风险认知。</w:t>
      </w:r>
    </w:p>
    <w:p>
      <w:r>
        <w:rPr>
          <w:rFonts w:ascii="Microsoft YaHei" w:hAnsi="Microsoft YaHei" w:eastAsia="微软雅黑"/>
        </w:rPr>
        <w:t>第八条　客户不再满足条件时，按流程限制其新增交易权限并做好告知。</w:t>
      </w:r>
    </w:p>
    <w:p>
      <w:r>
        <w:rPr>
          <w:rFonts w:ascii="Microsoft YaHei" w:hAnsi="Microsoft YaHei" w:eastAsia="微软雅黑"/>
        </w:rPr>
        <w:t>第九条　开通与复核资料按档案管理规定保存。</w:t>
      </w:r>
    </w:p>
    <w:p>
      <w:pPr>
        <w:pStyle w:val="Heading1"/>
      </w:pPr>
      <w:r>
        <w:rPr>
          <w:rFonts w:ascii="Microsoft YaHei" w:hAnsi="Microsoft YaHei" w:eastAsia="微软雅黑"/>
        </w:rPr>
        <w:t>第三章　附则</w:t>
      </w:r>
    </w:p>
    <w:p>
      <w:r>
        <w:rPr>
          <w:rFonts w:ascii="Microsoft YaHei" w:hAnsi="Microsoft YaHei" w:eastAsia="微软雅黑"/>
        </w:rPr>
        <w:t>第十条　本办法由合规管理部负责解释与修订，自发布之日起施行。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