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微软雅黑"/>
        </w:rPr>
        <w:t>【虚构演示数据】本文档为数字员工平台模拟知识库演示内容，全部信息均为虚构，不代表任何真实公司、制度或数据。</w:t>
      </w:r>
    </w:p>
    <w:p>
      <w:pPr>
        <w:pStyle w:val="Title"/>
      </w:pPr>
      <w:r>
        <w:rPr>
          <w:rFonts w:ascii="Microsoft YaHei" w:hAnsi="Microsoft YaHei" w:eastAsia="微软雅黑"/>
        </w:rPr>
        <w:t>证券公司交易结算及对账数据对外发送指引（示例证券内部操作指引）</w:t>
      </w:r>
    </w:p>
    <w:p>
      <w:pPr>
        <w:pStyle w:val="Heading1"/>
      </w:pPr>
      <w:r>
        <w:rPr>
          <w:rFonts w:ascii="Microsoft YaHei" w:hAnsi="Microsoft YaHei" w:eastAsia="微软雅黑"/>
        </w:rPr>
        <w:t>一、前置条件</w:t>
      </w:r>
    </w:p>
    <w:p>
      <w:r>
        <w:rPr>
          <w:rFonts w:ascii="Microsoft YaHei" w:hAnsi="Microsoft YaHei" w:eastAsia="微软雅黑"/>
        </w:rPr>
        <w:t>1.　已与数据接收方签订数据发送协议或完成合作备案。</w:t>
      </w:r>
    </w:p>
    <w:p>
      <w:r>
        <w:rPr>
          <w:rFonts w:ascii="Microsoft YaHei" w:hAnsi="Microsoft YaHei" w:eastAsia="微软雅黑"/>
        </w:rPr>
        <w:t>2.　发送人已获得数据发送授权，接收邮箱或传输通道已在信息技术部门备案。</w:t>
      </w:r>
    </w:p>
    <w:p>
      <w:r>
        <w:rPr>
          <w:rFonts w:ascii="Microsoft YaHei" w:hAnsi="Microsoft YaHei" w:eastAsia="微软雅黑"/>
        </w:rPr>
        <w:t>3.　数据字段与口径已由业务部门确认。</w:t>
      </w:r>
    </w:p>
    <w:p>
      <w:pPr>
        <w:pStyle w:val="Heading1"/>
      </w:pPr>
      <w:r>
        <w:rPr>
          <w:rFonts w:ascii="Microsoft YaHei" w:hAnsi="Microsoft YaHei" w:eastAsia="微软雅黑"/>
        </w:rPr>
        <w:t>二、操作步骤</w:t>
      </w:r>
    </w:p>
    <w:p>
      <w:r>
        <w:rPr>
          <w:rFonts w:ascii="Microsoft YaHei" w:hAnsi="Microsoft YaHei" w:eastAsia="微软雅黑"/>
        </w:rPr>
        <w:t>步骤1　确认数据口径：核对交易日期、品种范围与字段清单。</w:t>
      </w:r>
    </w:p>
    <w:p>
      <w:r>
        <w:rPr>
          <w:rFonts w:ascii="Microsoft YaHei" w:hAnsi="Microsoft YaHei" w:eastAsia="微软雅黑"/>
        </w:rPr>
        <w:t>步骤2　生成数据文件：从结算系统导出，完成内部复核。</w:t>
      </w:r>
    </w:p>
    <w:p>
      <w:r>
        <w:rPr>
          <w:rFonts w:ascii="Microsoft YaHei" w:hAnsi="Microsoft YaHei" w:eastAsia="微软雅黑"/>
        </w:rPr>
        <w:t>步骤3　安全处理：对敏感字段进行脱敏或加密。</w:t>
      </w:r>
    </w:p>
    <w:p>
      <w:r>
        <w:rPr>
          <w:rFonts w:ascii="Microsoft YaHei" w:hAnsi="Microsoft YaHei" w:eastAsia="微软雅黑"/>
        </w:rPr>
        <w:t>步骤4　发起审批：提交数据外发审批单。</w:t>
      </w:r>
    </w:p>
    <w:p>
      <w:r>
        <w:rPr>
          <w:rFonts w:ascii="Microsoft YaHei" w:hAnsi="Microsoft YaHei" w:eastAsia="微软雅黑"/>
        </w:rPr>
        <w:t>步骤5　发送并登记：通过备案通道发送，登记发送台账。</w:t>
      </w:r>
    </w:p>
    <w:p>
      <w:r>
        <w:rPr>
          <w:rFonts w:ascii="Microsoft YaHei" w:hAnsi="Microsoft YaHei" w:eastAsia="微软雅黑"/>
        </w:rPr>
        <w:t>步骤6　跟踪确认：接收方确认后归档留痕。</w:t>
      </w:r>
    </w:p>
    <w:p>
      <w:pPr>
        <w:pStyle w:val="Heading1"/>
      </w:pPr>
      <w:r>
        <w:rPr>
          <w:rFonts w:ascii="Microsoft YaHei" w:hAnsi="Microsoft YaHei" w:eastAsia="微软雅黑"/>
        </w:rPr>
        <w:t>三、注意事项</w:t>
      </w:r>
    </w:p>
    <w:p>
      <w:r>
        <w:rPr>
          <w:rFonts w:ascii="Microsoft YaHei" w:hAnsi="Microsoft YaHei" w:eastAsia="微软雅黑"/>
        </w:rPr>
        <w:t>1.　坚持最小化发送原则，不发送与约定无关的数据。</w:t>
      </w:r>
    </w:p>
    <w:p>
      <w:r>
        <w:rPr>
          <w:rFonts w:ascii="Microsoft YaHei" w:hAnsi="Microsoft YaHei" w:eastAsia="微软雅黑"/>
        </w:rPr>
        <w:t>2.　敏感数据不得使用个人邮箱或未备案通道发送。</w:t>
      </w:r>
    </w:p>
    <w:p>
      <w:r>
        <w:rPr>
          <w:rFonts w:ascii="Microsoft YaHei" w:hAnsi="Microsoft YaHei" w:eastAsia="微软雅黑"/>
        </w:rPr>
        <w:t>3.　发现异常发送应立即报告合规部门并采取回收措施。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