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微软雅黑"/>
        </w:rPr>
        <w:t>【虚构演示数据】本文档为数字员工平台模拟知识库演示内容，全部信息均为虚构，不代表任何真实公司、制度或数据。</w:t>
      </w:r>
    </w:p>
    <w:p>
      <w:pPr>
        <w:pStyle w:val="Title"/>
      </w:pPr>
      <w:r>
        <w:rPr>
          <w:rFonts w:ascii="Microsoft YaHei" w:hAnsi="Microsoft YaHei" w:eastAsia="微软雅黑"/>
        </w:rPr>
        <w:t>经营者反垄断合规指南（示例证券内部参考）</w:t>
      </w:r>
    </w:p>
    <w:p>
      <w:pPr>
        <w:pStyle w:val="Heading1"/>
      </w:pPr>
      <w:r>
        <w:rPr>
          <w:rFonts w:ascii="Microsoft YaHei" w:hAnsi="Microsoft YaHei" w:eastAsia="微软雅黑"/>
        </w:rPr>
        <w:t>一、前置条件</w:t>
      </w:r>
    </w:p>
    <w:p>
      <w:r>
        <w:rPr>
          <w:rFonts w:ascii="Microsoft YaHei" w:hAnsi="Microsoft YaHei" w:eastAsia="微软雅黑"/>
        </w:rPr>
        <w:t>1.　梳理本部门业务中涉及价格、市场与交易条款的场景。</w:t>
      </w:r>
    </w:p>
    <w:p>
      <w:r>
        <w:rPr>
          <w:rFonts w:ascii="Microsoft YaHei" w:hAnsi="Microsoft YaHei" w:eastAsia="微软雅黑"/>
        </w:rPr>
        <w:t>2.　明确本部门反垄断合规联络人。</w:t>
      </w:r>
    </w:p>
    <w:p>
      <w:pPr>
        <w:pStyle w:val="Heading1"/>
      </w:pPr>
      <w:r>
        <w:rPr>
          <w:rFonts w:ascii="Microsoft YaHei" w:hAnsi="Microsoft YaHei" w:eastAsia="微软雅黑"/>
        </w:rPr>
        <w:t>二、操作步骤</w:t>
      </w:r>
    </w:p>
    <w:p>
      <w:r>
        <w:rPr>
          <w:rFonts w:ascii="Microsoft YaHei" w:hAnsi="Microsoft YaHei" w:eastAsia="微软雅黑"/>
        </w:rPr>
        <w:t>步骤1　风险识别：识别可能涉及垄断协议或滥用行为的业务活动。</w:t>
      </w:r>
    </w:p>
    <w:p>
      <w:r>
        <w:rPr>
          <w:rFonts w:ascii="Microsoft YaHei" w:hAnsi="Microsoft YaHei" w:eastAsia="微软雅黑"/>
        </w:rPr>
        <w:t>步骤2　影响评估：评估相关市场份额与竞争影响（示例口径）。</w:t>
      </w:r>
    </w:p>
    <w:p>
      <w:r>
        <w:rPr>
          <w:rFonts w:ascii="Microsoft YaHei" w:hAnsi="Microsoft YaHei" w:eastAsia="微软雅黑"/>
        </w:rPr>
        <w:t>步骤3　内部咨询：就识别出的风险咨询合规管理部。</w:t>
      </w:r>
    </w:p>
    <w:p>
      <w:r>
        <w:rPr>
          <w:rFonts w:ascii="Microsoft YaHei" w:hAnsi="Microsoft YaHei" w:eastAsia="微软雅黑"/>
        </w:rPr>
        <w:t>步骤4　外部意见：重大事项取得外部律师书面意见。</w:t>
      </w:r>
    </w:p>
    <w:p>
      <w:r>
        <w:rPr>
          <w:rFonts w:ascii="Microsoft YaHei" w:hAnsi="Microsoft YaHei" w:eastAsia="微软雅黑"/>
        </w:rPr>
        <w:t>步骤5　执行与留痕：按结论执行并保存决策记录。</w:t>
      </w:r>
    </w:p>
    <w:p>
      <w:pPr>
        <w:pStyle w:val="Heading1"/>
      </w:pPr>
      <w:r>
        <w:rPr>
          <w:rFonts w:ascii="Microsoft YaHei" w:hAnsi="Microsoft YaHei" w:eastAsia="微软雅黑"/>
        </w:rPr>
        <w:t>三、注意事项</w:t>
      </w:r>
    </w:p>
    <w:p>
      <w:r>
        <w:rPr>
          <w:rFonts w:ascii="Microsoft YaHei" w:hAnsi="Microsoft YaHei" w:eastAsia="微软雅黑"/>
        </w:rPr>
        <w:t>1.　价格协同、排他安排、滥用市场支配地位等红线场景一律事前咨询。</w:t>
      </w:r>
    </w:p>
    <w:p>
      <w:r>
        <w:rPr>
          <w:rFonts w:ascii="Microsoft YaHei" w:hAnsi="Microsoft YaHei" w:eastAsia="微软雅黑"/>
        </w:rPr>
        <w:t>2.　不得在会议或私下交流中交换竞争性敏感信息。</w:t>
      </w:r>
    </w:p>
    <w:p>
      <w:r>
        <w:rPr>
          <w:rFonts w:ascii="Microsoft YaHei" w:hAnsi="Microsoft YaHei" w:eastAsia="微软雅黑"/>
        </w:rPr>
        <w:t>3.　合规记录保存期限按公司档案管理规定执行。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