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icrosoft YaHei" w:hAnsi="Microsoft YaHei" w:eastAsia="微软雅黑"/>
        </w:rPr>
        <w:t>【虚构演示数据】本文档为数字员工平台模拟知识库演示内容，全部信息均为虚构，不代表任何真实公司、制度或数据。</w:t>
      </w:r>
    </w:p>
    <w:p>
      <w:pPr>
        <w:pStyle w:val="Title"/>
      </w:pPr>
      <w:r>
        <w:rPr>
          <w:rFonts w:ascii="Microsoft YaHei" w:hAnsi="Microsoft YaHei" w:eastAsia="微软雅黑"/>
        </w:rPr>
        <w:t>示例证券股份有限公司反洗钱内部审计实施细则（2026年5月修订稿）</w:t>
      </w:r>
    </w:p>
    <w:p>
      <w:pPr>
        <w:pStyle w:val="Heading1"/>
      </w:pPr>
      <w:r>
        <w:rPr>
          <w:rFonts w:ascii="Microsoft YaHei" w:hAnsi="Microsoft YaHei" w:eastAsia="微软雅黑"/>
        </w:rPr>
        <w:t>第一章　总则</w:t>
      </w:r>
    </w:p>
    <w:p>
      <w:r>
        <w:rPr>
          <w:rFonts w:ascii="Microsoft YaHei" w:hAnsi="Microsoft YaHei" w:eastAsia="微软雅黑"/>
        </w:rPr>
        <w:t>第一条　为规范公司反洗钱内部审计工作，及时发现并纠正洗钱风险管理薄弱环节，依据公司合规管理总体要求制定本细则。</w:t>
      </w:r>
    </w:p>
    <w:p>
      <w:r>
        <w:rPr>
          <w:rFonts w:ascii="Microsoft YaHei" w:hAnsi="Microsoft YaHei" w:eastAsia="微软雅黑"/>
        </w:rPr>
        <w:t>第二条　本细则适用于公司总部各部门及各分支机构反洗钱相关流程的内部审计工作。</w:t>
      </w:r>
    </w:p>
    <w:p>
      <w:r>
        <w:rPr>
          <w:rFonts w:ascii="Microsoft YaHei" w:hAnsi="Microsoft YaHei" w:eastAsia="微软雅黑"/>
        </w:rPr>
        <w:t>第三条　合规管理部负责制定审计计划并组织实施；审计部对审计独立性进行监督；各业务部门负责配合提供资料并落实整改。</w:t>
      </w:r>
    </w:p>
    <w:p>
      <w:pPr>
        <w:pStyle w:val="Heading1"/>
      </w:pPr>
      <w:r>
        <w:rPr>
          <w:rFonts w:ascii="Microsoft YaHei" w:hAnsi="Microsoft YaHei" w:eastAsia="微软雅黑"/>
        </w:rPr>
        <w:t>第二章　管理要求</w:t>
      </w:r>
    </w:p>
    <w:p>
      <w:r>
        <w:rPr>
          <w:rFonts w:ascii="Microsoft YaHei" w:hAnsi="Microsoft YaHei" w:eastAsia="微软雅黑"/>
        </w:rPr>
        <w:t>第四条　每年年初制定反洗钱内部审计年度计划，明确审计范围、频率与资源安排；发生重大风险事件时可启动专项审计。</w:t>
      </w:r>
    </w:p>
    <w:p>
      <w:r>
        <w:rPr>
          <w:rFonts w:ascii="Microsoft YaHei" w:hAnsi="Microsoft YaHei" w:eastAsia="微软雅黑"/>
        </w:rPr>
        <w:t>第五条　审计中应抽查客户身份识别与持续识别记录，核验资料完整性与信息更新及时性。</w:t>
      </w:r>
    </w:p>
    <w:p>
      <w:r>
        <w:rPr>
          <w:rFonts w:ascii="Microsoft YaHei" w:hAnsi="Microsoft YaHei" w:eastAsia="微软雅黑"/>
        </w:rPr>
        <w:t>第六条　抽查可疑交易监测与报告流程，确认报告质量与时限符合内部要求。</w:t>
      </w:r>
    </w:p>
    <w:p>
      <w:r>
        <w:rPr>
          <w:rFonts w:ascii="Microsoft YaHei" w:hAnsi="Microsoft YaHei" w:eastAsia="微软雅黑"/>
        </w:rPr>
        <w:t>第七条　审计底稿与调阅资料按保密要求保存，保存期限按公司档案管理规定执行。</w:t>
      </w:r>
    </w:p>
    <w:p>
      <w:r>
        <w:rPr>
          <w:rFonts w:ascii="Microsoft YaHei" w:hAnsi="Microsoft YaHei" w:eastAsia="微软雅黑"/>
        </w:rPr>
        <w:t>第八条　对审计发现的问题建立整改台账，明确责任人与期限，逾期未整改的纳入相关考核。</w:t>
      </w:r>
    </w:p>
    <w:p>
      <w:r>
        <w:rPr>
          <w:rFonts w:ascii="Microsoft YaHei" w:hAnsi="Microsoft YaHei" w:eastAsia="微软雅黑"/>
        </w:rPr>
        <w:t>第九条　审计结束后形成审计报告，报送合规管理委员会；重大风险事项即时上报。</w:t>
      </w:r>
    </w:p>
    <w:p>
      <w:r>
        <w:rPr>
          <w:rFonts w:ascii="Microsoft YaHei" w:hAnsi="Microsoft YaHei" w:eastAsia="微软雅黑"/>
        </w:rPr>
        <w:t>第十条　审计人员对知悉的客户信息与审计事项严格保密，未经批准不得对外披露。</w:t>
      </w:r>
    </w:p>
    <w:p>
      <w:pPr>
        <w:pStyle w:val="Heading1"/>
      </w:pPr>
      <w:r>
        <w:rPr>
          <w:rFonts w:ascii="Microsoft YaHei" w:hAnsi="Microsoft YaHei" w:eastAsia="微软雅黑"/>
        </w:rPr>
        <w:t>第三章　附则</w:t>
      </w:r>
    </w:p>
    <w:p>
      <w:r>
        <w:rPr>
          <w:rFonts w:ascii="Microsoft YaHei" w:hAnsi="Microsoft YaHei" w:eastAsia="微软雅黑"/>
        </w:rPr>
        <w:t>第十一条　本细则由合规管理部负责解释与修订，自发布之日起施行。</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