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微软雅黑"/>
        </w:rPr>
        <w:t>【虚构演示数据】本文档为数字员工平台模拟知识库演示内容，全部信息均为虚构，不代表任何真实公司、制度或数据。</w:t>
      </w:r>
    </w:p>
    <w:p>
      <w:pPr>
        <w:pStyle w:val="Title"/>
      </w:pPr>
      <w:r>
        <w:rPr>
          <w:rFonts w:ascii="Microsoft YaHei" w:hAnsi="Microsoft YaHei" w:eastAsia="微软雅黑"/>
        </w:rPr>
        <w:t>示例证券股份有限公司员工投资行为管理细则（2026年5月修订稿）</w:t>
      </w:r>
    </w:p>
    <w:p>
      <w:pPr>
        <w:pStyle w:val="Heading1"/>
      </w:pPr>
      <w:r>
        <w:rPr>
          <w:rFonts w:ascii="Microsoft YaHei" w:hAnsi="Microsoft YaHei" w:eastAsia="微软雅黑"/>
        </w:rPr>
        <w:t>第一章　总则</w:t>
      </w:r>
    </w:p>
    <w:p>
      <w:r>
        <w:rPr>
          <w:rFonts w:ascii="Microsoft YaHei" w:hAnsi="Microsoft YaHei" w:eastAsia="微软雅黑"/>
        </w:rPr>
        <w:t>第一条　为规范员工个人证券投资行为，防范利益冲突，维护客户利益与公司声誉，制定本细则。</w:t>
      </w:r>
    </w:p>
    <w:p>
      <w:r>
        <w:rPr>
          <w:rFonts w:ascii="Microsoft YaHei" w:hAnsi="Microsoft YaHei" w:eastAsia="微软雅黑"/>
        </w:rPr>
        <w:t>第二条　本细则适用于公司全体员工。</w:t>
      </w:r>
    </w:p>
    <w:p>
      <w:r>
        <w:rPr>
          <w:rFonts w:ascii="Microsoft YaHei" w:hAnsi="Microsoft YaHei" w:eastAsia="微软雅黑"/>
        </w:rPr>
        <w:t>第三条　合规管理部负责投资行为监督，各部门负责人负责本部门员工的日常管理。</w:t>
      </w:r>
    </w:p>
    <w:p>
      <w:pPr>
        <w:pStyle w:val="Heading1"/>
      </w:pPr>
      <w:r>
        <w:rPr>
          <w:rFonts w:ascii="Microsoft YaHei" w:hAnsi="Microsoft YaHei" w:eastAsia="微软雅黑"/>
        </w:rPr>
        <w:t>第二章　管理要求</w:t>
      </w:r>
    </w:p>
    <w:p>
      <w:r>
        <w:rPr>
          <w:rFonts w:ascii="Microsoft YaHei" w:hAnsi="Microsoft YaHei" w:eastAsia="微软雅黑"/>
        </w:rPr>
        <w:t>第四条　员工本人及直系亲属的证券账户应按要求向公司报备。</w:t>
      </w:r>
    </w:p>
    <w:p>
      <w:r>
        <w:rPr>
          <w:rFonts w:ascii="Microsoft YaHei" w:hAnsi="Microsoft YaHei" w:eastAsia="微软雅黑"/>
        </w:rPr>
        <w:t>第五条　员工买卖证券前应按岗位要求履行交易申报程序。</w:t>
      </w:r>
    </w:p>
    <w:p>
      <w:r>
        <w:rPr>
          <w:rFonts w:ascii="Microsoft YaHei" w:hAnsi="Microsoft YaHei" w:eastAsia="微软雅黑"/>
        </w:rPr>
        <w:t>第六条　敏感岗位员工交易须经事前审批，审批通过后方可执行。</w:t>
      </w:r>
    </w:p>
    <w:p>
      <w:r>
        <w:rPr>
          <w:rFonts w:ascii="Microsoft YaHei" w:hAnsi="Microsoft YaHei" w:eastAsia="微软雅黑"/>
        </w:rPr>
        <w:t>第七条　公司发布重要信息窗口期内，相关人员禁止交易相关证券（以公司通知为准）。</w:t>
      </w:r>
    </w:p>
    <w:p>
      <w:r>
        <w:rPr>
          <w:rFonts w:ascii="Microsoft YaHei" w:hAnsi="Microsoft YaHei" w:eastAsia="微软雅黑"/>
        </w:rPr>
        <w:t>第八条　通过系统监控与人工抽查相结合的方式核查员工交易行为。</w:t>
      </w:r>
    </w:p>
    <w:p>
      <w:r>
        <w:rPr>
          <w:rFonts w:ascii="Microsoft YaHei" w:hAnsi="Microsoft YaHei" w:eastAsia="微软雅黑"/>
        </w:rPr>
        <w:t>第九条　违反本细则的，按公司纪律管理规定处理。</w:t>
      </w:r>
    </w:p>
    <w:p>
      <w:pPr>
        <w:pStyle w:val="Heading1"/>
      </w:pPr>
      <w:r>
        <w:rPr>
          <w:rFonts w:ascii="Microsoft YaHei" w:hAnsi="Microsoft YaHei" w:eastAsia="微软雅黑"/>
        </w:rPr>
        <w:t>第三章　附则</w:t>
      </w:r>
    </w:p>
    <w:p>
      <w:r>
        <w:rPr>
          <w:rFonts w:ascii="Microsoft YaHei" w:hAnsi="Microsoft YaHei" w:eastAsia="微软雅黑"/>
        </w:rPr>
        <w:t>第十条　本细则由合规管理部负责解释与修订，自发布之日起施行。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