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示例证券股份有限公司证券交易结算资金管理办法（2026年4月修订稿）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为保障客户交易结算资金安全，规范资金管理流程，制定本办法。</w:t>
      </w:r>
    </w:p>
    <w:p>
      <w:r>
        <w:rPr>
          <w:rFonts w:ascii="Microsoft YaHei" w:hAnsi="Microsoft YaHei" w:eastAsia="微软雅黑"/>
        </w:rPr>
        <w:t>第二条　本办法适用于公司客户交易结算资金的存管、划拨、对账与核算。</w:t>
      </w:r>
    </w:p>
    <w:p>
      <w:r>
        <w:rPr>
          <w:rFonts w:ascii="Microsoft YaHei" w:hAnsi="Microsoft YaHei" w:eastAsia="微软雅黑"/>
        </w:rPr>
        <w:t>第三条　财务部、结算部与信息技术部按职责分工共同落实本办法。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管理要求</w:t>
      </w:r>
    </w:p>
    <w:p>
      <w:r>
        <w:rPr>
          <w:rFonts w:ascii="Microsoft YaHei" w:hAnsi="Microsoft YaHei" w:eastAsia="微软雅黑"/>
        </w:rPr>
        <w:t>第四条　客户交易结算资金须全额存放在存管银行专用账户，公司不得挪用。</w:t>
      </w:r>
    </w:p>
    <w:p>
      <w:r>
        <w:rPr>
          <w:rFonts w:ascii="Microsoft YaHei" w:hAnsi="Microsoft YaHei" w:eastAsia="微软雅黑"/>
        </w:rPr>
        <w:t>第五条　按客户分户核算资金，确保账账相符、账实相符。</w:t>
      </w:r>
    </w:p>
    <w:p>
      <w:r>
        <w:rPr>
          <w:rFonts w:ascii="Microsoft YaHei" w:hAnsi="Microsoft YaHei" w:eastAsia="微软雅黑"/>
        </w:rPr>
        <w:t>第六条　资金划拨须经双人复核与权限审批，全过程留痕。</w:t>
      </w:r>
    </w:p>
    <w:p>
      <w:r>
        <w:rPr>
          <w:rFonts w:ascii="Microsoft YaHei" w:hAnsi="Microsoft YaHei" w:eastAsia="微软雅黑"/>
        </w:rPr>
        <w:t>第七条　每日与存管银行及登记结算机构对账，差异当日核查处理。</w:t>
      </w:r>
    </w:p>
    <w:p>
      <w:r>
        <w:rPr>
          <w:rFonts w:ascii="Microsoft YaHei" w:hAnsi="Microsoft YaHei" w:eastAsia="微软雅黑"/>
        </w:rPr>
        <w:t>第八条　发现资金差错按流程冲正并登记差错台账。</w:t>
      </w:r>
    </w:p>
    <w:p>
      <w:r>
        <w:rPr>
          <w:rFonts w:ascii="Microsoft YaHei" w:hAnsi="Microsoft YaHei" w:eastAsia="微软雅黑"/>
        </w:rPr>
        <w:t>第九条　资金系统实行访问控制、权限隔离与操作留痕，定期开展安全检查。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第十条　本办法由财务部负责解释与修订，自发布之日起施行。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