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240" w:after="120"/>
        <w:jc w:val="center"/>
      </w:pPr>
      <w:r>
        <w:rPr>
          <w:rFonts w:ascii="Times New Roman" w:hAnsi="Times New Roman"/>
          <w:b/>
          <w:sz w:val="32"/>
        </w:rPr>
        <w:t>B.Tech. Project</w:t>
      </w:r>
    </w:p>
    <w:p>
      <w:pPr>
        <w:spacing w:before="240" w:after="120"/>
        <w:jc w:val="center"/>
      </w:pPr>
      <w:r>
        <w:rPr>
          <w:rFonts w:ascii="Times New Roman" w:hAnsi="Times New Roman"/>
          <w:b/>
          <w:sz w:val="28"/>
        </w:rPr>
        <w:t>On</w:t>
      </w:r>
    </w:p>
    <w:p>
      <w:pPr>
        <w:spacing w:before="0" w:after="0"/>
      </w:pPr>
    </w:p>
    <w:p>
      <w:pPr>
        <w:spacing w:before="240" w:after="120"/>
        <w:jc w:val="center"/>
      </w:pPr>
      <w:r>
        <w:rPr>
          <w:rFonts w:ascii="Times New Roman" w:hAnsi="Times New Roman"/>
          <w:b/>
          <w:sz w:val="32"/>
        </w:rPr>
        <w:t>OPTIMAL CONFIGURATION OF BIFACIAL</w:t>
        <w:br/>
        <w:t>PHOTOVOLTAIC MODULES USING</w:t>
        <w:br/>
        <w:t>PARAMETRIC ANALYSIS</w:t>
      </w:r>
    </w:p>
    <w:p>
      <w:pPr>
        <w:spacing w:before="0" w:after="0"/>
      </w:pPr>
    </w:p>
    <w:p>
      <w:pPr>
        <w:spacing w:after="120" w:before="60"/>
        <w:jc w:val="center"/>
      </w:pPr>
      <w:r>
        <w:rPr>
          <w:rFonts w:ascii="Times New Roman" w:hAnsi="Times New Roman"/>
          <w:b w:val="0"/>
          <w:i w:val="0"/>
          <w:sz w:val="24"/>
        </w:rPr>
        <w:t>Report submitted in partial fulfillment of the requirements for the</w:t>
        <w:br/>
        <w:t>B. Tech. degree in Electrical Engineering</w:t>
      </w:r>
    </w:p>
    <w:p>
      <w:pPr>
        <w:spacing w:before="0" w:after="0"/>
      </w:pPr>
    </w:p>
    <w:p>
      <w:pPr>
        <w:spacing w:before="240" w:after="120"/>
        <w:jc w:val="center"/>
      </w:pPr>
      <w:r>
        <w:rPr>
          <w:rFonts w:ascii="Times New Roman" w:hAnsi="Times New Roman"/>
          <w:b/>
          <w:sz w:val="28"/>
        </w:rPr>
        <w:t>By</w:t>
      </w:r>
    </w:p>
    <w:tbl>
      <w:tblPr>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4"/>
              </w:rPr>
              <w:t>Name of Student</w:t>
            </w:r>
          </w:p>
        </w:tc>
        <w:tc>
          <w:tcPr>
            <w:tcW w:type="dxa" w:w="4320"/>
          </w:tcPr>
          <w:p>
            <w:pPr>
              <w:jc w:val="center"/>
            </w:pPr>
            <w:r/>
            <w:r>
              <w:rPr>
                <w:rFonts w:ascii="Times New Roman" w:hAnsi="Times New Roman"/>
                <w:b/>
                <w:sz w:val="24"/>
              </w:rPr>
              <w:t>Roll No.</w:t>
            </w:r>
          </w:p>
        </w:tc>
      </w:tr>
      <w:tr>
        <w:tc>
          <w:tcPr>
            <w:tcW w:type="dxa" w:w="4320"/>
          </w:tcPr>
          <w:p>
            <w:pPr>
              <w:jc w:val="center"/>
            </w:pPr>
            <w:r/>
            <w:r>
              <w:rPr>
                <w:rFonts w:ascii="Times New Roman" w:hAnsi="Times New Roman"/>
                <w:sz w:val="24"/>
              </w:rPr>
              <w:t>Ashish Upadhyay</w:t>
            </w:r>
          </w:p>
        </w:tc>
        <w:tc>
          <w:tcPr>
            <w:tcW w:type="dxa" w:w="4320"/>
          </w:tcPr>
          <w:p>
            <w:pPr>
              <w:jc w:val="center"/>
            </w:pPr>
            <w:r/>
            <w:r>
              <w:rPr>
                <w:rFonts w:ascii="Times New Roman" w:hAnsi="Times New Roman"/>
                <w:sz w:val="24"/>
              </w:rPr>
              <w:t>2022UEE4521</w:t>
            </w:r>
          </w:p>
        </w:tc>
      </w:tr>
      <w:tr>
        <w:tc>
          <w:tcPr>
            <w:tcW w:type="dxa" w:w="4320"/>
          </w:tcPr>
          <w:p>
            <w:pPr>
              <w:jc w:val="center"/>
            </w:pPr>
            <w:r/>
            <w:r>
              <w:rPr>
                <w:rFonts w:ascii="Times New Roman" w:hAnsi="Times New Roman"/>
                <w:sz w:val="24"/>
              </w:rPr>
              <w:t>Pratyai Chakrabarty</w:t>
            </w:r>
          </w:p>
        </w:tc>
        <w:tc>
          <w:tcPr>
            <w:tcW w:type="dxa" w:w="4320"/>
          </w:tcPr>
          <w:p>
            <w:pPr>
              <w:jc w:val="center"/>
            </w:pPr>
            <w:r/>
            <w:r>
              <w:rPr>
                <w:rFonts w:ascii="Times New Roman" w:hAnsi="Times New Roman"/>
                <w:sz w:val="24"/>
              </w:rPr>
              <w:t>2022UEE4586</w:t>
            </w:r>
          </w:p>
        </w:tc>
      </w:tr>
      <w:tr>
        <w:tc>
          <w:tcPr>
            <w:tcW w:type="dxa" w:w="4320"/>
          </w:tcPr>
          <w:p>
            <w:pPr>
              <w:jc w:val="center"/>
            </w:pPr>
            <w:r/>
            <w:r>
              <w:rPr>
                <w:rFonts w:ascii="Times New Roman" w:hAnsi="Times New Roman"/>
                <w:sz w:val="24"/>
              </w:rPr>
              <w:t>Aman</w:t>
            </w:r>
          </w:p>
        </w:tc>
        <w:tc>
          <w:tcPr>
            <w:tcW w:type="dxa" w:w="4320"/>
          </w:tcPr>
          <w:p>
            <w:pPr>
              <w:jc w:val="center"/>
            </w:pPr>
            <w:r/>
            <w:r>
              <w:rPr>
                <w:rFonts w:ascii="Times New Roman" w:hAnsi="Times New Roman"/>
                <w:sz w:val="24"/>
              </w:rPr>
              <w:t>2022UEE4532</w:t>
            </w:r>
          </w:p>
        </w:tc>
      </w:tr>
      <w:tr>
        <w:tc>
          <w:tcPr>
            <w:tcW w:type="dxa" w:w="4320"/>
          </w:tcPr>
          <w:p>
            <w:pPr>
              <w:jc w:val="center"/>
            </w:pPr>
            <w:r/>
            <w:r>
              <w:rPr>
                <w:rFonts w:ascii="Times New Roman" w:hAnsi="Times New Roman"/>
                <w:sz w:val="24"/>
              </w:rPr>
              <w:t>Aditya Garg</w:t>
            </w:r>
          </w:p>
        </w:tc>
        <w:tc>
          <w:tcPr>
            <w:tcW w:type="dxa" w:w="4320"/>
          </w:tcPr>
          <w:p>
            <w:pPr>
              <w:jc w:val="center"/>
            </w:pPr>
            <w:r/>
            <w:r>
              <w:rPr>
                <w:rFonts w:ascii="Times New Roman" w:hAnsi="Times New Roman"/>
                <w:sz w:val="24"/>
              </w:rPr>
              <w:t>2022UEE4503</w:t>
            </w:r>
          </w:p>
        </w:tc>
      </w:tr>
    </w:tbl>
    <w:p>
      <w:pPr>
        <w:spacing w:before="0" w:after="0"/>
      </w:pPr>
    </w:p>
    <w:p>
      <w:pPr>
        <w:spacing w:after="120" w:before="60"/>
        <w:jc w:val="center"/>
      </w:pPr>
      <w:r>
        <w:rPr>
          <w:rFonts w:ascii="Times New Roman" w:hAnsi="Times New Roman"/>
          <w:b w:val="0"/>
          <w:i w:val="0"/>
          <w:sz w:val="24"/>
        </w:rPr>
        <w:t>Under the supervision of</w:t>
      </w:r>
    </w:p>
    <w:p>
      <w:pPr>
        <w:spacing w:before="240" w:after="120"/>
        <w:jc w:val="center"/>
      </w:pPr>
      <w:r>
        <w:rPr>
          <w:rFonts w:ascii="Times New Roman" w:hAnsi="Times New Roman"/>
          <w:b/>
          <w:sz w:val="28"/>
        </w:rPr>
        <w:t>Dr. Astitva Kumar</w:t>
      </w:r>
    </w:p>
    <w:p>
      <w:pPr>
        <w:spacing w:before="0" w:after="0"/>
      </w:pPr>
    </w:p>
    <w:p>
      <w:pPr>
        <w:spacing w:before="0" w:after="0"/>
      </w:pPr>
    </w:p>
    <w:p>
      <w:pPr>
        <w:spacing w:after="120" w:before="60"/>
        <w:jc w:val="center"/>
      </w:pPr>
      <w:r>
        <w:rPr>
          <w:rFonts w:ascii="Times New Roman" w:hAnsi="Times New Roman"/>
          <w:b/>
          <w:i w:val="0"/>
          <w:sz w:val="24"/>
        </w:rPr>
        <w:t>[NSUT Logo]</w:t>
      </w:r>
    </w:p>
    <w:p>
      <w:pPr>
        <w:spacing w:before="0" w:after="0"/>
      </w:pPr>
    </w:p>
    <w:p>
      <w:pPr>
        <w:spacing w:before="240" w:after="120"/>
        <w:jc w:val="center"/>
      </w:pPr>
      <w:r>
        <w:rPr>
          <w:rFonts w:ascii="Times New Roman" w:hAnsi="Times New Roman"/>
          <w:b/>
          <w:sz w:val="28"/>
        </w:rPr>
        <w:t>DEPARTMENT OF ELECTRICAL ENGINEERING</w:t>
      </w:r>
    </w:p>
    <w:p>
      <w:pPr>
        <w:spacing w:before="240" w:after="120"/>
        <w:jc w:val="center"/>
      </w:pPr>
      <w:r>
        <w:rPr>
          <w:rFonts w:ascii="Times New Roman" w:hAnsi="Times New Roman"/>
          <w:b/>
          <w:sz w:val="28"/>
        </w:rPr>
        <w:t>NETAJI SUBHAS UNIVERSITY OF TECHNOLOGY (NSUT)</w:t>
        <w:br/>
        <w:t>DWARKA, NEW DELHI</w:t>
      </w:r>
    </w:p>
    <w:p>
      <w:pPr>
        <w:spacing w:before="240" w:after="120"/>
        <w:jc w:val="center"/>
      </w:pPr>
      <w:r>
        <w:rPr>
          <w:rFonts w:ascii="Times New Roman" w:hAnsi="Times New Roman"/>
          <w:b/>
          <w:sz w:val="28"/>
        </w:rPr>
        <w:t>MAY 2026</w:t>
      </w:r>
    </w:p>
    <w:p>
      <w:r>
        <w:br w:type="page"/>
      </w:r>
    </w:p>
    <w:p>
      <w:pPr>
        <w:spacing w:before="240" w:after="120"/>
        <w:jc w:val="center"/>
      </w:pPr>
      <w:r>
        <w:rPr>
          <w:rFonts w:ascii="Times New Roman" w:hAnsi="Times New Roman"/>
          <w:b/>
          <w:sz w:val="28"/>
        </w:rPr>
        <w:t>CANDIDATE(S) DECLARATION</w:t>
      </w:r>
    </w:p>
    <w:p>
      <w:pPr>
        <w:spacing w:before="0" w:after="0"/>
      </w:pPr>
    </w:p>
    <w:p>
      <w:pPr>
        <w:spacing w:before="240" w:after="120"/>
        <w:jc w:val="center"/>
      </w:pPr>
      <w:r>
        <w:rPr>
          <w:rFonts w:ascii="Times New Roman" w:hAnsi="Times New Roman"/>
          <w:b/>
          <w:sz w:val="24"/>
        </w:rPr>
        <w:t>DEPARTMENT OF ELECTRICAL ENGINEERING</w:t>
      </w:r>
    </w:p>
    <w:p>
      <w:pPr>
        <w:spacing w:before="0" w:after="0"/>
      </w:pPr>
    </w:p>
    <w:p>
      <w:pPr>
        <w:spacing w:after="120" w:before="60"/>
        <w:jc w:val="both"/>
      </w:pPr>
      <w:r>
        <w:rPr>
          <w:rFonts w:ascii="Times New Roman" w:hAnsi="Times New Roman"/>
          <w:b w:val="0"/>
          <w:i w:val="0"/>
          <w:sz w:val="24"/>
        </w:rPr>
        <w:t>I/We, Ashish Upadhyay (2022UEE4521), Pratyai Chakrabarty (2022UEE4586), Aman (2022UEE4532) and Aditya Garg (2022UEE4503), students of B. Tech., Department of Electrical Engineering, hereby declare that the Project-Thesis titled "Optimal Configuration of Bifacial Photovoltaic Modules using Parametric Analysis" which is submitted by us to the Department of Electrical Engineering, Netaji Subhas University of Technology (NSUT) Dwarka, New Delhi in partial fulfillment of the requirement for the award of the degree of Bachelor of Technology is our original work and not copied from any source without proper citation. The manuscript has been subjected to plagiarism check by Turnitin software. This work has not previously formed the basis for the award of any other Degree.</w:t>
      </w:r>
    </w:p>
    <w:p>
      <w:pPr>
        <w:spacing w:before="0" w:after="0"/>
      </w:pPr>
    </w:p>
    <w:p>
      <w:pPr>
        <w:spacing w:before="0" w:after="0"/>
      </w:pPr>
    </w:p>
    <w:p>
      <w:pPr>
        <w:spacing w:after="120" w:before="60"/>
        <w:jc w:val="both"/>
      </w:pPr>
      <w:r>
        <w:rPr>
          <w:rFonts w:ascii="Times New Roman" w:hAnsi="Times New Roman"/>
          <w:b w:val="0"/>
          <w:i w:val="0"/>
          <w:sz w:val="24"/>
        </w:rPr>
        <w:t>Place: New Delhi</w:t>
      </w:r>
    </w:p>
    <w:p>
      <w:pPr>
        <w:spacing w:after="120" w:before="60"/>
        <w:jc w:val="both"/>
      </w:pPr>
      <w:r>
        <w:rPr>
          <w:rFonts w:ascii="Times New Roman" w:hAnsi="Times New Roman"/>
          <w:b w:val="0"/>
          <w:i w:val="0"/>
          <w:sz w:val="24"/>
        </w:rPr>
        <w:t>Date: May 2026</w:t>
      </w:r>
    </w:p>
    <w:p>
      <w:pPr>
        <w:spacing w:before="0" w:after="0"/>
      </w:pPr>
    </w:p>
    <w:p>
      <w:pPr>
        <w:spacing w:before="0" w:after="0"/>
      </w:pPr>
    </w:p>
    <w:p>
      <w:pPr>
        <w:spacing w:after="120" w:before="60"/>
        <w:jc w:val="both"/>
      </w:pPr>
      <w:r>
        <w:rPr>
          <w:rFonts w:ascii="Times New Roman" w:hAnsi="Times New Roman"/>
          <w:b w:val="0"/>
          <w:i w:val="0"/>
          <w:sz w:val="24"/>
        </w:rPr>
        <w:t>Ashish Upadhyay</w:t>
        <w:br/>
        <w:t>2022UEE4521</w:t>
      </w:r>
    </w:p>
    <w:p>
      <w:pPr>
        <w:spacing w:after="120" w:before="60"/>
        <w:jc w:val="both"/>
      </w:pPr>
      <w:r>
        <w:rPr>
          <w:rFonts w:ascii="Times New Roman" w:hAnsi="Times New Roman"/>
          <w:b w:val="0"/>
          <w:i w:val="0"/>
          <w:sz w:val="24"/>
        </w:rPr>
        <w:t>Pratyai Chakrabarty</w:t>
        <w:br/>
        <w:t>2022UEE4586</w:t>
      </w:r>
    </w:p>
    <w:p>
      <w:pPr>
        <w:spacing w:after="120" w:before="60"/>
        <w:jc w:val="both"/>
      </w:pPr>
      <w:r>
        <w:rPr>
          <w:rFonts w:ascii="Times New Roman" w:hAnsi="Times New Roman"/>
          <w:b w:val="0"/>
          <w:i w:val="0"/>
          <w:sz w:val="24"/>
        </w:rPr>
        <w:t>Aman</w:t>
        <w:br/>
        <w:t>2022UEE4532</w:t>
      </w:r>
    </w:p>
    <w:p>
      <w:pPr>
        <w:spacing w:after="120" w:before="60"/>
        <w:jc w:val="both"/>
      </w:pPr>
      <w:r>
        <w:rPr>
          <w:rFonts w:ascii="Times New Roman" w:hAnsi="Times New Roman"/>
          <w:b w:val="0"/>
          <w:i w:val="0"/>
          <w:sz w:val="24"/>
        </w:rPr>
        <w:t>Aditya Garg</w:t>
        <w:br/>
        <w:t>2022UEE4503</w:t>
      </w:r>
    </w:p>
    <w:p>
      <w:pPr>
        <w:spacing w:after="120" w:before="60"/>
        <w:jc w:val="center"/>
      </w:pPr>
      <w:r>
        <w:rPr>
          <w:rFonts w:ascii="Times New Roman" w:hAnsi="Times New Roman"/>
          <w:b w:val="0"/>
          <w:i w:val="0"/>
          <w:sz w:val="24"/>
        </w:rPr>
        <w:br/>
        <w:t>i</w:t>
      </w:r>
    </w:p>
    <w:p>
      <w:r>
        <w:br w:type="page"/>
      </w:r>
    </w:p>
    <w:p>
      <w:pPr>
        <w:spacing w:before="240" w:after="120"/>
        <w:jc w:val="center"/>
      </w:pPr>
      <w:r>
        <w:rPr>
          <w:rFonts w:ascii="Times New Roman" w:hAnsi="Times New Roman"/>
          <w:b/>
          <w:sz w:val="28"/>
        </w:rPr>
        <w:t>CERTIFICATE OF DECLARATION</w:t>
      </w:r>
    </w:p>
    <w:p>
      <w:pPr>
        <w:spacing w:before="0" w:after="0"/>
      </w:pPr>
    </w:p>
    <w:p>
      <w:pPr>
        <w:spacing w:before="240" w:after="120"/>
        <w:jc w:val="center"/>
      </w:pPr>
      <w:r>
        <w:rPr>
          <w:rFonts w:ascii="Times New Roman" w:hAnsi="Times New Roman"/>
          <w:b/>
          <w:sz w:val="24"/>
        </w:rPr>
        <w:t>DEPARTMENT OF ELECTRICAL ENGINEERING</w:t>
      </w:r>
    </w:p>
    <w:p>
      <w:pPr>
        <w:spacing w:before="0" w:after="0"/>
      </w:pPr>
    </w:p>
    <w:p>
      <w:pPr>
        <w:spacing w:after="120" w:before="60"/>
        <w:jc w:val="both"/>
      </w:pPr>
      <w:r>
        <w:rPr>
          <w:rFonts w:ascii="Times New Roman" w:hAnsi="Times New Roman"/>
          <w:b w:val="0"/>
          <w:i w:val="0"/>
          <w:sz w:val="24"/>
        </w:rPr>
        <w:t>This is to certify that the work embodied in project thesis titled, "Optimal Configuration of Bifacial Photovoltaic Modules using Parametric Analysis" by Ashish Upadhyay (2022UEE4521), Pratyai Chakrabarty (2022UEE4586), Aman (2022UEE4532) and Aditya Garg (2022UEE4503) is the bonafide work of the group submitted to Netaji Subhas University of Technology for consideration in 8th Semester B.Tech. Project Evaluation.</w:t>
      </w:r>
    </w:p>
    <w:p>
      <w:pPr>
        <w:spacing w:before="0" w:after="0"/>
      </w:pPr>
    </w:p>
    <w:p>
      <w:pPr>
        <w:spacing w:after="120" w:before="60"/>
        <w:jc w:val="both"/>
      </w:pPr>
      <w:r>
        <w:rPr>
          <w:rFonts w:ascii="Times New Roman" w:hAnsi="Times New Roman"/>
          <w:b w:val="0"/>
          <w:i w:val="0"/>
          <w:sz w:val="24"/>
        </w:rPr>
        <w:t>The original Research work was carried out by the team under my guidance and supervision in the academic year 2025-2026. This work has not been submitted for any other diploma or degree of any university. On the basis of declaration made by the group, we recommend the project report for evaluation.</w:t>
      </w:r>
    </w:p>
    <w:p>
      <w:pPr>
        <w:spacing w:before="0" w:after="0"/>
      </w:pPr>
    </w:p>
    <w:p>
      <w:pPr>
        <w:spacing w:before="0" w:after="0"/>
      </w:pPr>
    </w:p>
    <w:p>
      <w:pPr>
        <w:spacing w:before="0" w:after="0"/>
      </w:pPr>
    </w:p>
    <w:p>
      <w:pPr>
        <w:spacing w:after="120" w:before="60"/>
        <w:jc w:val="both"/>
      </w:pPr>
      <w:r>
        <w:rPr>
          <w:rFonts w:ascii="Times New Roman" w:hAnsi="Times New Roman"/>
          <w:b w:val="0"/>
          <w:i w:val="0"/>
          <w:sz w:val="24"/>
        </w:rPr>
        <w:t>Dr. Astitva Kumar</w:t>
      </w:r>
    </w:p>
    <w:p>
      <w:pPr>
        <w:spacing w:after="120" w:before="60"/>
        <w:jc w:val="both"/>
      </w:pPr>
      <w:r>
        <w:rPr>
          <w:rFonts w:ascii="Times New Roman" w:hAnsi="Times New Roman"/>
          <w:b w:val="0"/>
          <w:i w:val="0"/>
          <w:sz w:val="24"/>
        </w:rPr>
        <w:t>Assistant Professor</w:t>
      </w:r>
    </w:p>
    <w:p>
      <w:pPr>
        <w:spacing w:after="120" w:before="60"/>
        <w:jc w:val="both"/>
      </w:pPr>
      <w:r>
        <w:rPr>
          <w:rFonts w:ascii="Times New Roman" w:hAnsi="Times New Roman"/>
          <w:b w:val="0"/>
          <w:i w:val="0"/>
          <w:sz w:val="24"/>
        </w:rPr>
        <w:t>Department of Electrical Engineering</w:t>
      </w:r>
    </w:p>
    <w:p>
      <w:pPr>
        <w:spacing w:after="120" w:before="60"/>
        <w:jc w:val="both"/>
      </w:pPr>
      <w:r>
        <w:rPr>
          <w:rFonts w:ascii="Times New Roman" w:hAnsi="Times New Roman"/>
          <w:b w:val="0"/>
          <w:i w:val="0"/>
          <w:sz w:val="24"/>
        </w:rPr>
        <w:t>Netaji Subhas University of Technology</w:t>
      </w:r>
    </w:p>
    <w:p>
      <w:pPr>
        <w:spacing w:after="120" w:before="60"/>
        <w:jc w:val="center"/>
      </w:pPr>
      <w:r>
        <w:rPr>
          <w:rFonts w:ascii="Times New Roman" w:hAnsi="Times New Roman"/>
          <w:b w:val="0"/>
          <w:i w:val="0"/>
          <w:sz w:val="24"/>
        </w:rPr>
        <w:br/>
        <w:t>ii</w:t>
      </w:r>
    </w:p>
    <w:p>
      <w:r>
        <w:br w:type="page"/>
      </w:r>
    </w:p>
    <w:p>
      <w:pPr>
        <w:spacing w:before="240" w:after="120"/>
        <w:jc w:val="center"/>
      </w:pPr>
      <w:r>
        <w:rPr>
          <w:rFonts w:ascii="Times New Roman" w:hAnsi="Times New Roman"/>
          <w:b/>
          <w:sz w:val="28"/>
        </w:rPr>
        <w:t>ACKNOWLEDGEMENT</w:t>
      </w:r>
    </w:p>
    <w:p>
      <w:pPr>
        <w:spacing w:before="0" w:after="0"/>
      </w:pPr>
    </w:p>
    <w:p>
      <w:pPr>
        <w:spacing w:after="120" w:before="60"/>
        <w:jc w:val="both"/>
      </w:pPr>
      <w:r>
        <w:rPr>
          <w:rFonts w:ascii="Times New Roman" w:hAnsi="Times New Roman"/>
          <w:b w:val="0"/>
          <w:i w:val="0"/>
          <w:sz w:val="24"/>
        </w:rPr>
        <w:t>We would like to express our sincere gratitude and appreciation to all those who made it possible to complete this project. First and foremost, we extend our deepest thanks to our project supervisor, Dr. Astitva Kumar, Assistant Professor, Department of Electrical Engineering, Netaji Subhas University of Technology, New Delhi, whose continuous guidance, invaluable suggestions, constructive criticism, and constant encouragement have been instrumental throughout the course of this work. His expertise in the domain of photovoltaic systems and renewable energy provided the foundation upon which this research was built.</w:t>
      </w:r>
    </w:p>
    <w:p>
      <w:pPr>
        <w:spacing w:after="120" w:before="60"/>
        <w:jc w:val="both"/>
      </w:pPr>
      <w:r>
        <w:rPr>
          <w:rFonts w:ascii="Times New Roman" w:hAnsi="Times New Roman"/>
          <w:b w:val="0"/>
          <w:i w:val="0"/>
          <w:sz w:val="24"/>
        </w:rPr>
        <w:t>We would also like to acknowledge the Department of Electrical Engineering, NSUT, for providing access to laboratory facilities, computational resources, and licensed software tools including MATLAB/Simulink, which were essential for the simulation and analysis components of this project.</w:t>
      </w:r>
    </w:p>
    <w:p>
      <w:pPr>
        <w:spacing w:after="120" w:before="60"/>
        <w:jc w:val="both"/>
      </w:pPr>
      <w:r>
        <w:rPr>
          <w:rFonts w:ascii="Times New Roman" w:hAnsi="Times New Roman"/>
          <w:b w:val="0"/>
          <w:i w:val="0"/>
          <w:sz w:val="24"/>
        </w:rPr>
        <w:t>We are grateful to our colleagues and peers who offered their time for technical discussions, proofreading, and constructive feedback during the preparation of this report. Their support has been invaluable in refining both the technical content and the presentation quality of this work.</w:t>
      </w:r>
    </w:p>
    <w:p>
      <w:pPr>
        <w:spacing w:after="120" w:before="60"/>
        <w:jc w:val="both"/>
      </w:pPr>
      <w:r>
        <w:rPr>
          <w:rFonts w:ascii="Times New Roman" w:hAnsi="Times New Roman"/>
          <w:b w:val="0"/>
          <w:i w:val="0"/>
          <w:sz w:val="24"/>
        </w:rPr>
        <w:t>Finally, we wish to express our heartfelt gratitude to our families for their unwavering support, patience, and motivation throughout the duration of this project.</w:t>
      </w:r>
    </w:p>
    <w:p>
      <w:pPr>
        <w:spacing w:before="0" w:after="0"/>
      </w:pPr>
    </w:p>
    <w:p>
      <w:pPr>
        <w:spacing w:before="0" w:after="0"/>
      </w:pPr>
    </w:p>
    <w:p>
      <w:pPr>
        <w:spacing w:after="120" w:before="60"/>
        <w:jc w:val="right"/>
      </w:pPr>
      <w:r>
        <w:rPr>
          <w:rFonts w:ascii="Times New Roman" w:hAnsi="Times New Roman"/>
          <w:b w:val="0"/>
          <w:i w:val="0"/>
          <w:sz w:val="24"/>
        </w:rPr>
        <w:t>Ashish Upadhyay</w:t>
      </w:r>
    </w:p>
    <w:p>
      <w:pPr>
        <w:spacing w:after="120" w:before="60"/>
        <w:jc w:val="right"/>
      </w:pPr>
      <w:r>
        <w:rPr>
          <w:rFonts w:ascii="Times New Roman" w:hAnsi="Times New Roman"/>
          <w:b w:val="0"/>
          <w:i w:val="0"/>
          <w:sz w:val="24"/>
        </w:rPr>
        <w:t>Pratyai Chakrabarty</w:t>
      </w:r>
    </w:p>
    <w:p>
      <w:pPr>
        <w:spacing w:after="120" w:before="60"/>
        <w:jc w:val="right"/>
      </w:pPr>
      <w:r>
        <w:rPr>
          <w:rFonts w:ascii="Times New Roman" w:hAnsi="Times New Roman"/>
          <w:b w:val="0"/>
          <w:i w:val="0"/>
          <w:sz w:val="24"/>
        </w:rPr>
        <w:t>Aman</w:t>
      </w:r>
    </w:p>
    <w:p>
      <w:pPr>
        <w:spacing w:after="120" w:before="60"/>
        <w:jc w:val="right"/>
      </w:pPr>
      <w:r>
        <w:rPr>
          <w:rFonts w:ascii="Times New Roman" w:hAnsi="Times New Roman"/>
          <w:b w:val="0"/>
          <w:i w:val="0"/>
          <w:sz w:val="24"/>
        </w:rPr>
        <w:t>Aditya Garg</w:t>
      </w:r>
    </w:p>
    <w:p>
      <w:pPr>
        <w:spacing w:after="120" w:before="60"/>
        <w:jc w:val="center"/>
      </w:pPr>
      <w:r>
        <w:rPr>
          <w:rFonts w:ascii="Times New Roman" w:hAnsi="Times New Roman"/>
          <w:b w:val="0"/>
          <w:i w:val="0"/>
          <w:sz w:val="24"/>
        </w:rPr>
        <w:br/>
        <w:t>iii</w:t>
      </w:r>
    </w:p>
    <w:p>
      <w:r>
        <w:br w:type="page"/>
      </w:r>
    </w:p>
    <w:p>
      <w:pPr>
        <w:spacing w:before="240" w:after="120"/>
        <w:jc w:val="center"/>
      </w:pPr>
      <w:r>
        <w:rPr>
          <w:rFonts w:ascii="Times New Roman" w:hAnsi="Times New Roman"/>
          <w:b/>
          <w:sz w:val="28"/>
        </w:rPr>
        <w:t>PLAGIARISM REPORT</w:t>
      </w:r>
    </w:p>
    <w:p>
      <w:pPr>
        <w:spacing w:before="0" w:after="0"/>
      </w:pPr>
    </w:p>
    <w:p>
      <w:pPr>
        <w:spacing w:before="0" w:after="0"/>
      </w:pPr>
    </w:p>
    <w:p>
      <w:pPr>
        <w:spacing w:after="120" w:before="60"/>
        <w:jc w:val="center"/>
      </w:pPr>
      <w:r>
        <w:rPr>
          <w:rFonts w:ascii="Times New Roman" w:hAnsi="Times New Roman"/>
          <w:b/>
          <w:i w:val="0"/>
          <w:sz w:val="24"/>
        </w:rPr>
        <w:t>[Attach Turnitin/Ouriginal plagiarism report here]</w:t>
      </w:r>
    </w:p>
    <w:p>
      <w:pPr>
        <w:spacing w:after="120" w:before="60"/>
        <w:jc w:val="center"/>
      </w:pPr>
      <w:r>
        <w:rPr>
          <w:rFonts w:ascii="Times New Roman" w:hAnsi="Times New Roman"/>
          <w:b w:val="0"/>
          <w:i w:val="0"/>
          <w:sz w:val="24"/>
        </w:rPr>
        <w:t>Similarity Index: ___ % (must be less than 20%)</w:t>
      </w:r>
    </w:p>
    <w:p>
      <w:pPr>
        <w:spacing w:before="0" w:after="0"/>
      </w:pPr>
    </w:p>
    <w:p>
      <w:pPr>
        <w:spacing w:before="0" w:after="0"/>
      </w:pPr>
    </w:p>
    <w:p>
      <w:pPr>
        <w:spacing w:after="120" w:before="60"/>
        <w:jc w:val="both"/>
      </w:pPr>
      <w:r>
        <w:rPr>
          <w:rFonts w:ascii="Times New Roman" w:hAnsi="Times New Roman"/>
          <w:b w:val="0"/>
          <w:i w:val="0"/>
          <w:sz w:val="24"/>
        </w:rPr>
        <w:t>Verified by:</w:t>
      </w:r>
    </w:p>
    <w:p>
      <w:pPr>
        <w:spacing w:before="0" w:after="0"/>
      </w:pPr>
    </w:p>
    <w:p>
      <w:pPr>
        <w:spacing w:before="0" w:after="0"/>
      </w:pPr>
    </w:p>
    <w:p>
      <w:pPr>
        <w:spacing w:after="120" w:before="60"/>
        <w:jc w:val="both"/>
      </w:pPr>
      <w:r>
        <w:rPr>
          <w:rFonts w:ascii="Times New Roman" w:hAnsi="Times New Roman"/>
          <w:b w:val="0"/>
          <w:i w:val="0"/>
          <w:sz w:val="24"/>
        </w:rPr>
        <w:t>Dr. Astitva Kumar</w:t>
      </w:r>
    </w:p>
    <w:p>
      <w:pPr>
        <w:spacing w:after="120" w:before="60"/>
        <w:jc w:val="both"/>
      </w:pPr>
      <w:r>
        <w:rPr>
          <w:rFonts w:ascii="Times New Roman" w:hAnsi="Times New Roman"/>
          <w:b w:val="0"/>
          <w:i w:val="0"/>
          <w:sz w:val="24"/>
        </w:rPr>
        <w:t>Supervisor</w:t>
      </w:r>
    </w:p>
    <w:p>
      <w:pPr>
        <w:spacing w:after="120" w:before="60"/>
        <w:jc w:val="center"/>
      </w:pPr>
      <w:r>
        <w:rPr>
          <w:rFonts w:ascii="Times New Roman" w:hAnsi="Times New Roman"/>
          <w:b w:val="0"/>
          <w:i w:val="0"/>
          <w:sz w:val="24"/>
        </w:rPr>
        <w:br/>
        <w:t>iv</w:t>
      </w:r>
    </w:p>
    <w:p>
      <w:r>
        <w:br w:type="page"/>
      </w:r>
    </w:p>
    <w:p>
      <w:pPr>
        <w:spacing w:before="240" w:after="120"/>
        <w:jc w:val="center"/>
      </w:pPr>
      <w:r>
        <w:rPr>
          <w:rFonts w:ascii="Times New Roman" w:hAnsi="Times New Roman"/>
          <w:b/>
          <w:sz w:val="28"/>
        </w:rPr>
        <w:t>ABSTRACT</w:t>
      </w:r>
    </w:p>
    <w:p>
      <w:pPr>
        <w:spacing w:before="0" w:after="0"/>
      </w:pPr>
    </w:p>
    <w:p>
      <w:pPr>
        <w:spacing w:after="120" w:before="60"/>
        <w:jc w:val="both"/>
      </w:pPr>
      <w:r>
        <w:rPr>
          <w:rFonts w:ascii="Times New Roman" w:hAnsi="Times New Roman"/>
          <w:b w:val="0"/>
          <w:i w:val="0"/>
          <w:sz w:val="24"/>
        </w:rPr>
        <w:t>Solar photovoltaic (PV) technology has become a key component in the global transition toward sustainable energy, with countries such as India witnessing rapid growth in solar power deployment due to abundant solar resources and increasing energy demand. Efficient utilization of available solar irradiance is therefore critical to maximize energy generation from installed PV systems. In this context, bifacial photovoltaic modules have gained significant attention as they are capable of capturing solar irradiance from both the front and rear surfaces, leading to higher energy yield compared to conventional monofacial panels. However, the performance advantage of bifacial PV systems strongly depends on installation parameters such as module tilt angle, ground surface albedo, and mounting height, which influence the amount of reflected and incident irradiance received by the rear side of the module. This project presents a computational framework for determining the optimal configuration of bifacial PV installations for a given geographical location. A user-oriented front-end platform is developed where inputs such as city and date are provided, and corresponding hourly irradiance data are retrieved from the NASA POWER database. Parametric analyses are then performed by varying key installation parameters including tilt angle, surface albedo, and mounting height. The framework evaluates the resulting energy output and identifies the configuration that maximizes power generation for the selected location. The proposed approach enables location-specific optimization of bifacial PV systems and provides a practical tool for improving system design and deployment strategies.</w:t>
      </w:r>
    </w:p>
    <w:p>
      <w:pPr>
        <w:spacing w:before="0" w:after="0"/>
      </w:pPr>
    </w:p>
    <w:p>
      <w:pPr>
        <w:spacing w:after="120" w:before="60"/>
        <w:jc w:val="both"/>
      </w:pPr>
      <w:r>
        <w:rPr>
          <w:rFonts w:ascii="Times New Roman" w:hAnsi="Times New Roman"/>
          <w:b/>
          <w:i w:val="0"/>
          <w:sz w:val="24"/>
        </w:rPr>
        <w:t>Keywords: Solar Photovoltaic, Bifacial PV, Parametric Analysis, Frontend Platform, Strategic Installation, View Factor</w:t>
      </w:r>
    </w:p>
    <w:p>
      <w:pPr>
        <w:spacing w:after="120" w:before="60"/>
        <w:jc w:val="center"/>
      </w:pPr>
      <w:r>
        <w:rPr>
          <w:rFonts w:ascii="Times New Roman" w:hAnsi="Times New Roman"/>
          <w:b w:val="0"/>
          <w:i w:val="0"/>
          <w:sz w:val="24"/>
        </w:rPr>
        <w:br/>
        <w:t>v</w:t>
      </w:r>
    </w:p>
    <w:p>
      <w:r>
        <w:br w:type="page"/>
      </w:r>
    </w:p>
    <w:p>
      <w:pPr>
        <w:spacing w:before="240" w:after="120"/>
        <w:jc w:val="center"/>
      </w:pPr>
      <w:r>
        <w:rPr>
          <w:rFonts w:ascii="Times New Roman" w:hAnsi="Times New Roman"/>
          <w:b/>
          <w:sz w:val="28"/>
        </w:rPr>
        <w:t>TABLE OF CONTENTS</w:t>
      </w:r>
    </w:p>
    <w:p>
      <w:pPr>
        <w:spacing w:before="0" w:after="0"/>
      </w:pPr>
    </w:p>
    <w:p>
      <w:pPr>
        <w:spacing w:after="120" w:before="60"/>
        <w:jc w:val="center"/>
      </w:pPr>
      <w:r>
        <w:rPr>
          <w:rFonts w:ascii="Times New Roman" w:hAnsi="Times New Roman"/>
          <w:b w:val="0"/>
          <w:i/>
          <w:sz w:val="24"/>
        </w:rPr>
        <w:t>[Auto-generate Table of Contents in Microsoft Word:</w:t>
        <w:br/>
        <w:t>References &gt; Table of Contents &gt; Automatic Table]</w:t>
      </w:r>
    </w:p>
    <w:p>
      <w:pPr>
        <w:spacing w:before="0" w:after="0"/>
      </w:pPr>
    </w:p>
    <w:p>
      <w:pPr>
        <w:spacing w:after="120" w:before="60"/>
        <w:jc w:val="both"/>
      </w:pPr>
      <w:r>
        <w:rPr>
          <w:rFonts w:ascii="Times New Roman" w:hAnsi="Times New Roman"/>
          <w:b w:val="0"/>
          <w:i w:val="0"/>
          <w:sz w:val="24"/>
        </w:rPr>
        <w:t>Candidate(s) Declaration ...................................... i</w:t>
      </w:r>
    </w:p>
    <w:p>
      <w:pPr>
        <w:spacing w:after="120" w:before="60"/>
        <w:jc w:val="both"/>
      </w:pPr>
      <w:r>
        <w:rPr>
          <w:rFonts w:ascii="Times New Roman" w:hAnsi="Times New Roman"/>
          <w:b w:val="0"/>
          <w:i w:val="0"/>
          <w:sz w:val="24"/>
        </w:rPr>
        <w:t>Certificate of Declaration ...................................... ii</w:t>
      </w:r>
    </w:p>
    <w:p>
      <w:pPr>
        <w:spacing w:after="120" w:before="60"/>
        <w:jc w:val="both"/>
      </w:pPr>
      <w:r>
        <w:rPr>
          <w:rFonts w:ascii="Times New Roman" w:hAnsi="Times New Roman"/>
          <w:b w:val="0"/>
          <w:i w:val="0"/>
          <w:sz w:val="24"/>
        </w:rPr>
        <w:t>Acknowledgement ...................................... iii</w:t>
      </w:r>
    </w:p>
    <w:p>
      <w:pPr>
        <w:spacing w:after="120" w:before="60"/>
        <w:jc w:val="both"/>
      </w:pPr>
      <w:r>
        <w:rPr>
          <w:rFonts w:ascii="Times New Roman" w:hAnsi="Times New Roman"/>
          <w:b w:val="0"/>
          <w:i w:val="0"/>
          <w:sz w:val="24"/>
        </w:rPr>
        <w:t>Plagiarism Report ...................................... iv</w:t>
      </w:r>
    </w:p>
    <w:p>
      <w:pPr>
        <w:spacing w:after="120" w:before="60"/>
        <w:jc w:val="both"/>
      </w:pPr>
      <w:r>
        <w:rPr>
          <w:rFonts w:ascii="Times New Roman" w:hAnsi="Times New Roman"/>
          <w:b w:val="0"/>
          <w:i w:val="0"/>
          <w:sz w:val="24"/>
        </w:rPr>
        <w:t>Abstract ...................................... v</w:t>
      </w:r>
    </w:p>
    <w:p>
      <w:pPr>
        <w:spacing w:after="120" w:before="60"/>
        <w:jc w:val="both"/>
      </w:pPr>
      <w:r>
        <w:rPr>
          <w:rFonts w:ascii="Times New Roman" w:hAnsi="Times New Roman"/>
          <w:b w:val="0"/>
          <w:i w:val="0"/>
          <w:sz w:val="24"/>
        </w:rPr>
        <w:t>Table of Contents ...................................... vi</w:t>
      </w:r>
    </w:p>
    <w:p>
      <w:pPr>
        <w:spacing w:after="120" w:before="60"/>
        <w:jc w:val="both"/>
      </w:pPr>
      <w:r>
        <w:rPr>
          <w:rFonts w:ascii="Times New Roman" w:hAnsi="Times New Roman"/>
          <w:b w:val="0"/>
          <w:i w:val="0"/>
          <w:sz w:val="24"/>
        </w:rPr>
        <w:t>List of Figures ...................................... ix</w:t>
      </w:r>
    </w:p>
    <w:p>
      <w:pPr>
        <w:spacing w:after="120" w:before="60"/>
        <w:jc w:val="both"/>
      </w:pPr>
      <w:r>
        <w:rPr>
          <w:rFonts w:ascii="Times New Roman" w:hAnsi="Times New Roman"/>
          <w:b w:val="0"/>
          <w:i w:val="0"/>
          <w:sz w:val="24"/>
        </w:rPr>
        <w:t>List of Tables ...................................... x</w:t>
      </w:r>
    </w:p>
    <w:p>
      <w:pPr>
        <w:spacing w:after="120" w:before="60"/>
        <w:jc w:val="both"/>
      </w:pPr>
      <w:r>
        <w:rPr>
          <w:rFonts w:ascii="Times New Roman" w:hAnsi="Times New Roman"/>
          <w:b w:val="0"/>
          <w:i w:val="0"/>
          <w:sz w:val="24"/>
        </w:rPr>
        <w:t>List of Abbreviations ...................................... xi</w:t>
      </w:r>
    </w:p>
    <w:p>
      <w:pPr>
        <w:spacing w:before="0" w:after="0"/>
      </w:pPr>
    </w:p>
    <w:p>
      <w:pPr>
        <w:spacing w:after="120" w:before="60"/>
        <w:jc w:val="both"/>
      </w:pPr>
      <w:r>
        <w:rPr>
          <w:rFonts w:ascii="Times New Roman" w:hAnsi="Times New Roman"/>
          <w:b/>
          <w:i w:val="0"/>
          <w:sz w:val="24"/>
        </w:rPr>
        <w:t>CHAPTER 1: INTRODUCTION ...................................... 1</w:t>
      </w:r>
    </w:p>
    <w:p>
      <w:pPr>
        <w:spacing w:after="120" w:before="60"/>
        <w:jc w:val="both"/>
      </w:pPr>
      <w:r>
        <w:rPr>
          <w:rFonts w:ascii="Times New Roman" w:hAnsi="Times New Roman"/>
          <w:b w:val="0"/>
          <w:i w:val="0"/>
          <w:sz w:val="24"/>
        </w:rPr>
        <w:t xml:space="preserve">    1.1 Background and Motivation ...................................... 1</w:t>
      </w:r>
    </w:p>
    <w:p>
      <w:pPr>
        <w:spacing w:after="120" w:before="60"/>
        <w:jc w:val="both"/>
      </w:pPr>
      <w:r>
        <w:rPr>
          <w:rFonts w:ascii="Times New Roman" w:hAnsi="Times New Roman"/>
          <w:b w:val="0"/>
          <w:i w:val="0"/>
          <w:sz w:val="24"/>
        </w:rPr>
        <w:t xml:space="preserve">    1.2 Solar Photovoltaic Technology: An Overview ...................................... 3</w:t>
      </w:r>
    </w:p>
    <w:p>
      <w:pPr>
        <w:spacing w:after="120" w:before="60"/>
        <w:jc w:val="both"/>
      </w:pPr>
      <w:r>
        <w:rPr>
          <w:rFonts w:ascii="Times New Roman" w:hAnsi="Times New Roman"/>
          <w:b w:val="0"/>
          <w:i w:val="0"/>
          <w:sz w:val="24"/>
        </w:rPr>
        <w:t xml:space="preserve">    1.3 Monofacial versus Bifacial PV Modules ...................................... 5</w:t>
      </w:r>
    </w:p>
    <w:p>
      <w:pPr>
        <w:spacing w:after="120" w:before="60"/>
        <w:jc w:val="both"/>
      </w:pPr>
      <w:r>
        <w:rPr>
          <w:rFonts w:ascii="Times New Roman" w:hAnsi="Times New Roman"/>
          <w:b w:val="0"/>
          <w:i w:val="0"/>
          <w:sz w:val="24"/>
        </w:rPr>
        <w:t xml:space="preserve">    1.4 Key Parameters Affecting Bifacial PV Performance ...................................... 6</w:t>
      </w:r>
    </w:p>
    <w:p>
      <w:pPr>
        <w:spacing w:after="120" w:before="60"/>
        <w:jc w:val="both"/>
      </w:pPr>
      <w:r>
        <w:rPr>
          <w:rFonts w:ascii="Times New Roman" w:hAnsi="Times New Roman"/>
          <w:b w:val="0"/>
          <w:i w:val="0"/>
          <w:sz w:val="24"/>
        </w:rPr>
        <w:t xml:space="preserve">    1.5 Challenges in Bifacial PV Optimization ...................................... 8</w:t>
      </w:r>
    </w:p>
    <w:p>
      <w:pPr>
        <w:spacing w:after="120" w:before="60"/>
        <w:jc w:val="both"/>
      </w:pPr>
      <w:r>
        <w:rPr>
          <w:rFonts w:ascii="Times New Roman" w:hAnsi="Times New Roman"/>
          <w:b w:val="0"/>
          <w:i w:val="0"/>
          <w:sz w:val="24"/>
        </w:rPr>
        <w:t xml:space="preserve">    1.6 Problem Statement and Research Objectives ...................................... 9</w:t>
      </w:r>
    </w:p>
    <w:p>
      <w:pPr>
        <w:spacing w:after="120" w:before="60"/>
        <w:jc w:val="both"/>
      </w:pPr>
      <w:r>
        <w:rPr>
          <w:rFonts w:ascii="Times New Roman" w:hAnsi="Times New Roman"/>
          <w:b w:val="0"/>
          <w:i w:val="0"/>
          <w:sz w:val="24"/>
        </w:rPr>
        <w:t xml:space="preserve">    1.7 Organization of the Report ...................................... 10</w:t>
      </w:r>
    </w:p>
    <w:p>
      <w:pPr>
        <w:spacing w:before="0" w:after="0"/>
      </w:pPr>
    </w:p>
    <w:p>
      <w:pPr>
        <w:spacing w:after="120" w:before="60"/>
        <w:jc w:val="both"/>
      </w:pPr>
      <w:r>
        <w:rPr>
          <w:rFonts w:ascii="Times New Roman" w:hAnsi="Times New Roman"/>
          <w:b/>
          <w:i w:val="0"/>
          <w:sz w:val="24"/>
        </w:rPr>
        <w:t>CHAPTER 2: LITERATURE REVIEW ...................................... 11</w:t>
      </w:r>
    </w:p>
    <w:p>
      <w:pPr>
        <w:spacing w:after="120" w:before="60"/>
        <w:jc w:val="both"/>
      </w:pPr>
      <w:r>
        <w:rPr>
          <w:rFonts w:ascii="Times New Roman" w:hAnsi="Times New Roman"/>
          <w:b w:val="0"/>
          <w:i w:val="0"/>
          <w:sz w:val="24"/>
        </w:rPr>
        <w:t xml:space="preserve">    2.1 Review of Bifacial PV Technology ...................................... 11</w:t>
      </w:r>
    </w:p>
    <w:p>
      <w:pPr>
        <w:spacing w:after="120" w:before="60"/>
        <w:jc w:val="both"/>
      </w:pPr>
      <w:r>
        <w:rPr>
          <w:rFonts w:ascii="Times New Roman" w:hAnsi="Times New Roman"/>
          <w:b w:val="0"/>
          <w:i w:val="0"/>
          <w:sz w:val="24"/>
        </w:rPr>
        <w:t xml:space="preserve">    2.2 Influence of Tilt Angle on Bifacial PV Performance ...................................... 13</w:t>
      </w:r>
    </w:p>
    <w:p>
      <w:pPr>
        <w:spacing w:after="120" w:before="60"/>
        <w:jc w:val="both"/>
      </w:pPr>
      <w:r>
        <w:rPr>
          <w:rFonts w:ascii="Times New Roman" w:hAnsi="Times New Roman"/>
          <w:b w:val="0"/>
          <w:i w:val="0"/>
          <w:sz w:val="24"/>
        </w:rPr>
        <w:t xml:space="preserve">    2.3 Effect of Ground Albedo on Rear-Side Irradiance ...................................... 15</w:t>
      </w:r>
    </w:p>
    <w:p>
      <w:pPr>
        <w:spacing w:after="120" w:before="60"/>
        <w:jc w:val="both"/>
      </w:pPr>
      <w:r>
        <w:rPr>
          <w:rFonts w:ascii="Times New Roman" w:hAnsi="Times New Roman"/>
          <w:b w:val="0"/>
          <w:i w:val="0"/>
          <w:sz w:val="24"/>
        </w:rPr>
        <w:t xml:space="preserve">    2.4 Impact of Mounting Height on Energy Yield ...................................... 17</w:t>
      </w:r>
    </w:p>
    <w:p>
      <w:pPr>
        <w:spacing w:after="120" w:before="60"/>
        <w:jc w:val="both"/>
      </w:pPr>
      <w:r>
        <w:rPr>
          <w:rFonts w:ascii="Times New Roman" w:hAnsi="Times New Roman"/>
          <w:b w:val="0"/>
          <w:i w:val="0"/>
          <w:sz w:val="24"/>
        </w:rPr>
        <w:t xml:space="preserve">    2.5 Combined Parametric Optimization Studies ...................................... 19</w:t>
      </w:r>
    </w:p>
    <w:p>
      <w:pPr>
        <w:spacing w:after="120" w:before="60"/>
        <w:jc w:val="both"/>
      </w:pPr>
      <w:r>
        <w:rPr>
          <w:rFonts w:ascii="Times New Roman" w:hAnsi="Times New Roman"/>
          <w:b w:val="0"/>
          <w:i w:val="0"/>
          <w:sz w:val="24"/>
        </w:rPr>
        <w:t xml:space="preserve">    2.6 Simulation and Modeling Approaches ...................................... 20</w:t>
      </w:r>
    </w:p>
    <w:p>
      <w:pPr>
        <w:spacing w:after="120" w:before="60"/>
        <w:jc w:val="both"/>
      </w:pPr>
      <w:r>
        <w:rPr>
          <w:rFonts w:ascii="Times New Roman" w:hAnsi="Times New Roman"/>
          <w:b w:val="0"/>
          <w:i w:val="0"/>
          <w:sz w:val="24"/>
        </w:rPr>
        <w:t xml:space="preserve">    2.7 Research Gap Analysis ...................................... 22</w:t>
      </w:r>
    </w:p>
    <w:p>
      <w:pPr>
        <w:spacing w:before="0" w:after="0"/>
      </w:pPr>
    </w:p>
    <w:p>
      <w:pPr>
        <w:spacing w:after="120" w:before="60"/>
        <w:jc w:val="both"/>
      </w:pPr>
      <w:r>
        <w:rPr>
          <w:rFonts w:ascii="Times New Roman" w:hAnsi="Times New Roman"/>
          <w:b/>
          <w:i w:val="0"/>
          <w:sz w:val="24"/>
        </w:rPr>
        <w:t>CHAPTER 3: METHODOLOGY ...................................... 24</w:t>
      </w:r>
    </w:p>
    <w:p>
      <w:pPr>
        <w:spacing w:after="120" w:before="60"/>
        <w:jc w:val="both"/>
      </w:pPr>
      <w:r>
        <w:rPr>
          <w:rFonts w:ascii="Times New Roman" w:hAnsi="Times New Roman"/>
          <w:b w:val="0"/>
          <w:i w:val="0"/>
          <w:sz w:val="24"/>
        </w:rPr>
        <w:t xml:space="preserve">    3.1 Overview of the Proposed Framework ...................................... 24</w:t>
      </w:r>
    </w:p>
    <w:p>
      <w:pPr>
        <w:spacing w:after="120" w:before="60"/>
        <w:jc w:val="both"/>
      </w:pPr>
      <w:r>
        <w:rPr>
          <w:rFonts w:ascii="Times New Roman" w:hAnsi="Times New Roman"/>
          <w:b w:val="0"/>
          <w:i w:val="0"/>
          <w:sz w:val="24"/>
        </w:rPr>
        <w:t xml:space="preserve">    3.2 Mathematical Formulation of Bifacial PV Operation ...................................... 25</w:t>
      </w:r>
    </w:p>
    <w:p>
      <w:pPr>
        <w:spacing w:after="120" w:before="60"/>
        <w:jc w:val="both"/>
      </w:pPr>
      <w:r>
        <w:rPr>
          <w:rFonts w:ascii="Times New Roman" w:hAnsi="Times New Roman"/>
          <w:b w:val="0"/>
          <w:i w:val="0"/>
          <w:sz w:val="24"/>
        </w:rPr>
        <w:t xml:space="preserve">    3.3 Simulink Model Development ...................................... 31</w:t>
      </w:r>
    </w:p>
    <w:p>
      <w:pPr>
        <w:spacing w:after="120" w:before="60"/>
        <w:jc w:val="both"/>
      </w:pPr>
      <w:r>
        <w:rPr>
          <w:rFonts w:ascii="Times New Roman" w:hAnsi="Times New Roman"/>
          <w:b w:val="0"/>
          <w:i w:val="0"/>
          <w:sz w:val="24"/>
        </w:rPr>
        <w:t xml:space="preserve">    3.4 Frontend Platform Architecture ...................................... 33</w:t>
      </w:r>
    </w:p>
    <w:p>
      <w:pPr>
        <w:spacing w:after="120" w:before="60"/>
        <w:jc w:val="both"/>
      </w:pPr>
      <w:r>
        <w:rPr>
          <w:rFonts w:ascii="Times New Roman" w:hAnsi="Times New Roman"/>
          <w:b w:val="0"/>
          <w:i w:val="0"/>
          <w:sz w:val="24"/>
        </w:rPr>
        <w:t xml:space="preserve">    3.5 NASA POWER API Integration ...................................... 35</w:t>
      </w:r>
    </w:p>
    <w:p>
      <w:pPr>
        <w:spacing w:after="120" w:before="60"/>
        <w:jc w:val="both"/>
      </w:pPr>
      <w:r>
        <w:rPr>
          <w:rFonts w:ascii="Times New Roman" w:hAnsi="Times New Roman"/>
          <w:b w:val="0"/>
          <w:i w:val="0"/>
          <w:sz w:val="24"/>
        </w:rPr>
        <w:t xml:space="preserve">    3.6 Parametric Sweep Configuration ...................................... 36</w:t>
      </w:r>
    </w:p>
    <w:p>
      <w:pPr>
        <w:spacing w:before="0" w:after="0"/>
      </w:pPr>
    </w:p>
    <w:p>
      <w:pPr>
        <w:spacing w:after="120" w:before="60"/>
        <w:jc w:val="both"/>
      </w:pPr>
      <w:r>
        <w:rPr>
          <w:rFonts w:ascii="Times New Roman" w:hAnsi="Times New Roman"/>
          <w:b/>
          <w:i w:val="0"/>
          <w:sz w:val="24"/>
        </w:rPr>
        <w:t>CHAPTER 4: RESULTS AND DISCUSSION ...................................... 37</w:t>
      </w:r>
    </w:p>
    <w:p>
      <w:pPr>
        <w:spacing w:after="120" w:before="60"/>
        <w:jc w:val="both"/>
      </w:pPr>
      <w:r>
        <w:rPr>
          <w:rFonts w:ascii="Times New Roman" w:hAnsi="Times New Roman"/>
          <w:b w:val="0"/>
          <w:i w:val="0"/>
          <w:sz w:val="24"/>
        </w:rPr>
        <w:t xml:space="preserve">    4.1 Case Study Configuration ...................................... 37</w:t>
      </w:r>
    </w:p>
    <w:p>
      <w:pPr>
        <w:spacing w:after="120" w:before="60"/>
        <w:jc w:val="both"/>
      </w:pPr>
      <w:r>
        <w:rPr>
          <w:rFonts w:ascii="Times New Roman" w:hAnsi="Times New Roman"/>
          <w:b w:val="0"/>
          <w:i w:val="0"/>
          <w:sz w:val="24"/>
        </w:rPr>
        <w:t xml:space="preserve">    4.2 Combined Parametric Sweep Results ...................................... 38</w:t>
      </w:r>
    </w:p>
    <w:p>
      <w:pPr>
        <w:spacing w:after="120" w:before="60"/>
        <w:jc w:val="both"/>
      </w:pPr>
      <w:r>
        <w:rPr>
          <w:rFonts w:ascii="Times New Roman" w:hAnsi="Times New Roman"/>
          <w:b w:val="0"/>
          <w:i w:val="0"/>
          <w:sz w:val="24"/>
        </w:rPr>
        <w:t xml:space="preserve">    4.3 I-V and P-V Characteristics ...................................... 39</w:t>
      </w:r>
    </w:p>
    <w:p>
      <w:pPr>
        <w:spacing w:after="120" w:before="60"/>
        <w:jc w:val="both"/>
      </w:pPr>
      <w:r>
        <w:rPr>
          <w:rFonts w:ascii="Times New Roman" w:hAnsi="Times New Roman"/>
          <w:b w:val="0"/>
          <w:i w:val="0"/>
          <w:sz w:val="24"/>
        </w:rPr>
        <w:t xml:space="preserve">    4.4 Optimal Configuration: Maximum Energy ...................................... 40</w:t>
      </w:r>
    </w:p>
    <w:p>
      <w:pPr>
        <w:spacing w:after="120" w:before="60"/>
        <w:jc w:val="both"/>
      </w:pPr>
      <w:r>
        <w:rPr>
          <w:rFonts w:ascii="Times New Roman" w:hAnsi="Times New Roman"/>
          <w:b w:val="0"/>
          <w:i w:val="0"/>
          <w:sz w:val="24"/>
        </w:rPr>
        <w:t xml:space="preserve">    4.5 Optimal Configuration: Maximum Rear Gain ...................................... 41</w:t>
      </w:r>
    </w:p>
    <w:p>
      <w:pPr>
        <w:spacing w:after="120" w:before="60"/>
        <w:jc w:val="both"/>
      </w:pPr>
      <w:r>
        <w:rPr>
          <w:rFonts w:ascii="Times New Roman" w:hAnsi="Times New Roman"/>
          <w:b w:val="0"/>
          <w:i w:val="0"/>
          <w:sz w:val="24"/>
        </w:rPr>
        <w:t xml:space="preserve">    4.6 Individual Parameter Variation Analysis ...................................... 42</w:t>
      </w:r>
    </w:p>
    <w:p>
      <w:pPr>
        <w:spacing w:after="120" w:before="60"/>
        <w:jc w:val="both"/>
      </w:pPr>
      <w:r>
        <w:rPr>
          <w:rFonts w:ascii="Times New Roman" w:hAnsi="Times New Roman"/>
          <w:b w:val="0"/>
          <w:i w:val="0"/>
          <w:sz w:val="24"/>
        </w:rPr>
        <w:t xml:space="preserve">    4.7 Comparison with Published Literature ...................................... 45</w:t>
      </w:r>
    </w:p>
    <w:p>
      <w:pPr>
        <w:spacing w:after="120" w:before="60"/>
        <w:jc w:val="both"/>
      </w:pPr>
      <w:r>
        <w:rPr>
          <w:rFonts w:ascii="Times New Roman" w:hAnsi="Times New Roman"/>
          <w:b w:val="0"/>
          <w:i w:val="0"/>
          <w:sz w:val="24"/>
        </w:rPr>
        <w:t xml:space="preserve">    4.8 Discussion of Results ...................................... 47</w:t>
      </w:r>
    </w:p>
    <w:p>
      <w:pPr>
        <w:spacing w:before="0" w:after="0"/>
      </w:pPr>
    </w:p>
    <w:p>
      <w:pPr>
        <w:spacing w:after="120" w:before="60"/>
        <w:jc w:val="both"/>
      </w:pPr>
      <w:r>
        <w:rPr>
          <w:rFonts w:ascii="Times New Roman" w:hAnsi="Times New Roman"/>
          <w:b/>
          <w:i w:val="0"/>
          <w:sz w:val="24"/>
        </w:rPr>
        <w:t>CHAPTER 5: CONCLUSION AND FUTURE WORK ...................................... 49</w:t>
      </w:r>
    </w:p>
    <w:p>
      <w:pPr>
        <w:spacing w:after="120" w:before="60"/>
        <w:jc w:val="both"/>
      </w:pPr>
      <w:r>
        <w:rPr>
          <w:rFonts w:ascii="Times New Roman" w:hAnsi="Times New Roman"/>
          <w:b w:val="0"/>
          <w:i w:val="0"/>
          <w:sz w:val="24"/>
        </w:rPr>
        <w:t xml:space="preserve">    5.1 Summary of Contributions ...................................... 49</w:t>
      </w:r>
    </w:p>
    <w:p>
      <w:pPr>
        <w:spacing w:after="120" w:before="60"/>
        <w:jc w:val="both"/>
      </w:pPr>
      <w:r>
        <w:rPr>
          <w:rFonts w:ascii="Times New Roman" w:hAnsi="Times New Roman"/>
          <w:b w:val="0"/>
          <w:i w:val="0"/>
          <w:sz w:val="24"/>
        </w:rPr>
        <w:t xml:space="preserve">    5.2 Key Findings ...................................... 50</w:t>
      </w:r>
    </w:p>
    <w:p>
      <w:pPr>
        <w:spacing w:after="120" w:before="60"/>
        <w:jc w:val="both"/>
      </w:pPr>
      <w:r>
        <w:rPr>
          <w:rFonts w:ascii="Times New Roman" w:hAnsi="Times New Roman"/>
          <w:b w:val="0"/>
          <w:i w:val="0"/>
          <w:sz w:val="24"/>
        </w:rPr>
        <w:t xml:space="preserve">    5.3 Limitations ...................................... 51</w:t>
      </w:r>
    </w:p>
    <w:p>
      <w:pPr>
        <w:spacing w:after="120" w:before="60"/>
        <w:jc w:val="both"/>
      </w:pPr>
      <w:r>
        <w:rPr>
          <w:rFonts w:ascii="Times New Roman" w:hAnsi="Times New Roman"/>
          <w:b w:val="0"/>
          <w:i w:val="0"/>
          <w:sz w:val="24"/>
        </w:rPr>
        <w:t xml:space="preserve">    5.4 Scope for Future Work ...................................... 52</w:t>
      </w:r>
    </w:p>
    <w:p>
      <w:pPr>
        <w:spacing w:before="0" w:after="0"/>
      </w:pPr>
    </w:p>
    <w:p>
      <w:pPr>
        <w:spacing w:after="120" w:before="60"/>
        <w:jc w:val="both"/>
      </w:pPr>
      <w:r>
        <w:rPr>
          <w:rFonts w:ascii="Times New Roman" w:hAnsi="Times New Roman"/>
          <w:b/>
          <w:i w:val="0"/>
          <w:sz w:val="24"/>
        </w:rPr>
        <w:t>REFERENCES ...................................... 53</w:t>
      </w:r>
    </w:p>
    <w:p>
      <w:pPr>
        <w:spacing w:after="120" w:before="60"/>
        <w:jc w:val="both"/>
      </w:pPr>
      <w:r>
        <w:rPr>
          <w:rFonts w:ascii="Times New Roman" w:hAnsi="Times New Roman"/>
          <w:b/>
          <w:i w:val="0"/>
          <w:sz w:val="24"/>
        </w:rPr>
        <w:t>APPENDIX A ...................................... 56</w:t>
      </w:r>
    </w:p>
    <w:p>
      <w:pPr>
        <w:spacing w:after="120" w:before="60"/>
        <w:jc w:val="both"/>
      </w:pPr>
      <w:r>
        <w:rPr>
          <w:rFonts w:ascii="Times New Roman" w:hAnsi="Times New Roman"/>
          <w:b/>
          <w:i w:val="0"/>
          <w:sz w:val="24"/>
        </w:rPr>
        <w:t>APPENDIX B ...................................... 58</w:t>
      </w:r>
    </w:p>
    <w:p>
      <w:pPr>
        <w:spacing w:after="120" w:before="60"/>
        <w:jc w:val="both"/>
      </w:pPr>
      <w:r>
        <w:rPr>
          <w:rFonts w:ascii="Times New Roman" w:hAnsi="Times New Roman"/>
          <w:b/>
          <w:i w:val="0"/>
          <w:sz w:val="24"/>
        </w:rPr>
        <w:t>BIO-DATA ...................................... 60</w:t>
      </w:r>
    </w:p>
    <w:p>
      <w:r>
        <w:br w:type="page"/>
      </w:r>
    </w:p>
    <w:p>
      <w:pPr>
        <w:spacing w:before="240" w:after="120"/>
        <w:jc w:val="center"/>
      </w:pPr>
      <w:r>
        <w:rPr>
          <w:rFonts w:ascii="Times New Roman" w:hAnsi="Times New Roman"/>
          <w:b/>
          <w:sz w:val="28"/>
        </w:rPr>
        <w:t>LIST OF FIGURES</w:t>
      </w:r>
    </w:p>
    <w:p>
      <w:pPr>
        <w:spacing w:before="0" w:after="0"/>
      </w:pPr>
    </w:p>
    <w:p>
      <w:pPr>
        <w:spacing w:after="120" w:before="60"/>
        <w:jc w:val="both"/>
      </w:pPr>
      <w:r>
        <w:rPr>
          <w:rFonts w:ascii="Times New Roman" w:hAnsi="Times New Roman"/>
          <w:b w:val="0"/>
          <w:i w:val="0"/>
          <w:sz w:val="24"/>
        </w:rPr>
        <w:t>Figure 1.1: Global solar PV installed capacity growth (2015-2025)</w:t>
      </w:r>
    </w:p>
    <w:p>
      <w:pPr>
        <w:spacing w:after="120" w:before="60"/>
        <w:jc w:val="both"/>
      </w:pPr>
      <w:r>
        <w:rPr>
          <w:rFonts w:ascii="Times New Roman" w:hAnsi="Times New Roman"/>
          <w:b w:val="0"/>
          <w:i w:val="0"/>
          <w:sz w:val="24"/>
        </w:rPr>
        <w:t>Figure 1.2: Schematic of monofacial vs bifacial PV modules</w:t>
      </w:r>
    </w:p>
    <w:p>
      <w:pPr>
        <w:spacing w:after="120" w:before="60"/>
        <w:jc w:val="both"/>
      </w:pPr>
      <w:r>
        <w:rPr>
          <w:rFonts w:ascii="Times New Roman" w:hAnsi="Times New Roman"/>
          <w:b w:val="0"/>
          <w:i w:val="0"/>
          <w:sz w:val="24"/>
        </w:rPr>
        <w:t>Figure 1.3: Key parameters influencing bifacial PV module performance</w:t>
      </w:r>
    </w:p>
    <w:p>
      <w:pPr>
        <w:spacing w:after="120" w:before="60"/>
        <w:jc w:val="both"/>
      </w:pPr>
      <w:r>
        <w:rPr>
          <w:rFonts w:ascii="Times New Roman" w:hAnsi="Times New Roman"/>
          <w:b w:val="0"/>
          <w:i w:val="0"/>
          <w:sz w:val="24"/>
        </w:rPr>
        <w:t>Figure 2.1: Year-wise publication trend on bifacial PV research</w:t>
      </w:r>
    </w:p>
    <w:p>
      <w:pPr>
        <w:spacing w:after="120" w:before="60"/>
        <w:jc w:val="both"/>
      </w:pPr>
      <w:r>
        <w:rPr>
          <w:rFonts w:ascii="Times New Roman" w:hAnsi="Times New Roman"/>
          <w:b w:val="0"/>
          <w:i w:val="0"/>
          <w:sz w:val="24"/>
        </w:rPr>
        <w:t>Figure 2.2: Albedo values of common ground surfaces</w:t>
      </w:r>
    </w:p>
    <w:p>
      <w:pPr>
        <w:spacing w:after="120" w:before="60"/>
        <w:jc w:val="both"/>
      </w:pPr>
      <w:r>
        <w:rPr>
          <w:rFonts w:ascii="Times New Roman" w:hAnsi="Times New Roman"/>
          <w:b w:val="0"/>
          <w:i w:val="0"/>
          <w:sz w:val="24"/>
        </w:rPr>
        <w:t>Figure 3.1: Key parameters affecting bifacial PV modules [11]</w:t>
      </w:r>
    </w:p>
    <w:p>
      <w:pPr>
        <w:spacing w:after="120" w:before="60"/>
        <w:jc w:val="both"/>
      </w:pPr>
      <w:r>
        <w:rPr>
          <w:rFonts w:ascii="Times New Roman" w:hAnsi="Times New Roman"/>
          <w:b w:val="0"/>
          <w:i w:val="0"/>
          <w:sz w:val="24"/>
        </w:rPr>
        <w:t>Figure 3.2: View factor representation for bifacial PV</w:t>
      </w:r>
    </w:p>
    <w:p>
      <w:pPr>
        <w:spacing w:after="120" w:before="60"/>
        <w:jc w:val="both"/>
      </w:pPr>
      <w:r>
        <w:rPr>
          <w:rFonts w:ascii="Times New Roman" w:hAnsi="Times New Roman"/>
          <w:b w:val="0"/>
          <w:i w:val="0"/>
          <w:sz w:val="24"/>
        </w:rPr>
        <w:t>Figure 3.3: Simulink model for bifacial PV module</w:t>
      </w:r>
    </w:p>
    <w:p>
      <w:pPr>
        <w:spacing w:after="120" w:before="60"/>
        <w:jc w:val="both"/>
      </w:pPr>
      <w:r>
        <w:rPr>
          <w:rFonts w:ascii="Times New Roman" w:hAnsi="Times New Roman"/>
          <w:b w:val="0"/>
          <w:i w:val="0"/>
          <w:sz w:val="24"/>
        </w:rPr>
        <w:t>Figure 3.4: Proposed framework for optimal configuration</w:t>
      </w:r>
    </w:p>
    <w:p>
      <w:pPr>
        <w:spacing w:after="120" w:before="60"/>
        <w:jc w:val="both"/>
      </w:pPr>
      <w:r>
        <w:rPr>
          <w:rFonts w:ascii="Times New Roman" w:hAnsi="Times New Roman"/>
          <w:b w:val="0"/>
          <w:i w:val="0"/>
          <w:sz w:val="24"/>
        </w:rPr>
        <w:t>Figure 3.5: Frontend user interface screenshot</w:t>
      </w:r>
    </w:p>
    <w:p>
      <w:pPr>
        <w:spacing w:after="120" w:before="60"/>
        <w:jc w:val="both"/>
      </w:pPr>
      <w:r>
        <w:rPr>
          <w:rFonts w:ascii="Times New Roman" w:hAnsi="Times New Roman"/>
          <w:b w:val="0"/>
          <w:i w:val="0"/>
          <w:sz w:val="24"/>
        </w:rPr>
        <w:t>Figure 4.1: I-V characteristics for different configurations</w:t>
      </w:r>
    </w:p>
    <w:p>
      <w:pPr>
        <w:spacing w:after="120" w:before="60"/>
        <w:jc w:val="both"/>
      </w:pPr>
      <w:r>
        <w:rPr>
          <w:rFonts w:ascii="Times New Roman" w:hAnsi="Times New Roman"/>
          <w:b w:val="0"/>
          <w:i w:val="0"/>
          <w:sz w:val="24"/>
        </w:rPr>
        <w:t>Figure 4.2: P-V characteristics for different configurations</w:t>
      </w:r>
    </w:p>
    <w:p>
      <w:pPr>
        <w:spacing w:after="120" w:before="60"/>
        <w:jc w:val="both"/>
      </w:pPr>
      <w:r>
        <w:rPr>
          <w:rFonts w:ascii="Times New Roman" w:hAnsi="Times New Roman"/>
          <w:b w:val="0"/>
          <w:i w:val="0"/>
          <w:sz w:val="24"/>
        </w:rPr>
        <w:t>Figure 4.3: Frontend interface for fixing two parameters</w:t>
      </w:r>
    </w:p>
    <w:p>
      <w:pPr>
        <w:spacing w:after="120" w:before="60"/>
        <w:jc w:val="both"/>
      </w:pPr>
      <w:r>
        <w:rPr>
          <w:rFonts w:ascii="Times New Roman" w:hAnsi="Times New Roman"/>
          <w:b w:val="0"/>
          <w:i w:val="0"/>
          <w:sz w:val="24"/>
        </w:rPr>
        <w:t>Figure 4.4: Rear share of effective irradiance on varying albedo</w:t>
      </w:r>
    </w:p>
    <w:p>
      <w:pPr>
        <w:spacing w:after="120" w:before="60"/>
        <w:jc w:val="both"/>
      </w:pPr>
      <w:r>
        <w:rPr>
          <w:rFonts w:ascii="Times New Roman" w:hAnsi="Times New Roman"/>
          <w:b w:val="0"/>
          <w:i w:val="0"/>
          <w:sz w:val="24"/>
        </w:rPr>
        <w:t>Figure 4.5: Rear share of effective irradiance on varying height</w:t>
      </w:r>
    </w:p>
    <w:p>
      <w:pPr>
        <w:spacing w:after="120" w:before="60"/>
        <w:jc w:val="both"/>
      </w:pPr>
      <w:r>
        <w:rPr>
          <w:rFonts w:ascii="Times New Roman" w:hAnsi="Times New Roman"/>
          <w:b w:val="0"/>
          <w:i w:val="0"/>
          <w:sz w:val="24"/>
        </w:rPr>
        <w:t>Figure 4.6: Rear share of effective irradiance on varying tilt angle</w:t>
      </w:r>
    </w:p>
    <w:p>
      <w:r>
        <w:br w:type="page"/>
      </w:r>
    </w:p>
    <w:p>
      <w:pPr>
        <w:spacing w:before="240" w:after="120"/>
        <w:jc w:val="center"/>
      </w:pPr>
      <w:r>
        <w:rPr>
          <w:rFonts w:ascii="Times New Roman" w:hAnsi="Times New Roman"/>
          <w:b/>
          <w:sz w:val="28"/>
        </w:rPr>
        <w:t>LIST OF TABLES</w:t>
      </w:r>
    </w:p>
    <w:p>
      <w:pPr>
        <w:spacing w:before="0" w:after="0"/>
      </w:pPr>
    </w:p>
    <w:p>
      <w:pPr>
        <w:spacing w:after="120" w:before="60"/>
        <w:jc w:val="both"/>
      </w:pPr>
      <w:r>
        <w:rPr>
          <w:rFonts w:ascii="Times New Roman" w:hAnsi="Times New Roman"/>
          <w:b w:val="0"/>
          <w:i w:val="0"/>
          <w:sz w:val="24"/>
        </w:rPr>
        <w:t>Table 2.1: Albedo values of common surface types</w:t>
      </w:r>
    </w:p>
    <w:p>
      <w:pPr>
        <w:spacing w:after="120" w:before="60"/>
        <w:jc w:val="both"/>
      </w:pPr>
      <w:r>
        <w:rPr>
          <w:rFonts w:ascii="Times New Roman" w:hAnsi="Times New Roman"/>
          <w:b w:val="0"/>
          <w:i w:val="0"/>
          <w:sz w:val="24"/>
        </w:rPr>
        <w:t>Table 2.2: Summary of key bifacial PV parametric studies</w:t>
      </w:r>
    </w:p>
    <w:p>
      <w:pPr>
        <w:spacing w:after="120" w:before="60"/>
        <w:jc w:val="both"/>
      </w:pPr>
      <w:r>
        <w:rPr>
          <w:rFonts w:ascii="Times New Roman" w:hAnsi="Times New Roman"/>
          <w:b w:val="0"/>
          <w:i w:val="0"/>
          <w:sz w:val="24"/>
        </w:rPr>
        <w:t>Table 3.1: Technical specifications of the PV module</w:t>
      </w:r>
    </w:p>
    <w:p>
      <w:pPr>
        <w:spacing w:after="120" w:before="60"/>
        <w:jc w:val="both"/>
      </w:pPr>
      <w:r>
        <w:rPr>
          <w:rFonts w:ascii="Times New Roman" w:hAnsi="Times New Roman"/>
          <w:b w:val="0"/>
          <w:i w:val="0"/>
          <w:sz w:val="24"/>
        </w:rPr>
        <w:t>Table 4.1: Max energy based optimal configuration</w:t>
      </w:r>
    </w:p>
    <w:p>
      <w:pPr>
        <w:spacing w:after="120" w:before="60"/>
        <w:jc w:val="both"/>
      </w:pPr>
      <w:r>
        <w:rPr>
          <w:rFonts w:ascii="Times New Roman" w:hAnsi="Times New Roman"/>
          <w:b w:val="0"/>
          <w:i w:val="0"/>
          <w:sz w:val="24"/>
        </w:rPr>
        <w:t>Table 4.2: Max rear gain based optimal configuration</w:t>
      </w:r>
    </w:p>
    <w:p>
      <w:pPr>
        <w:spacing w:after="120" w:before="60"/>
        <w:jc w:val="both"/>
      </w:pPr>
      <w:r>
        <w:rPr>
          <w:rFonts w:ascii="Times New Roman" w:hAnsi="Times New Roman"/>
          <w:b w:val="0"/>
          <w:i w:val="0"/>
          <w:sz w:val="24"/>
        </w:rPr>
        <w:t>Table 4.3: Comparison with published literature</w:t>
      </w:r>
    </w:p>
    <w:p>
      <w:r>
        <w:br w:type="page"/>
      </w:r>
    </w:p>
    <w:p>
      <w:pPr>
        <w:spacing w:before="240" w:after="120"/>
        <w:jc w:val="center"/>
      </w:pPr>
      <w:r>
        <w:rPr>
          <w:rFonts w:ascii="Times New Roman" w:hAnsi="Times New Roman"/>
          <w:b/>
          <w:sz w:val="28"/>
        </w:rPr>
        <w:t>LIST OF ABBREVIATIONS</w:t>
      </w:r>
    </w:p>
    <w:p>
      <w:pPr>
        <w:spacing w:before="0" w:after="0"/>
      </w:pPr>
    </w:p>
    <w:p>
      <w:r>
        <w:rPr>
          <w:rFonts w:ascii="Times New Roman" w:hAnsi="Times New Roman"/>
          <w:b/>
          <w:sz w:val="24"/>
        </w:rPr>
        <w:t>PV</w:t>
      </w:r>
      <w:r>
        <w:rPr>
          <w:rFonts w:ascii="Times New Roman" w:hAnsi="Times New Roman"/>
          <w:sz w:val="24"/>
        </w:rPr>
        <w:t xml:space="preserve">    Photovoltaic</w:t>
      </w:r>
    </w:p>
    <w:p>
      <w:r>
        <w:rPr>
          <w:rFonts w:ascii="Times New Roman" w:hAnsi="Times New Roman"/>
          <w:b/>
          <w:sz w:val="24"/>
        </w:rPr>
        <w:t>BPV</w:t>
      </w:r>
      <w:r>
        <w:rPr>
          <w:rFonts w:ascii="Times New Roman" w:hAnsi="Times New Roman"/>
          <w:sz w:val="24"/>
        </w:rPr>
        <w:t xml:space="preserve">    Bifacial Photovoltaic</w:t>
      </w:r>
    </w:p>
    <w:p>
      <w:r>
        <w:rPr>
          <w:rFonts w:ascii="Times New Roman" w:hAnsi="Times New Roman"/>
          <w:b/>
          <w:sz w:val="24"/>
        </w:rPr>
        <w:t>GHI</w:t>
      </w:r>
      <w:r>
        <w:rPr>
          <w:rFonts w:ascii="Times New Roman" w:hAnsi="Times New Roman"/>
          <w:sz w:val="24"/>
        </w:rPr>
        <w:t xml:space="preserve">    Global Horizontal Irradiance</w:t>
      </w:r>
    </w:p>
    <w:p>
      <w:r>
        <w:rPr>
          <w:rFonts w:ascii="Times New Roman" w:hAnsi="Times New Roman"/>
          <w:b/>
          <w:sz w:val="24"/>
        </w:rPr>
        <w:t>DHI</w:t>
      </w:r>
      <w:r>
        <w:rPr>
          <w:rFonts w:ascii="Times New Roman" w:hAnsi="Times New Roman"/>
          <w:sz w:val="24"/>
        </w:rPr>
        <w:t xml:space="preserve">    Diffuse Horizontal Irradiance</w:t>
      </w:r>
    </w:p>
    <w:p>
      <w:r>
        <w:rPr>
          <w:rFonts w:ascii="Times New Roman" w:hAnsi="Times New Roman"/>
          <w:b/>
          <w:sz w:val="24"/>
        </w:rPr>
        <w:t>DNI</w:t>
      </w:r>
      <w:r>
        <w:rPr>
          <w:rFonts w:ascii="Times New Roman" w:hAnsi="Times New Roman"/>
          <w:sz w:val="24"/>
        </w:rPr>
        <w:t xml:space="preserve">    Direct Normal Irradiance</w:t>
      </w:r>
    </w:p>
    <w:p>
      <w:r>
        <w:rPr>
          <w:rFonts w:ascii="Times New Roman" w:hAnsi="Times New Roman"/>
          <w:b/>
          <w:sz w:val="24"/>
        </w:rPr>
        <w:t>API</w:t>
      </w:r>
      <w:r>
        <w:rPr>
          <w:rFonts w:ascii="Times New Roman" w:hAnsi="Times New Roman"/>
          <w:sz w:val="24"/>
        </w:rPr>
        <w:t xml:space="preserve">    Application Programming Interface</w:t>
      </w:r>
    </w:p>
    <w:p>
      <w:r>
        <w:rPr>
          <w:rFonts w:ascii="Times New Roman" w:hAnsi="Times New Roman"/>
          <w:b/>
          <w:sz w:val="24"/>
        </w:rPr>
        <w:t>NASA</w:t>
      </w:r>
      <w:r>
        <w:rPr>
          <w:rFonts w:ascii="Times New Roman" w:hAnsi="Times New Roman"/>
          <w:sz w:val="24"/>
        </w:rPr>
        <w:t xml:space="preserve">    National Aeronautics and Space Administration</w:t>
      </w:r>
    </w:p>
    <w:p>
      <w:r>
        <w:rPr>
          <w:rFonts w:ascii="Times New Roman" w:hAnsi="Times New Roman"/>
          <w:b/>
          <w:sz w:val="24"/>
        </w:rPr>
        <w:t>POWER</w:t>
      </w:r>
      <w:r>
        <w:rPr>
          <w:rFonts w:ascii="Times New Roman" w:hAnsi="Times New Roman"/>
          <w:sz w:val="24"/>
        </w:rPr>
        <w:t xml:space="preserve">    Prediction of Worldwide Energy Resources</w:t>
      </w:r>
    </w:p>
    <w:p>
      <w:r>
        <w:rPr>
          <w:rFonts w:ascii="Times New Roman" w:hAnsi="Times New Roman"/>
          <w:b/>
          <w:sz w:val="24"/>
        </w:rPr>
        <w:t>NOCT</w:t>
      </w:r>
      <w:r>
        <w:rPr>
          <w:rFonts w:ascii="Times New Roman" w:hAnsi="Times New Roman"/>
          <w:sz w:val="24"/>
        </w:rPr>
        <w:t xml:space="preserve">    Nominal Operating Cell Temperature</w:t>
      </w:r>
    </w:p>
    <w:p>
      <w:r>
        <w:rPr>
          <w:rFonts w:ascii="Times New Roman" w:hAnsi="Times New Roman"/>
          <w:b/>
          <w:sz w:val="24"/>
        </w:rPr>
        <w:t>STC</w:t>
      </w:r>
      <w:r>
        <w:rPr>
          <w:rFonts w:ascii="Times New Roman" w:hAnsi="Times New Roman"/>
          <w:sz w:val="24"/>
        </w:rPr>
        <w:t xml:space="preserve">    Standard Test Conditions</w:t>
      </w:r>
    </w:p>
    <w:p>
      <w:r>
        <w:rPr>
          <w:rFonts w:ascii="Times New Roman" w:hAnsi="Times New Roman"/>
          <w:b/>
          <w:sz w:val="24"/>
        </w:rPr>
        <w:t>I-V</w:t>
      </w:r>
      <w:r>
        <w:rPr>
          <w:rFonts w:ascii="Times New Roman" w:hAnsi="Times New Roman"/>
          <w:sz w:val="24"/>
        </w:rPr>
        <w:t xml:space="preserve">    Current-Voltage</w:t>
      </w:r>
    </w:p>
    <w:p>
      <w:r>
        <w:rPr>
          <w:rFonts w:ascii="Times New Roman" w:hAnsi="Times New Roman"/>
          <w:b/>
          <w:sz w:val="24"/>
        </w:rPr>
        <w:t>P-V</w:t>
      </w:r>
      <w:r>
        <w:rPr>
          <w:rFonts w:ascii="Times New Roman" w:hAnsi="Times New Roman"/>
          <w:sz w:val="24"/>
        </w:rPr>
        <w:t xml:space="preserve">    Power-Voltage</w:t>
      </w:r>
    </w:p>
    <w:p>
      <w:r>
        <w:rPr>
          <w:rFonts w:ascii="Times New Roman" w:hAnsi="Times New Roman"/>
          <w:b/>
          <w:sz w:val="24"/>
        </w:rPr>
        <w:t>MPP</w:t>
      </w:r>
      <w:r>
        <w:rPr>
          <w:rFonts w:ascii="Times New Roman" w:hAnsi="Times New Roman"/>
          <w:sz w:val="24"/>
        </w:rPr>
        <w:t xml:space="preserve">    Maximum Power Point</w:t>
      </w:r>
    </w:p>
    <w:p>
      <w:r>
        <w:rPr>
          <w:rFonts w:ascii="Times New Roman" w:hAnsi="Times New Roman"/>
          <w:b/>
          <w:sz w:val="24"/>
        </w:rPr>
        <w:t>PERC</w:t>
      </w:r>
      <w:r>
        <w:rPr>
          <w:rFonts w:ascii="Times New Roman" w:hAnsi="Times New Roman"/>
          <w:sz w:val="24"/>
        </w:rPr>
        <w:t xml:space="preserve">    Passivated Emitter and Rear Contact</w:t>
      </w:r>
    </w:p>
    <w:p>
      <w:r>
        <w:rPr>
          <w:rFonts w:ascii="Times New Roman" w:hAnsi="Times New Roman"/>
          <w:b/>
          <w:sz w:val="24"/>
        </w:rPr>
        <w:t>TOPCon</w:t>
      </w:r>
      <w:r>
        <w:rPr>
          <w:rFonts w:ascii="Times New Roman" w:hAnsi="Times New Roman"/>
          <w:sz w:val="24"/>
        </w:rPr>
        <w:t xml:space="preserve">    Tunnel Oxide Passivated Contact</w:t>
      </w:r>
    </w:p>
    <w:p>
      <w:r>
        <w:rPr>
          <w:rFonts w:ascii="Times New Roman" w:hAnsi="Times New Roman"/>
          <w:b/>
          <w:sz w:val="24"/>
        </w:rPr>
        <w:t>HJT</w:t>
      </w:r>
      <w:r>
        <w:rPr>
          <w:rFonts w:ascii="Times New Roman" w:hAnsi="Times New Roman"/>
          <w:sz w:val="24"/>
        </w:rPr>
        <w:t xml:space="preserve">    Heterojunction Technology</w:t>
      </w:r>
    </w:p>
    <w:p>
      <w:r>
        <w:rPr>
          <w:rFonts w:ascii="Times New Roman" w:hAnsi="Times New Roman"/>
          <w:b/>
          <w:sz w:val="24"/>
        </w:rPr>
        <w:t>IEA</w:t>
      </w:r>
      <w:r>
        <w:rPr>
          <w:rFonts w:ascii="Times New Roman" w:hAnsi="Times New Roman"/>
          <w:sz w:val="24"/>
        </w:rPr>
        <w:t xml:space="preserve">    International Energy Agency</w:t>
      </w:r>
    </w:p>
    <w:p>
      <w:r>
        <w:rPr>
          <w:rFonts w:ascii="Times New Roman" w:hAnsi="Times New Roman"/>
          <w:b/>
          <w:sz w:val="24"/>
        </w:rPr>
        <w:t>NREL</w:t>
      </w:r>
      <w:r>
        <w:rPr>
          <w:rFonts w:ascii="Times New Roman" w:hAnsi="Times New Roman"/>
          <w:sz w:val="24"/>
        </w:rPr>
        <w:t xml:space="preserve">    National Renewable Energy Laboratory</w:t>
      </w:r>
    </w:p>
    <w:p>
      <w:r>
        <w:br w:type="page"/>
      </w:r>
    </w:p>
    <w:p>
      <w:pPr>
        <w:spacing w:before="240" w:after="120"/>
        <w:jc w:val="center"/>
      </w:pPr>
      <w:r>
        <w:rPr>
          <w:rFonts w:ascii="Times New Roman" w:hAnsi="Times New Roman"/>
          <w:b/>
          <w:sz w:val="32"/>
        </w:rPr>
        <w:t>CHAPTER 1</w:t>
      </w:r>
    </w:p>
    <w:p>
      <w:pPr>
        <w:spacing w:before="240" w:after="120"/>
        <w:jc w:val="center"/>
      </w:pPr>
      <w:r>
        <w:rPr>
          <w:rFonts w:ascii="Times New Roman" w:hAnsi="Times New Roman"/>
          <w:b/>
          <w:sz w:val="28"/>
        </w:rPr>
        <w:t>INTRODUCTION</w:t>
      </w:r>
    </w:p>
    <w:p>
      <w:pPr>
        <w:spacing w:before="0" w:after="0"/>
      </w:pPr>
    </w:p>
    <w:p>
      <w:pPr>
        <w:spacing w:before="240" w:after="120"/>
        <w:jc w:val="left"/>
      </w:pPr>
      <w:r>
        <w:rPr>
          <w:rFonts w:ascii="Times New Roman" w:hAnsi="Times New Roman"/>
          <w:b/>
          <w:sz w:val="28"/>
        </w:rPr>
        <w:t>1.1  Background and Motivation</w:t>
      </w:r>
    </w:p>
    <w:p>
      <w:pPr>
        <w:spacing w:after="120" w:before="60"/>
        <w:jc w:val="both"/>
      </w:pPr>
      <w:r>
        <w:rPr>
          <w:rFonts w:ascii="Times New Roman" w:hAnsi="Times New Roman"/>
          <w:sz w:val="24"/>
        </w:rPr>
        <w:t>The global energy landscape is undergoing a profound transformation driven by the urgent need to address climate change, reduce greenhouse gas emissions, and transition toward sustainable energy sources. Among the various renewable energy technologies available today, solar photovoltaic (PV) technology has emerged as one of the most promising and rapidly growing solutions for clean electricity generation. The International Energy Agency (IEA) has reported that solar PV is the fastest-growing source of electricity generation worldwide, with global installed capacity exceeding 1,500 GW by the end of 2024. This growth is attributed to declining module costs, supportive government policies, and increasing awareness of the environmental impact of fossil fuel-based power generation.</w:t>
      </w:r>
    </w:p>
    <w:p>
      <w:pPr>
        <w:spacing w:after="120" w:before="60"/>
        <w:jc w:val="both"/>
      </w:pPr>
      <w:r>
        <w:rPr>
          <w:rFonts w:ascii="Times New Roman" w:hAnsi="Times New Roman"/>
          <w:sz w:val="24"/>
        </w:rPr>
        <w:t>India has witnessed remarkable progress in solar energy deployment. With an ambitious target of 500 GW of non-fossil fuel electricity capacity by 2030 under the National Solar Mission, the country has emerged as one of the leading markets for solar PV installations globally. India receives approximately 5,000 trillion kWh of solar energy annually, with most parts of the country experiencing 300 or more sunny days per year, making it an ideal location for large-scale solar power deployment. The combination of abundant solar resources, decreasing technology costs, and strong policy support has created an environment conducive to rapid solar PV expansion across residential, commercial, and utility-scale segments.</w:t>
      </w:r>
    </w:p>
    <w:p>
      <w:pPr>
        <w:spacing w:after="120" w:before="60"/>
        <w:jc w:val="both"/>
      </w:pPr>
      <w:r>
        <w:rPr>
          <w:rFonts w:ascii="Times New Roman" w:hAnsi="Times New Roman"/>
          <w:sz w:val="24"/>
        </w:rPr>
        <w:t>Within the realm of PV technology, a critical distinction exists between conventional monofacial modules and the more advanced bifacial photovoltaic modules. Conventional monofacial PV panels generate electricity exclusively from solar radiation incident on their front surface, thereby leaving a substantial portion of the available solar resource underutilized. Specifically, diffuse radiation from the sky hemisphere and reflected radiation from the ground and surrounding surfaces remain largely unharnessed in monofacial configurations. Bifacial PV modules, in contrast, are engineered to capture and convert solar irradiance incident on both the front and rear surfaces of the module, thereby achieving higher energy yields from the same installation footprint [1], [2].</w:t>
      </w:r>
    </w:p>
    <w:p>
      <w:pPr>
        <w:spacing w:after="120" w:before="60"/>
        <w:jc w:val="both"/>
      </w:pPr>
      <w:r>
        <w:rPr>
          <w:rFonts w:ascii="Times New Roman" w:hAnsi="Times New Roman"/>
          <w:sz w:val="24"/>
        </w:rPr>
        <w:t>The ability of bifacial modules to harvest rear-side irradiance represents a significant technological advancement. Several studies have demonstrated that bifacial PV systems can achieve energy yield improvements ranging from 5% to 30% compared to equivalent monofacial installations, depending on the installation configuration and environmental conditions [3], [4]. This additional energy generation potential has made bifacial modules an increasingly attractive option for solar power plant developers seeking to maximize the return on investment.</w:t>
      </w:r>
    </w:p>
    <w:p>
      <w:pPr>
        <w:spacing w:after="120" w:before="60"/>
        <w:jc w:val="both"/>
      </w:pPr>
      <w:r>
        <w:rPr>
          <w:rFonts w:ascii="Times New Roman" w:hAnsi="Times New Roman"/>
          <w:sz w:val="24"/>
        </w:rPr>
        <w:t>However, realizing the full performance potential of bifacial PV systems is not straightforward. The rear-side irradiance contribution is highly sensitive to a complex interplay of installation parameters and environmental factors. Key parameters including the module tilt angle, ground surface reflectivity (albedo), and mounting height above the ground collectively determine the amount of reflected and diffuse radiation reaching the rear surface of the module [5], [6]. Improper selection of these parameters can lead to suboptimal system performance, negating the inherent advantages of bifacial technology. This underscores the critical need for systematic optimization tools and frameworks that can evaluate the combined influence of multiple installation parameters on bifacial PV system performance for specific geographical locations.</w:t>
      </w:r>
    </w:p>
    <w:p>
      <w:pPr>
        <w:spacing w:before="240" w:after="120"/>
        <w:jc w:val="left"/>
      </w:pPr>
      <w:r>
        <w:rPr>
          <w:rFonts w:ascii="Times New Roman" w:hAnsi="Times New Roman"/>
          <w:b/>
          <w:sz w:val="28"/>
        </w:rPr>
        <w:t>1.2  Solar Photovoltaic Technology: An Overview</w:t>
      </w:r>
    </w:p>
    <w:p>
      <w:pPr>
        <w:spacing w:after="120" w:before="60"/>
        <w:jc w:val="both"/>
      </w:pPr>
      <w:r>
        <w:rPr>
          <w:rFonts w:ascii="Times New Roman" w:hAnsi="Times New Roman"/>
          <w:sz w:val="24"/>
        </w:rPr>
        <w:t>Solar photovoltaic technology converts sunlight directly into electricity using semiconductor materials that exhibit the photovoltaic effect. When photons from sunlight strike the surface of a PV cell, they transfer energy to electrons in the semiconductor material, creating electron-hole pairs. These charge carriers are separated by the built-in electric field of the p-n junction, generating a direct current (DC). Modern PV cells are predominantly based on crystalline silicon technology, accounting for approximately 95% of global PV module production. Monocrystalline cells offer higher conversion efficiencies typically ranging from 20% to 24% under standard test conditions (STC). Recent advancements in cell architectures such as Passivated Emitter and Rear Contact (PERC), Tunnel Oxide Passivated Contact (TOPCon), and Heterojunction Technology (HJT) have pushed the boundaries of achievable efficiencies while simultaneously reducing manufacturing costs.</w:t>
      </w:r>
    </w:p>
    <w:p>
      <w:pPr>
        <w:spacing w:after="120" w:before="60"/>
        <w:jc w:val="both"/>
      </w:pPr>
      <w:r>
        <w:rPr>
          <w:rFonts w:ascii="Times New Roman" w:hAnsi="Times New Roman"/>
          <w:sz w:val="24"/>
        </w:rPr>
        <w:t>The electrical output of a PV module is characterized by its current-voltage (I-V) relationship, which describes the module behaviour under specific irradiance and temperature conditions. The maximum power point (MPP) on the I-V curve represents the operating condition at which the module delivers maximum electrical power. The power-voltage (P-V) characteristic curve provides a direct visualization of the power output as a function of operating voltage, with the peak corresponding to the MPP. Understanding these characteristics is essential for system design and performance optimization.</w:t>
      </w:r>
    </w:p>
    <w:p>
      <w:pPr>
        <w:spacing w:after="120" w:before="60"/>
        <w:jc w:val="both"/>
      </w:pPr>
      <w:r>
        <w:rPr>
          <w:rFonts w:ascii="Times New Roman" w:hAnsi="Times New Roman"/>
          <w:sz w:val="24"/>
        </w:rPr>
        <w:t>The performance of PV modules is also affected by environmental factors such as ambient temperature, wind speed, dust accumulation, and spectral composition of incident radiation. The Nominal Operating Cell Temperature (NOCT) provides a standardized reference for estimating cell temperature under realistic operating conditions. Temperature increases reduce the open-circuit voltage and consequently the maximum power output, while the short-circuit current is relatively insensitive to temperature variations. These thermal effects must be accounted for in accurate performance modeling of PV systems.</w:t>
      </w:r>
    </w:p>
    <w:p>
      <w:pPr>
        <w:spacing w:before="240" w:after="120"/>
        <w:jc w:val="left"/>
      </w:pPr>
      <w:r>
        <w:rPr>
          <w:rFonts w:ascii="Times New Roman" w:hAnsi="Times New Roman"/>
          <w:b/>
          <w:sz w:val="28"/>
        </w:rPr>
        <w:t>1.3  Monofacial versus Bifacial PV Modules</w:t>
      </w:r>
    </w:p>
    <w:p>
      <w:pPr>
        <w:spacing w:after="120" w:before="60"/>
        <w:jc w:val="both"/>
      </w:pPr>
      <w:r>
        <w:rPr>
          <w:rFonts w:ascii="Times New Roman" w:hAnsi="Times New Roman"/>
          <w:sz w:val="24"/>
        </w:rPr>
        <w:t>Conventional monofacial PV modules feature an opaque rear surface, typically covered with a white or colored backsheet, which prevents any light transmission to the rear side of the cells. As a result, only the radiation incident on the front surface contributes to electricity generation. While this configuration has served the solar industry well for several decades, it inherently limits the module ability to capture all available solar radiation at the installation site.</w:t>
      </w:r>
    </w:p>
    <w:p>
      <w:pPr>
        <w:spacing w:after="120" w:before="60"/>
        <w:jc w:val="both"/>
      </w:pPr>
      <w:r>
        <w:rPr>
          <w:rFonts w:ascii="Times New Roman" w:hAnsi="Times New Roman"/>
          <w:sz w:val="24"/>
        </w:rPr>
        <w:t>Bifacial PV modules feature transparent or semi-transparent rear surfaces that allow light to reach the rear side of the solar cells. These modules utilize solar cells with metallization patterns on both surfaces, enabling photocurrent generation from radiation incident on either side. The bifaciality factor, defined as the ratio of rear-side efficiency to front-side efficiency under STC, is a key parameter characterizing bifacial modules. Modern bifacial modules typically exhibit bifaciality factors ranging from 0.70 to 0.90, indicating that the rear side can generate 70% to 90% of the power produced by the front side under equivalent irradiance conditions [1].</w:t>
      </w:r>
    </w:p>
    <w:p>
      <w:pPr>
        <w:spacing w:after="120" w:before="60"/>
        <w:jc w:val="both"/>
      </w:pPr>
      <w:r>
        <w:rPr>
          <w:rFonts w:ascii="Times New Roman" w:hAnsi="Times New Roman"/>
          <w:sz w:val="24"/>
        </w:rPr>
        <w:t>The additional energy generated by the rear surface is commonly quantified using bifacial gain, representing the percentage increase in energy yield compared to an equivalent monofacial installation. Research has shown that bifacial gains can range from as low as 5% in poorly optimized installations to over 30% in configurations with highly reflective ground surfaces and elevated mounting heights [4], [11]. The first industrial production of bifacial PV panels was initiated in 1984, and predictions indicate that approximately 35% of the global PV market will be captured by bifacial modules by 2027.</w:t>
      </w:r>
    </w:p>
    <w:p>
      <w:pPr>
        <w:spacing w:before="240" w:after="120"/>
        <w:jc w:val="left"/>
      </w:pPr>
      <w:r>
        <w:rPr>
          <w:rFonts w:ascii="Times New Roman" w:hAnsi="Times New Roman"/>
          <w:b/>
          <w:sz w:val="28"/>
        </w:rPr>
        <w:t>1.4  Key Parameters Affecting Bifacial PV Performance</w:t>
      </w:r>
    </w:p>
    <w:p>
      <w:pPr>
        <w:spacing w:after="120" w:before="60"/>
        <w:jc w:val="both"/>
      </w:pPr>
      <w:r>
        <w:rPr>
          <w:rFonts w:ascii="Times New Roman" w:hAnsi="Times New Roman"/>
          <w:sz w:val="24"/>
        </w:rPr>
        <w:t>The performance of bifacial PV systems is governed by a complex interaction between solar radiation characteristics, installation geometry, and ground surface properties. The primary parameters are discussed below.</w:t>
      </w:r>
    </w:p>
    <w:p>
      <w:pPr>
        <w:spacing w:after="120" w:before="60"/>
        <w:jc w:val="both"/>
      </w:pPr>
      <w:r>
        <w:rPr>
          <w:rFonts w:ascii="Times New Roman" w:hAnsi="Times New Roman"/>
          <w:sz w:val="24"/>
        </w:rPr>
        <w:t>Tilt Angle: The module tilt angle significantly influences the balance between front-side and rear-side irradiance capture. For front-side performance, the optimal tilt angle is primarily determined by the latitude of the installation site. However, for bifacial modules, the tilt angle also affects the sky view factor and ground view factor, which determine the proportions of diffuse sky radiation and ground-reflected radiation reaching the module surfaces. Studies have shown that the optimal tilt angle for bifacial modules may differ from that of monofacial modules due to the additional consideration of rear-side irradiance maximization [5], [6].</w:t>
      </w:r>
    </w:p>
    <w:p>
      <w:pPr>
        <w:spacing w:after="120" w:before="60"/>
        <w:jc w:val="both"/>
      </w:pPr>
      <w:r>
        <w:rPr>
          <w:rFonts w:ascii="Times New Roman" w:hAnsi="Times New Roman"/>
          <w:sz w:val="24"/>
        </w:rPr>
        <w:t>Ground Albedo: The ground surface reflectivity plays a crucial role in determining the amount of radiation reflected toward the rear surface. Albedo values vary significantly across different surface types, ranging from approximately 0.08 for very dirty galvanized surfaces to 0.85 for aluminum surfaces. High-albedo surfaces such as snow, white-painted concrete, and metallic surfaces can substantially increase rear-side irradiance [7], [8], [9], [10].</w:t>
      </w:r>
    </w:p>
    <w:p>
      <w:pPr>
        <w:spacing w:after="120" w:before="60"/>
        <w:jc w:val="both"/>
      </w:pPr>
      <w:r>
        <w:rPr>
          <w:rFonts w:ascii="Times New Roman" w:hAnsi="Times New Roman"/>
          <w:sz w:val="24"/>
        </w:rPr>
        <w:t>Mounting Height: The elevation of PV modules above the ground affects the geometric view factor between the module and the reflective ground surface. Higher mounting positions generally allow the rear surface to see a larger area of the ground, thereby increasing the amount of reflected radiation received. However, the incremental benefit diminishes beyond certain elevations, and practical considerations such as structural costs must be balanced against marginal energy gains [11].</w:t>
      </w:r>
    </w:p>
    <w:p>
      <w:pPr>
        <w:spacing w:after="120" w:before="60"/>
        <w:jc w:val="both"/>
      </w:pPr>
      <w:r>
        <w:rPr>
          <w:rFonts w:ascii="Times New Roman" w:hAnsi="Times New Roman"/>
          <w:sz w:val="24"/>
        </w:rPr>
        <w:t>Shadow and View Factor: In array configurations, the shadow cast by each module on the ground reduces the effective ground area from which reflected radiation can reach the rear surface. The shadow view factor quantifies this reduction and is determined by solar position, module geometry, tilt angle, and mounting height. Accurate modeling of shadow effects is essential for realistic estimation of rear-side irradiance [14], [18].</w:t>
      </w:r>
    </w:p>
    <w:p>
      <w:pPr>
        <w:spacing w:before="240" w:after="120"/>
        <w:jc w:val="left"/>
      </w:pPr>
      <w:r>
        <w:rPr>
          <w:rFonts w:ascii="Times New Roman" w:hAnsi="Times New Roman"/>
          <w:b/>
          <w:sz w:val="28"/>
        </w:rPr>
        <w:t>1.5  Challenges in Bifacial PV Optimization</w:t>
      </w:r>
    </w:p>
    <w:p>
      <w:pPr>
        <w:spacing w:after="120" w:before="60"/>
        <w:jc w:val="both"/>
      </w:pPr>
      <w:r>
        <w:rPr>
          <w:rFonts w:ascii="Times New Roman" w:hAnsi="Times New Roman"/>
          <w:sz w:val="24"/>
        </w:rPr>
        <w:t>Despite the growing body of research on bifacial photovoltaic systems, several challenges remain in determining the optimal configuration under varying environmental conditions. Many existing studies have focused on individual parameters such as tilt angle, albedo, or module elevation, often evaluating their effects independently rather than considering their combined influence on system performance [5], [8], [9]. This approach provides limited insight into the complex interdependencies between these parameters.</w:t>
      </w:r>
    </w:p>
    <w:p>
      <w:pPr>
        <w:spacing w:after="120" w:before="60"/>
        <w:jc w:val="both"/>
      </w:pPr>
      <w:r>
        <w:rPr>
          <w:rFonts w:ascii="Times New Roman" w:hAnsi="Times New Roman"/>
          <w:sz w:val="24"/>
        </w:rPr>
        <w:t>Other investigations have developed modeling approaches or global performance assessments; however, these studies are often limited to predefined system configurations or specific climatic conditions [4]. Furthermore, research on large-scale bifacial solar farms indicates that multiple parameters must be optimized simultaneously to achieve maximum energy output [14]. The lack of accessible, user-friendly tools for location-specific parametric optimization represents a significant gap in the current state of the art.</w:t>
      </w:r>
    </w:p>
    <w:p>
      <w:pPr>
        <w:spacing w:after="120" w:before="60"/>
        <w:jc w:val="both"/>
      </w:pPr>
      <w:r>
        <w:rPr>
          <w:rFonts w:ascii="Times New Roman" w:hAnsi="Times New Roman"/>
          <w:sz w:val="24"/>
        </w:rPr>
        <w:t>Additionally, existing optimization approaches often require specialized software knowledge, access to commercial simulation tools, or significant computational resources, making them impractical for many PV system designers and installers who need quick, reliable optimization guidance for specific project sites. There is consequently a pressing need for a systematic analytical framework that can evaluate the combined influence of key installation parameters using location-specific solar irradiance data.</w:t>
      </w:r>
    </w:p>
    <w:p>
      <w:pPr>
        <w:spacing w:before="240" w:after="120"/>
        <w:jc w:val="left"/>
      </w:pPr>
      <w:r>
        <w:rPr>
          <w:rFonts w:ascii="Times New Roman" w:hAnsi="Times New Roman"/>
          <w:b/>
          <w:sz w:val="28"/>
        </w:rPr>
        <w:t>1.6  Problem Statement and Research Objectives</w:t>
      </w:r>
    </w:p>
    <w:p>
      <w:pPr>
        <w:spacing w:after="120" w:before="60"/>
        <w:jc w:val="both"/>
      </w:pPr>
      <w:r>
        <w:rPr>
          <w:rFonts w:ascii="Times New Roman" w:hAnsi="Times New Roman"/>
          <w:sz w:val="24"/>
        </w:rPr>
        <w:t>Based on the identified gaps in existing literature, this project addresses the need for a systematic analytical framework that evaluates the combined influence of key installation parameters using location-specific solar irradiance data. The primary objectives are:</w:t>
      </w:r>
    </w:p>
    <w:p>
      <w:pPr>
        <w:spacing w:after="120" w:before="60"/>
        <w:jc w:val="both"/>
      </w:pPr>
      <w:r>
        <w:rPr>
          <w:rFonts w:ascii="Times New Roman" w:hAnsi="Times New Roman"/>
          <w:sz w:val="24"/>
        </w:rPr>
        <w:t>(i) To develop a comprehensive mathematical model for bifacial PV system performance that accounts for front-side and rear-side irradiance contributions, including the effects of tilt angle, ground albedo, mounting height, and view factor geometry.</w:t>
      </w:r>
    </w:p>
    <w:p>
      <w:pPr>
        <w:spacing w:after="120" w:before="60"/>
        <w:jc w:val="both"/>
      </w:pPr>
      <w:r>
        <w:rPr>
          <w:rFonts w:ascii="Times New Roman" w:hAnsi="Times New Roman"/>
          <w:sz w:val="24"/>
        </w:rPr>
        <w:t>(ii) To implement the mathematical model in a MATLAB/Simulink environment for detailed electrical simulation of bifacial PV module characteristics under varying installation configurations.</w:t>
      </w:r>
    </w:p>
    <w:p>
      <w:pPr>
        <w:spacing w:after="120" w:before="60"/>
        <w:jc w:val="both"/>
      </w:pPr>
      <w:r>
        <w:rPr>
          <w:rFonts w:ascii="Times New Roman" w:hAnsi="Times New Roman"/>
          <w:sz w:val="24"/>
        </w:rPr>
        <w:t>(iii) To design and develop a user-oriented frontend platform that integrates location-based solar irradiance data retrieval from the NASA POWER API with parametric performance analysis.</w:t>
      </w:r>
    </w:p>
    <w:p>
      <w:pPr>
        <w:spacing w:after="120" w:before="60"/>
        <w:jc w:val="both"/>
      </w:pPr>
      <w:r>
        <w:rPr>
          <w:rFonts w:ascii="Times New Roman" w:hAnsi="Times New Roman"/>
          <w:sz w:val="24"/>
        </w:rPr>
        <w:t>(iv) To perform parametric sweep analyses to identify optimal installation configurations that maximize energy generation or rear-side gain for a given geographical location.</w:t>
      </w:r>
    </w:p>
    <w:p>
      <w:pPr>
        <w:spacing w:after="120" w:before="60"/>
        <w:jc w:val="both"/>
      </w:pPr>
      <w:r>
        <w:rPr>
          <w:rFonts w:ascii="Times New Roman" w:hAnsi="Times New Roman"/>
          <w:sz w:val="24"/>
        </w:rPr>
        <w:t>(v) To validate the proposed framework through a case study and compare the results with published literature.</w:t>
      </w:r>
    </w:p>
    <w:p>
      <w:pPr>
        <w:spacing w:before="240" w:after="120"/>
        <w:jc w:val="left"/>
      </w:pPr>
      <w:r>
        <w:rPr>
          <w:rFonts w:ascii="Times New Roman" w:hAnsi="Times New Roman"/>
          <w:b/>
          <w:sz w:val="28"/>
        </w:rPr>
        <w:t>1.7  Organization of the Report</w:t>
      </w:r>
    </w:p>
    <w:p>
      <w:pPr>
        <w:spacing w:after="120" w:before="60"/>
        <w:jc w:val="both"/>
      </w:pPr>
      <w:r>
        <w:rPr>
          <w:rFonts w:ascii="Times New Roman" w:hAnsi="Times New Roman"/>
          <w:sz w:val="24"/>
        </w:rPr>
        <w:t>The remainder of this report is organized as follows. Chapter 2 presents a comprehensive review of the existing literature on bifacial PV technology. Chapter 3 describes the methodology adopted, including the mathematical formulation, Simulink model development, and frontend platform architecture. Chapter 4 presents the results of the parametric analyses and provides a detailed discussion. Chapter 5 concludes the report with key contributions, limitations, and future work directions.</w:t>
      </w:r>
    </w:p>
    <w:p>
      <w:r>
        <w:br w:type="page"/>
      </w:r>
    </w:p>
    <w:p>
      <w:pPr>
        <w:spacing w:before="240" w:after="120"/>
        <w:jc w:val="center"/>
      </w:pPr>
      <w:r>
        <w:rPr>
          <w:rFonts w:ascii="Times New Roman" w:hAnsi="Times New Roman"/>
          <w:b/>
          <w:sz w:val="32"/>
        </w:rPr>
        <w:t>CHAPTER 2</w:t>
      </w:r>
    </w:p>
    <w:p>
      <w:pPr>
        <w:spacing w:before="240" w:after="120"/>
        <w:jc w:val="center"/>
      </w:pPr>
      <w:r>
        <w:rPr>
          <w:rFonts w:ascii="Times New Roman" w:hAnsi="Times New Roman"/>
          <w:b/>
          <w:sz w:val="28"/>
        </w:rPr>
        <w:t>LITERATURE REVIEW</w:t>
      </w:r>
    </w:p>
    <w:p>
      <w:pPr>
        <w:spacing w:before="0" w:after="0"/>
      </w:pPr>
    </w:p>
    <w:p>
      <w:pPr>
        <w:spacing w:before="240" w:after="120"/>
        <w:jc w:val="left"/>
      </w:pPr>
      <w:r>
        <w:rPr>
          <w:rFonts w:ascii="Times New Roman" w:hAnsi="Times New Roman"/>
          <w:b/>
          <w:sz w:val="28"/>
        </w:rPr>
        <w:t>2.1  Review of Bifacial PV Technology</w:t>
      </w:r>
    </w:p>
    <w:p>
      <w:pPr>
        <w:spacing w:after="120" w:before="60"/>
        <w:jc w:val="both"/>
      </w:pPr>
      <w:r>
        <w:rPr>
          <w:rFonts w:ascii="Times New Roman" w:hAnsi="Times New Roman"/>
          <w:sz w:val="24"/>
        </w:rPr>
        <w:t>Bifacial photovoltaic technology has undergone significant evolution since its conceptual introduction in the 1960s and the first industrial production of bifacial PV panels in 1984. The technology has gained increasing commercial traction in recent years, with market projections indicating that bifacial modules could capture approximately 35% of the global PV market by 2027. This growing market share is driven by the inherent ability of bifacial modules to generate additional electricity from the rear surface without requiring a proportional increase in installation area or balance-of-system components.</w:t>
      </w:r>
    </w:p>
    <w:p>
      <w:pPr>
        <w:spacing w:after="120" w:before="60"/>
        <w:jc w:val="both"/>
      </w:pPr>
      <w:r>
        <w:rPr>
          <w:rFonts w:ascii="Times New Roman" w:hAnsi="Times New Roman"/>
          <w:sz w:val="24"/>
        </w:rPr>
        <w:t>Guerrero-Lemus et al. [1] provided a comprehensive review of bifacial solar photovoltaic technology, covering the historical development, cell architectures, and performance characteristics of bifacial modules. Their review highlighted that rear-side irradiance contribution is strongly influenced by environmental and geometric parameters including ground reflectivity, module tilt angle, and installation height. The study also identified the need for standardized testing and characterization protocols for bifacial modules, as the existing IEC standards were primarily designed for monofacial module evaluation.</w:t>
      </w:r>
    </w:p>
    <w:p>
      <w:pPr>
        <w:spacing w:after="120" w:before="60"/>
        <w:jc w:val="both"/>
      </w:pPr>
      <w:r>
        <w:rPr>
          <w:rFonts w:ascii="Times New Roman" w:hAnsi="Times New Roman"/>
          <w:sz w:val="24"/>
        </w:rPr>
        <w:t>Alam et al. [2] conducted a detailed performance comparison between bifacial and monofacial photovoltaic systems under varying environmental conditions. Their investigation demonstrated that bifacial systems consistently outperformed monofacial counterparts across diverse climatic scenarios, with the magnitude of improvement dependent on the local irradiance conditions and installation configuration. The study reinforced the importance of site-specific analysis for quantifying the expected benefits of bifacial technology and highlighted that the bifacial advantage is more pronounced in locations with high diffuse radiation fractions.</w:t>
      </w:r>
    </w:p>
    <w:p>
      <w:pPr>
        <w:spacing w:after="120" w:before="60"/>
        <w:jc w:val="both"/>
      </w:pPr>
      <w:r>
        <w:rPr>
          <w:rFonts w:ascii="Times New Roman" w:hAnsi="Times New Roman"/>
          <w:sz w:val="24"/>
        </w:rPr>
        <w:t>Deline et al. [3] from the National Renewable Energy Laboratory (NREL) presented an important study on separating fact from fiction in bifacial PV system performance. Their work provided empirical evidence to validate the performance claims associated with bifacial technology and established benchmarks for expected energy yield improvements under various installation conditions. The NREL study emphasized the importance of accurate rear-side irradiance modeling and highlighted common sources of error in bifacial performance predictions.</w:t>
      </w:r>
    </w:p>
    <w:p>
      <w:pPr>
        <w:spacing w:after="120" w:before="60"/>
        <w:jc w:val="both"/>
      </w:pPr>
      <w:r>
        <w:rPr>
          <w:rFonts w:ascii="Times New Roman" w:hAnsi="Times New Roman"/>
          <w:sz w:val="24"/>
        </w:rPr>
        <w:t>Sun et al. [4] undertook a global perspective analysis of the optimization and performance of bifacial solar modules. Their study evaluated the combined effects of tilt angle, albedo, and latitude on system performance across diverse geographic locations and demonstrated that bifacial modules offer significant energy yield improvements when properly configured. The research highlighted the importance of considering location-specific solar resource characteristics in optimizing bifacial PV system design and provided valuable reference data for subsequent optimization studies.</w:t>
      </w:r>
    </w:p>
    <w:p>
      <w:pPr>
        <w:spacing w:before="240" w:after="120"/>
        <w:jc w:val="left"/>
      </w:pPr>
      <w:r>
        <w:rPr>
          <w:rFonts w:ascii="Times New Roman" w:hAnsi="Times New Roman"/>
          <w:b/>
          <w:sz w:val="28"/>
        </w:rPr>
        <w:t>2.2  Influence of Tilt Angle on Bifacial PV Performance</w:t>
      </w:r>
    </w:p>
    <w:p>
      <w:pPr>
        <w:spacing w:after="120" w:before="60"/>
        <w:jc w:val="both"/>
      </w:pPr>
      <w:r>
        <w:rPr>
          <w:rFonts w:ascii="Times New Roman" w:hAnsi="Times New Roman"/>
          <w:sz w:val="24"/>
        </w:rPr>
        <w:t>The tilt angle of a PV module is a fundamental design parameter that determines the angle of incidence of solar radiation on the module surface. For monofacial modules, the optimal tilt angle is primarily governed by the latitude of the installation site, with adjustments for local climatic conditions and the desired seasonal energy distribution. For bifacial modules, however, the tilt angle optimization becomes more complex due to its simultaneous influence on both front-side and rear-side irradiance capture.</w:t>
      </w:r>
    </w:p>
    <w:p>
      <w:pPr>
        <w:spacing w:after="120" w:before="60"/>
        <w:jc w:val="both"/>
      </w:pPr>
      <w:r>
        <w:rPr>
          <w:rFonts w:ascii="Times New Roman" w:hAnsi="Times New Roman"/>
          <w:sz w:val="24"/>
        </w:rPr>
        <w:t>Basak et al. [5] investigated tilt angle optimization specifically for bifacial photovoltaic modules, demonstrating that the optimal tilt angle for bifacial modules may differ from that of monofacial modules due to the additional contribution of ground-reflected radiation to the rear surface. Their study showed that increasing the tilt angle beyond the latitude-optimal value can enhance rear-side performance, although this may come at the cost of reduced front-side irradiance capture. The trade-off between these competing effects creates a complex optimization landscape that depends on the specific installation conditions.</w:t>
      </w:r>
    </w:p>
    <w:p>
      <w:pPr>
        <w:spacing w:after="120" w:before="60"/>
        <w:jc w:val="both"/>
      </w:pPr>
      <w:r>
        <w:rPr>
          <w:rFonts w:ascii="Times New Roman" w:hAnsi="Times New Roman"/>
          <w:sz w:val="24"/>
        </w:rPr>
        <w:t>Peter and Novak [6] examined the optimal tilt angle for maximizing energy production of bifacial solar panels. Their findings indicated that the interplay between front-side and rear-side irradiance components creates a more nuanced optimization problem for bifacial modules compared to monofacial systems. The study recommended that tilt angle optimization for bifacial installations should account for both direct and reflected radiation components, as well as the geographic location and local albedo characteristics.</w:t>
      </w:r>
    </w:p>
    <w:p>
      <w:pPr>
        <w:spacing w:after="120" w:before="60"/>
        <w:jc w:val="both"/>
      </w:pPr>
      <w:r>
        <w:rPr>
          <w:rFonts w:ascii="Times New Roman" w:hAnsi="Times New Roman"/>
          <w:sz w:val="24"/>
        </w:rPr>
        <w:t>Yusufoglu et al. [18] presented a seminal simulation study examining the annual energy yield of south-facing bifacial modules with rigorous calculation of ground-reflected radiation reaching the rear module surface. Their work demonstrated that optimum tilt angles of bifacial modules depend on a larger set of parameters than standard modules, requiring the albedo coefficient and installation height to be taken into account. They found that at low module elevations, the distance between shadows and modules is shorter, and this drawback can be reduced by increasing tilt angles. They showed differences in optimum tilt angle of 3 to 5 degrees between standard and bifacial modules depending on location and albedo coefficient. At higher albedo coefficients (0.5), the difference in optimum tilt angle for standard and bifacial modules vanishes because the ground reflection grows significantly. This work provided key insights into the view factor calculation methodology adopted in the present study.</w:t>
      </w:r>
    </w:p>
    <w:p>
      <w:pPr>
        <w:spacing w:before="240" w:after="120"/>
        <w:jc w:val="left"/>
      </w:pPr>
      <w:r>
        <w:rPr>
          <w:rFonts w:ascii="Times New Roman" w:hAnsi="Times New Roman"/>
          <w:b/>
          <w:sz w:val="28"/>
        </w:rPr>
        <w:t>2.3  Effect of Ground Albedo on Rear-Side Irradiance</w:t>
      </w:r>
    </w:p>
    <w:p>
      <w:pPr>
        <w:spacing w:after="120" w:before="60"/>
        <w:jc w:val="both"/>
      </w:pPr>
      <w:r>
        <w:rPr>
          <w:rFonts w:ascii="Times New Roman" w:hAnsi="Times New Roman"/>
          <w:sz w:val="24"/>
        </w:rPr>
        <w:t>Ground surface albedo is widely recognized as the most influential parameter affecting the rear-side energy contribution of bifacial PV systems. The albedo coefficient quantifies the fraction of incident solar radiation reflected by a surface, with values ranging from near zero for highly absorptive surfaces to values approaching unity for highly reflective surfaces.</w:t>
      </w:r>
    </w:p>
    <w:p>
      <w:pPr>
        <w:spacing w:after="120" w:before="60"/>
        <w:jc w:val="both"/>
      </w:pPr>
      <w:r>
        <w:rPr>
          <w:rFonts w:ascii="Times New Roman" w:hAnsi="Times New Roman"/>
          <w:sz w:val="24"/>
        </w:rPr>
        <w:t>Riedel-Lyngskjaer et al. [7] investigated the effect of spectral albedo on the energy yield of bifacial photovoltaic systems. Their study highlighted that the spectral characteristics of reflected radiation, in addition to the overall albedo magnitude, can influence the electrical output of bifacial modules due to the wavelength-dependent response of silicon solar cells. This finding adds another dimension to the albedo optimization problem that is often overlooked in simplified models.</w:t>
      </w:r>
    </w:p>
    <w:p>
      <w:pPr>
        <w:spacing w:after="120" w:before="60"/>
        <w:jc w:val="both"/>
      </w:pPr>
      <w:r>
        <w:rPr>
          <w:rFonts w:ascii="Times New Roman" w:hAnsi="Times New Roman"/>
          <w:sz w:val="24"/>
        </w:rPr>
        <w:t>Aksoy and Ceylan [8] conducted an investigation of ground albedo effects on bifacial photovoltaic panel performance, providing quantitative data on the relationship between ground surface type and rear-side energy generation. Baghel et al. [9] performed a comprehensive performance evaluation examining both albedo and tilt angle in bifacial systems, demonstrating synergistic effects of these two parameters. Atalay et al. [10] conducted experimental investigations providing valuable empirical data on actual albedo values achievable with various ground surface types under realistic operating conditions.</w:t>
      </w:r>
    </w:p>
    <w:p>
      <w:pPr>
        <w:spacing w:after="120" w:before="60"/>
        <w:jc w:val="both"/>
      </w:pPr>
      <w:r>
        <w:rPr>
          <w:rFonts w:ascii="Times New Roman" w:hAnsi="Times New Roman"/>
          <w:sz w:val="24"/>
        </w:rPr>
        <w:t>Dincer and Ozer [11] presented a comprehensive parametric analysis investigating the optimization of rear-side energy contribution in bifacial PV panels. Their study systematically evaluated four key parameters: albedo, tilt angle, panel height, and mounting configuration. Using experimentally measured GHI data from Turkey, they found that aluminum surfaces provided the highest rear-surface energy generation of 21.2%, followed by fresh snow at 20.5%. Their analysis demonstrated that increasing the tilt angle from 10 degrees to 50 degrees led to a gradual rise in rear-side gain from 4.3% to 5.5%. For panel height variation, the gain increased from 4.1% at 40 cm to 4.5% at 100 cm. They also compared horizontal and vertical mounting configurations, finding horizontal mounting provided a slightly higher rear-side energy yield of 4.5% compared to 4.1% for vertical mounting. This study serves as a primary reference for the parametric analysis approach adopted in the present work.</w:t>
      </w:r>
    </w:p>
    <w:p>
      <w:pPr>
        <w:spacing w:before="240" w:after="120"/>
        <w:jc w:val="left"/>
      </w:pPr>
      <w:r>
        <w:rPr>
          <w:rFonts w:ascii="Times New Roman" w:hAnsi="Times New Roman"/>
          <w:b/>
          <w:sz w:val="28"/>
        </w:rPr>
        <w:t>2.4  Impact of Mounting Height on Energy Yield</w:t>
      </w:r>
    </w:p>
    <w:p>
      <w:pPr>
        <w:spacing w:after="120" w:before="60"/>
        <w:jc w:val="both"/>
      </w:pPr>
      <w:r>
        <w:rPr>
          <w:rFonts w:ascii="Times New Roman" w:hAnsi="Times New Roman"/>
          <w:sz w:val="24"/>
        </w:rPr>
        <w:t>The height at which bifacial PV modules are mounted above the ground directly affects the geometric relationship between the module and the reflective ground, influencing the amount of ground-reflected radiation reaching the rear surface.</w:t>
      </w:r>
    </w:p>
    <w:p>
      <w:pPr>
        <w:spacing w:after="120" w:before="60"/>
        <w:jc w:val="both"/>
      </w:pPr>
      <w:r>
        <w:rPr>
          <w:rFonts w:ascii="Times New Roman" w:hAnsi="Times New Roman"/>
          <w:sz w:val="24"/>
        </w:rPr>
        <w:t>Yusufoglu et al. [18] provided critical insights into the influence of module elevation through their simulation study. They demonstrated that annual energy yield exhibits a near-logarithmic dependence on module elevation, with the benefit being more pronounced for locations with more direct radiation (such as Cairo) compared to locations with predominantly diffuse radiation (such as Oslo). Their simulations showed that at optimum tilt angles, produced annual energy can be increased by up to 30% compared to a standard module simply by positioning modules two meters above ground instead of close-to-ground installation. Furthermore, they demonstrated a linear relationship between albedo coefficient and annual energy yield for all module elevation heights, with the largest slope obtained for the highest module elevation since higher installations diminish the shadow area allowing the benefit of a more reflective ground to be utilized to a larger extent.</w:t>
      </w:r>
    </w:p>
    <w:p>
      <w:pPr>
        <w:spacing w:after="120" w:before="60"/>
        <w:jc w:val="both"/>
      </w:pPr>
      <w:r>
        <w:rPr>
          <w:rFonts w:ascii="Times New Roman" w:hAnsi="Times New Roman"/>
          <w:sz w:val="24"/>
        </w:rPr>
        <w:t>Braga et al. [12] examined the performance of bifacial PV modules under tropical climatic conditions, providing valuable data on the interaction between mounting height and tropical solar geometry. Almarshoud et al. [13] conducted experimental performance analysis confirming the positive correlation between module elevation and rear-side energy contribution, while highlighting practical constraints that limit feasible mounting heights in real installations.</w:t>
      </w:r>
    </w:p>
    <w:p>
      <w:pPr>
        <w:spacing w:before="240" w:after="120"/>
        <w:jc w:val="left"/>
      </w:pPr>
      <w:r>
        <w:rPr>
          <w:rFonts w:ascii="Times New Roman" w:hAnsi="Times New Roman"/>
          <w:b/>
          <w:sz w:val="28"/>
        </w:rPr>
        <w:t>2.5  Combined Parametric Optimization Studies</w:t>
      </w:r>
    </w:p>
    <w:p>
      <w:pPr>
        <w:spacing w:after="120" w:before="60"/>
        <w:jc w:val="both"/>
      </w:pPr>
      <w:r>
        <w:rPr>
          <w:rFonts w:ascii="Times New Roman" w:hAnsi="Times New Roman"/>
          <w:sz w:val="24"/>
        </w:rPr>
        <w:t>While many studies have examined individual parameters in isolation, a growing body of research has recognized the importance of evaluating combined effects of multiple parameters on bifacial PV system performance.</w:t>
      </w:r>
    </w:p>
    <w:p>
      <w:pPr>
        <w:spacing w:after="120" w:before="60"/>
        <w:jc w:val="both"/>
      </w:pPr>
      <w:r>
        <w:rPr>
          <w:rFonts w:ascii="Times New Roman" w:hAnsi="Times New Roman"/>
          <w:sz w:val="24"/>
        </w:rPr>
        <w:t>Patel et al. [14] addressed the optimum design of tracking bifacial solar farms, demonstrating that multiple parameters including module orientation, mounting height, and system geometry must be optimized simultaneously to achieve maximum energy output. Sun et al. [4] provided a global perspective on bifacial module optimization, evaluating combined effects of tilt angle, albedo, and latitude across diverse geographic locations. Their findings demonstrated that the relative importance of different installation parameters varies significantly with geographic location, underscoring the need for location-specific optimization tools.</w:t>
      </w:r>
    </w:p>
    <w:p>
      <w:pPr>
        <w:spacing w:after="120" w:before="60"/>
        <w:jc w:val="both"/>
      </w:pPr>
      <w:r>
        <w:rPr>
          <w:rFonts w:ascii="Times New Roman" w:hAnsi="Times New Roman"/>
          <w:sz w:val="24"/>
        </w:rPr>
        <w:t>Ganesan et al. [20] conducted performance analysis of n-type PERT bifacial solar PV modules under diverse albedo conditions. Their experimental study investigated five different surfaces (grass, sand, cement, white paint, and aluminum) and found that aluminum surfaces give the best energy generation with an average bifacial gain of 21.4%. Pelaez et al. [21] compared five different bifacial irradiance models and validated them against field measurements, reporting that a bifacial gain of approximately 20% was attainable under specific configurations.</w:t>
      </w:r>
    </w:p>
    <w:p>
      <w:pPr>
        <w:spacing w:before="240" w:after="120"/>
        <w:jc w:val="left"/>
      </w:pPr>
      <w:r>
        <w:rPr>
          <w:rFonts w:ascii="Times New Roman" w:hAnsi="Times New Roman"/>
          <w:b/>
          <w:sz w:val="28"/>
        </w:rPr>
        <w:t>2.6  Simulation and Modeling Approaches</w:t>
      </w:r>
    </w:p>
    <w:p>
      <w:pPr>
        <w:spacing w:after="120" w:before="60"/>
        <w:jc w:val="both"/>
      </w:pPr>
      <w:r>
        <w:rPr>
          <w:rFonts w:ascii="Times New Roman" w:hAnsi="Times New Roman"/>
          <w:sz w:val="24"/>
        </w:rPr>
        <w:t>Accurate simulation of bifacial PV systems requires integration of solar radiation models, geometric view factor calculations, and electrical performance models. Liu and Jordan [15] developed the isotropic sky model forming the foundation for estimating tilted surface irradiance from horizontal measurements. This model decomposes global horizontal irradiance into beam, diffuse, and ground-reflected components, providing a practical framework for PV surface irradiance estimation.</w:t>
      </w:r>
    </w:p>
    <w:p>
      <w:pPr>
        <w:spacing w:after="120" w:before="60"/>
        <w:jc w:val="both"/>
      </w:pPr>
      <w:r>
        <w:rPr>
          <w:rFonts w:ascii="Times New Roman" w:hAnsi="Times New Roman"/>
          <w:sz w:val="24"/>
        </w:rPr>
        <w:t>Beckman and Duffie [16] provided comprehensive analytical methods for solar engineering applications including detailed formulations for solar geometry calculations, irradiance decomposition, and tilted surface irradiance estimation. Marion et al. [17] developed a practical irradiance model specifically for bifacial PV modules, addressing shadow effects of module rows on the ground.</w:t>
      </w:r>
    </w:p>
    <w:p>
      <w:pPr>
        <w:spacing w:after="120" w:before="60"/>
        <w:jc w:val="both"/>
      </w:pPr>
      <w:r>
        <w:rPr>
          <w:rFonts w:ascii="Times New Roman" w:hAnsi="Times New Roman"/>
          <w:sz w:val="24"/>
        </w:rPr>
        <w:t>Yusufoglu et al. [18] demonstrated a rigorous approach accounting for the shadow effect on ground-reflected irradiance based on the principle of the view factor from heat transfer fundamentals. Their model separates the GHI into diffuse and direct components, recognizing that the diffuse component remains unchanged while the direct portion of ground-reflected radiation is emitted only from the area outside the shadow. This methodology forms the basis of the rear-side irradiance model implemented in the present work.</w:t>
      </w:r>
    </w:p>
    <w:p>
      <w:pPr>
        <w:spacing w:before="240" w:after="120"/>
        <w:jc w:val="left"/>
      </w:pPr>
      <w:r>
        <w:rPr>
          <w:rFonts w:ascii="Times New Roman" w:hAnsi="Times New Roman"/>
          <w:b/>
          <w:sz w:val="28"/>
        </w:rPr>
        <w:t>2.7  Research Gap Analysis</w:t>
      </w:r>
    </w:p>
    <w:p>
      <w:pPr>
        <w:spacing w:after="120" w:before="60"/>
        <w:jc w:val="both"/>
      </w:pPr>
      <w:r>
        <w:rPr>
          <w:rFonts w:ascii="Times New Roman" w:hAnsi="Times New Roman"/>
          <w:sz w:val="24"/>
        </w:rPr>
        <w:t>Based on the comprehensive review of existing literature, several key research gaps have been identified:</w:t>
      </w:r>
    </w:p>
    <w:p>
      <w:pPr>
        <w:spacing w:after="120" w:before="60"/>
        <w:jc w:val="both"/>
      </w:pPr>
      <w:r>
        <w:rPr>
          <w:rFonts w:ascii="Times New Roman" w:hAnsi="Times New Roman"/>
          <w:sz w:val="24"/>
        </w:rPr>
        <w:t>(i) Limited Combined Analysis: Most existing studies evaluate installation parameters independently rather than considering their combined influence. There is a need for frameworks that can simultaneously analyze the effects of tilt angle, albedo, and mounting height.</w:t>
      </w:r>
    </w:p>
    <w:p>
      <w:pPr>
        <w:spacing w:after="120" w:before="60"/>
        <w:jc w:val="both"/>
      </w:pPr>
      <w:r>
        <w:rPr>
          <w:rFonts w:ascii="Times New Roman" w:hAnsi="Times New Roman"/>
          <w:sz w:val="24"/>
        </w:rPr>
        <w:t>(ii) Location-Specific Optimization: Many studies are limited to specific geographic locations or generalized climatic conditions. A flexible framework that can retrieve and utilize location-specific irradiance data for any given site is needed.</w:t>
      </w:r>
    </w:p>
    <w:p>
      <w:pPr>
        <w:spacing w:after="120" w:before="60"/>
        <w:jc w:val="both"/>
      </w:pPr>
      <w:r>
        <w:rPr>
          <w:rFonts w:ascii="Times New Roman" w:hAnsi="Times New Roman"/>
          <w:sz w:val="24"/>
        </w:rPr>
        <w:t>(iii) Accessibility Gap: Current optimization approaches often require specialized software knowledge or access to commercial simulation tools, creating a barrier for many PV system designers.</w:t>
      </w:r>
    </w:p>
    <w:p>
      <w:pPr>
        <w:spacing w:after="120" w:before="60"/>
        <w:jc w:val="both"/>
      </w:pPr>
      <w:r>
        <w:rPr>
          <w:rFonts w:ascii="Times New Roman" w:hAnsi="Times New Roman"/>
          <w:sz w:val="24"/>
        </w:rPr>
        <w:t>(iv) Dual Optimization Objectives: Few studies consider the trade-off between maximum total energy generation and maximum rear-side gain as separate but complementary optimization objectives.</w:t>
      </w:r>
    </w:p>
    <w:p>
      <w:pPr>
        <w:spacing w:after="120" w:before="60"/>
        <w:jc w:val="both"/>
      </w:pPr>
      <w:r>
        <w:rPr>
          <w:rFonts w:ascii="Times New Roman" w:hAnsi="Times New Roman"/>
          <w:sz w:val="24"/>
        </w:rPr>
        <w:t>The present work addresses these gaps by developing a comprehensive computational framework that integrates location-specific solar irradiance data retrieval, rigorous mathematical modeling, and a user-friendly frontend platform for parametric analysis and optimization.</w:t>
      </w:r>
    </w:p>
    <w:p>
      <w:pPr>
        <w:spacing w:before="240" w:after="120"/>
        <w:jc w:val="center"/>
      </w:pPr>
      <w:r>
        <w:rPr>
          <w:rFonts w:ascii="Times New Roman" w:hAnsi="Times New Roman"/>
          <w:b/>
          <w:sz w:val="24"/>
        </w:rPr>
        <w:t>Table 2.1: Albedo Values of Common Surface Types for PV Applications [11]</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0"/>
              </w:rPr>
              <w:t>Surface Type</w:t>
            </w:r>
          </w:p>
        </w:tc>
        <w:tc>
          <w:tcPr>
            <w:tcW w:type="dxa" w:w="4320"/>
          </w:tcPr>
          <w:p>
            <w:pPr>
              <w:jc w:val="center"/>
            </w:pPr>
            <w:r/>
            <w:r>
              <w:rPr>
                <w:rFonts w:ascii="Times New Roman" w:hAnsi="Times New Roman"/>
                <w:b/>
                <w:sz w:val="20"/>
              </w:rPr>
              <w:t>Albedo Value</w:t>
            </w:r>
          </w:p>
        </w:tc>
      </w:tr>
      <w:tr>
        <w:tc>
          <w:tcPr>
            <w:tcW w:type="dxa" w:w="4320"/>
          </w:tcPr>
          <w:p>
            <w:pPr>
              <w:jc w:val="center"/>
            </w:pPr>
            <w:r/>
            <w:r>
              <w:rPr>
                <w:rFonts w:ascii="Times New Roman" w:hAnsi="Times New Roman"/>
                <w:sz w:val="20"/>
              </w:rPr>
              <w:t>Urban environment</w:t>
            </w:r>
          </w:p>
        </w:tc>
        <w:tc>
          <w:tcPr>
            <w:tcW w:type="dxa" w:w="4320"/>
          </w:tcPr>
          <w:p>
            <w:pPr>
              <w:jc w:val="center"/>
            </w:pPr>
            <w:r/>
            <w:r>
              <w:rPr>
                <w:rFonts w:ascii="Times New Roman" w:hAnsi="Times New Roman"/>
                <w:sz w:val="20"/>
              </w:rPr>
              <w:t>0.14-0.22</w:t>
            </w:r>
          </w:p>
        </w:tc>
      </w:tr>
      <w:tr>
        <w:tc>
          <w:tcPr>
            <w:tcW w:type="dxa" w:w="4320"/>
          </w:tcPr>
          <w:p>
            <w:pPr>
              <w:jc w:val="center"/>
            </w:pPr>
            <w:r/>
            <w:r>
              <w:rPr>
                <w:rFonts w:ascii="Times New Roman" w:hAnsi="Times New Roman"/>
                <w:sz w:val="20"/>
              </w:rPr>
              <w:t>Grass</w:t>
            </w:r>
          </w:p>
        </w:tc>
        <w:tc>
          <w:tcPr>
            <w:tcW w:type="dxa" w:w="4320"/>
          </w:tcPr>
          <w:p>
            <w:pPr>
              <w:jc w:val="center"/>
            </w:pPr>
            <w:r/>
            <w:r>
              <w:rPr>
                <w:rFonts w:ascii="Times New Roman" w:hAnsi="Times New Roman"/>
                <w:sz w:val="20"/>
              </w:rPr>
              <w:t>0.15-0.25</w:t>
            </w:r>
          </w:p>
        </w:tc>
      </w:tr>
      <w:tr>
        <w:tc>
          <w:tcPr>
            <w:tcW w:type="dxa" w:w="4320"/>
          </w:tcPr>
          <w:p>
            <w:pPr>
              <w:jc w:val="center"/>
            </w:pPr>
            <w:r/>
            <w:r>
              <w:rPr>
                <w:rFonts w:ascii="Times New Roman" w:hAnsi="Times New Roman"/>
                <w:sz w:val="20"/>
              </w:rPr>
              <w:t>Fresh grass</w:t>
            </w:r>
          </w:p>
        </w:tc>
        <w:tc>
          <w:tcPr>
            <w:tcW w:type="dxa" w:w="4320"/>
          </w:tcPr>
          <w:p>
            <w:pPr>
              <w:jc w:val="center"/>
            </w:pPr>
            <w:r/>
            <w:r>
              <w:rPr>
                <w:rFonts w:ascii="Times New Roman" w:hAnsi="Times New Roman"/>
                <w:sz w:val="20"/>
              </w:rPr>
              <w:t>0.26</w:t>
            </w:r>
          </w:p>
        </w:tc>
      </w:tr>
      <w:tr>
        <w:tc>
          <w:tcPr>
            <w:tcW w:type="dxa" w:w="4320"/>
          </w:tcPr>
          <w:p>
            <w:pPr>
              <w:jc w:val="center"/>
            </w:pPr>
            <w:r/>
            <w:r>
              <w:rPr>
                <w:rFonts w:ascii="Times New Roman" w:hAnsi="Times New Roman"/>
                <w:sz w:val="20"/>
              </w:rPr>
              <w:t>Fresh snow</w:t>
            </w:r>
          </w:p>
        </w:tc>
        <w:tc>
          <w:tcPr>
            <w:tcW w:type="dxa" w:w="4320"/>
          </w:tcPr>
          <w:p>
            <w:pPr>
              <w:jc w:val="center"/>
            </w:pPr>
            <w:r/>
            <w:r>
              <w:rPr>
                <w:rFonts w:ascii="Times New Roman" w:hAnsi="Times New Roman"/>
                <w:sz w:val="20"/>
              </w:rPr>
              <w:t>0.82</w:t>
            </w:r>
          </w:p>
        </w:tc>
      </w:tr>
      <w:tr>
        <w:tc>
          <w:tcPr>
            <w:tcW w:type="dxa" w:w="4320"/>
          </w:tcPr>
          <w:p>
            <w:pPr>
              <w:jc w:val="center"/>
            </w:pPr>
            <w:r/>
            <w:r>
              <w:rPr>
                <w:rFonts w:ascii="Times New Roman" w:hAnsi="Times New Roman"/>
                <w:sz w:val="20"/>
              </w:rPr>
              <w:t>Wet snow</w:t>
            </w:r>
          </w:p>
        </w:tc>
        <w:tc>
          <w:tcPr>
            <w:tcW w:type="dxa" w:w="4320"/>
          </w:tcPr>
          <w:p>
            <w:pPr>
              <w:jc w:val="center"/>
            </w:pPr>
            <w:r/>
            <w:r>
              <w:rPr>
                <w:rFonts w:ascii="Times New Roman" w:hAnsi="Times New Roman"/>
                <w:sz w:val="20"/>
              </w:rPr>
              <w:t>0.55-0.75</w:t>
            </w:r>
          </w:p>
        </w:tc>
      </w:tr>
      <w:tr>
        <w:tc>
          <w:tcPr>
            <w:tcW w:type="dxa" w:w="4320"/>
          </w:tcPr>
          <w:p>
            <w:pPr>
              <w:jc w:val="center"/>
            </w:pPr>
            <w:r/>
            <w:r>
              <w:rPr>
                <w:rFonts w:ascii="Times New Roman" w:hAnsi="Times New Roman"/>
                <w:sz w:val="20"/>
              </w:rPr>
              <w:t>Dry asphalt</w:t>
            </w:r>
          </w:p>
        </w:tc>
        <w:tc>
          <w:tcPr>
            <w:tcW w:type="dxa" w:w="4320"/>
          </w:tcPr>
          <w:p>
            <w:pPr>
              <w:jc w:val="center"/>
            </w:pPr>
            <w:r/>
            <w:r>
              <w:rPr>
                <w:rFonts w:ascii="Times New Roman" w:hAnsi="Times New Roman"/>
                <w:sz w:val="20"/>
              </w:rPr>
              <w:t>0.09-0.15</w:t>
            </w:r>
          </w:p>
        </w:tc>
      </w:tr>
      <w:tr>
        <w:tc>
          <w:tcPr>
            <w:tcW w:type="dxa" w:w="4320"/>
          </w:tcPr>
          <w:p>
            <w:pPr>
              <w:jc w:val="center"/>
            </w:pPr>
            <w:r/>
            <w:r>
              <w:rPr>
                <w:rFonts w:ascii="Times New Roman" w:hAnsi="Times New Roman"/>
                <w:sz w:val="20"/>
              </w:rPr>
              <w:t>Wet asphalt</w:t>
            </w:r>
          </w:p>
        </w:tc>
        <w:tc>
          <w:tcPr>
            <w:tcW w:type="dxa" w:w="4320"/>
          </w:tcPr>
          <w:p>
            <w:pPr>
              <w:jc w:val="center"/>
            </w:pPr>
            <w:r/>
            <w:r>
              <w:rPr>
                <w:rFonts w:ascii="Times New Roman" w:hAnsi="Times New Roman"/>
                <w:sz w:val="20"/>
              </w:rPr>
              <w:t>0.18</w:t>
            </w:r>
          </w:p>
        </w:tc>
      </w:tr>
      <w:tr>
        <w:tc>
          <w:tcPr>
            <w:tcW w:type="dxa" w:w="4320"/>
          </w:tcPr>
          <w:p>
            <w:pPr>
              <w:jc w:val="center"/>
            </w:pPr>
            <w:r/>
            <w:r>
              <w:rPr>
                <w:rFonts w:ascii="Times New Roman" w:hAnsi="Times New Roman"/>
                <w:sz w:val="20"/>
              </w:rPr>
              <w:t>Concrete</w:t>
            </w:r>
          </w:p>
        </w:tc>
        <w:tc>
          <w:tcPr>
            <w:tcW w:type="dxa" w:w="4320"/>
          </w:tcPr>
          <w:p>
            <w:pPr>
              <w:jc w:val="center"/>
            </w:pPr>
            <w:r/>
            <w:r>
              <w:rPr>
                <w:rFonts w:ascii="Times New Roman" w:hAnsi="Times New Roman"/>
                <w:sz w:val="20"/>
              </w:rPr>
              <w:t>0.25-0.35</w:t>
            </w:r>
          </w:p>
        </w:tc>
      </w:tr>
      <w:tr>
        <w:tc>
          <w:tcPr>
            <w:tcW w:type="dxa" w:w="4320"/>
          </w:tcPr>
          <w:p>
            <w:pPr>
              <w:jc w:val="center"/>
            </w:pPr>
            <w:r/>
            <w:r>
              <w:rPr>
                <w:rFonts w:ascii="Times New Roman" w:hAnsi="Times New Roman"/>
                <w:sz w:val="20"/>
              </w:rPr>
              <w:t>Red tiles</w:t>
            </w:r>
          </w:p>
        </w:tc>
        <w:tc>
          <w:tcPr>
            <w:tcW w:type="dxa" w:w="4320"/>
          </w:tcPr>
          <w:p>
            <w:pPr>
              <w:jc w:val="center"/>
            </w:pPr>
            <w:r/>
            <w:r>
              <w:rPr>
                <w:rFonts w:ascii="Times New Roman" w:hAnsi="Times New Roman"/>
                <w:sz w:val="20"/>
              </w:rPr>
              <w:t>0.33</w:t>
            </w:r>
          </w:p>
        </w:tc>
      </w:tr>
      <w:tr>
        <w:tc>
          <w:tcPr>
            <w:tcW w:type="dxa" w:w="4320"/>
          </w:tcPr>
          <w:p>
            <w:pPr>
              <w:jc w:val="center"/>
            </w:pPr>
            <w:r/>
            <w:r>
              <w:rPr>
                <w:rFonts w:ascii="Times New Roman" w:hAnsi="Times New Roman"/>
                <w:sz w:val="20"/>
              </w:rPr>
              <w:t>Aluminum</w:t>
            </w:r>
          </w:p>
        </w:tc>
        <w:tc>
          <w:tcPr>
            <w:tcW w:type="dxa" w:w="4320"/>
          </w:tcPr>
          <w:p>
            <w:pPr>
              <w:jc w:val="center"/>
            </w:pPr>
            <w:r/>
            <w:r>
              <w:rPr>
                <w:rFonts w:ascii="Times New Roman" w:hAnsi="Times New Roman"/>
                <w:sz w:val="20"/>
              </w:rPr>
              <w:t>0.85</w:t>
            </w:r>
          </w:p>
        </w:tc>
      </w:tr>
      <w:tr>
        <w:tc>
          <w:tcPr>
            <w:tcW w:type="dxa" w:w="4320"/>
          </w:tcPr>
          <w:p>
            <w:pPr>
              <w:jc w:val="center"/>
            </w:pPr>
            <w:r/>
            <w:r>
              <w:rPr>
                <w:rFonts w:ascii="Times New Roman" w:hAnsi="Times New Roman"/>
                <w:sz w:val="20"/>
              </w:rPr>
              <w:t>Copper</w:t>
            </w:r>
          </w:p>
        </w:tc>
        <w:tc>
          <w:tcPr>
            <w:tcW w:type="dxa" w:w="4320"/>
          </w:tcPr>
          <w:p>
            <w:pPr>
              <w:jc w:val="center"/>
            </w:pPr>
            <w:r/>
            <w:r>
              <w:rPr>
                <w:rFonts w:ascii="Times New Roman" w:hAnsi="Times New Roman"/>
                <w:sz w:val="20"/>
              </w:rPr>
              <w:t>0.74</w:t>
            </w:r>
          </w:p>
        </w:tc>
      </w:tr>
      <w:tr>
        <w:tc>
          <w:tcPr>
            <w:tcW w:type="dxa" w:w="4320"/>
          </w:tcPr>
          <w:p>
            <w:pPr>
              <w:jc w:val="center"/>
            </w:pPr>
            <w:r/>
            <w:r>
              <w:rPr>
                <w:rFonts w:ascii="Times New Roman" w:hAnsi="Times New Roman"/>
                <w:sz w:val="20"/>
              </w:rPr>
              <w:t>New galvanized steel</w:t>
            </w:r>
          </w:p>
        </w:tc>
        <w:tc>
          <w:tcPr>
            <w:tcW w:type="dxa" w:w="4320"/>
          </w:tcPr>
          <w:p>
            <w:pPr>
              <w:jc w:val="center"/>
            </w:pPr>
            <w:r/>
            <w:r>
              <w:rPr>
                <w:rFonts w:ascii="Times New Roman" w:hAnsi="Times New Roman"/>
                <w:sz w:val="20"/>
              </w:rPr>
              <w:t>0.35</w:t>
            </w:r>
          </w:p>
        </w:tc>
      </w:tr>
      <w:tr>
        <w:tc>
          <w:tcPr>
            <w:tcW w:type="dxa" w:w="4320"/>
          </w:tcPr>
          <w:p>
            <w:pPr>
              <w:jc w:val="center"/>
            </w:pPr>
            <w:r/>
            <w:r>
              <w:rPr>
                <w:rFonts w:ascii="Times New Roman" w:hAnsi="Times New Roman"/>
                <w:sz w:val="20"/>
              </w:rPr>
              <w:t>Very dirty galvanized</w:t>
            </w:r>
          </w:p>
        </w:tc>
        <w:tc>
          <w:tcPr>
            <w:tcW w:type="dxa" w:w="4320"/>
          </w:tcPr>
          <w:p>
            <w:pPr>
              <w:jc w:val="center"/>
            </w:pPr>
            <w:r/>
            <w:r>
              <w:rPr>
                <w:rFonts w:ascii="Times New Roman" w:hAnsi="Times New Roman"/>
                <w:sz w:val="20"/>
              </w:rPr>
              <w:t>0.08</w:t>
            </w:r>
          </w:p>
        </w:tc>
      </w:tr>
    </w:tbl>
    <w:p>
      <w:pPr>
        <w:spacing w:before="0" w:after="0"/>
      </w:pPr>
    </w:p>
    <w:p>
      <w:pPr>
        <w:spacing w:before="240" w:after="120"/>
        <w:jc w:val="center"/>
      </w:pPr>
      <w:r>
        <w:rPr>
          <w:rFonts w:ascii="Times New Roman" w:hAnsi="Times New Roman"/>
          <w:b/>
          <w:sz w:val="24"/>
        </w:rPr>
        <w:t>Table 2.2: Summary of Key Literature on Bifacial PV Parametric Studies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20"/>
              </w:rPr>
              <w:t>Study</w:t>
            </w:r>
          </w:p>
        </w:tc>
        <w:tc>
          <w:tcPr>
            <w:tcW w:type="dxa" w:w="2160"/>
          </w:tcPr>
          <w:p>
            <w:pPr>
              <w:jc w:val="center"/>
            </w:pPr>
            <w:r/>
            <w:r>
              <w:rPr>
                <w:rFonts w:ascii="Times New Roman" w:hAnsi="Times New Roman"/>
                <w:b/>
                <w:sz w:val="20"/>
              </w:rPr>
              <w:t>Parameters Analyzed</w:t>
            </w:r>
          </w:p>
        </w:tc>
        <w:tc>
          <w:tcPr>
            <w:tcW w:type="dxa" w:w="2160"/>
          </w:tcPr>
          <w:p>
            <w:pPr>
              <w:jc w:val="center"/>
            </w:pPr>
            <w:r/>
            <w:r>
              <w:rPr>
                <w:rFonts w:ascii="Times New Roman" w:hAnsi="Times New Roman"/>
                <w:b/>
                <w:sz w:val="20"/>
              </w:rPr>
              <w:t>Key Findings</w:t>
            </w:r>
          </w:p>
        </w:tc>
        <w:tc>
          <w:tcPr>
            <w:tcW w:type="dxa" w:w="2160"/>
          </w:tcPr>
          <w:p>
            <w:pPr>
              <w:jc w:val="center"/>
            </w:pPr>
            <w:r/>
            <w:r>
              <w:rPr>
                <w:rFonts w:ascii="Times New Roman" w:hAnsi="Times New Roman"/>
                <w:b/>
                <w:sz w:val="20"/>
              </w:rPr>
              <w:t>Limitation</w:t>
            </w:r>
          </w:p>
        </w:tc>
      </w:tr>
      <w:tr>
        <w:tc>
          <w:tcPr>
            <w:tcW w:type="dxa" w:w="2160"/>
          </w:tcPr>
          <w:p>
            <w:pPr>
              <w:jc w:val="center"/>
            </w:pPr>
            <w:r/>
            <w:r>
              <w:rPr>
                <w:rFonts w:ascii="Times New Roman" w:hAnsi="Times New Roman"/>
                <w:sz w:val="20"/>
              </w:rPr>
              <w:t>Guerrero-Lemus et al. [1]</w:t>
            </w:r>
          </w:p>
        </w:tc>
        <w:tc>
          <w:tcPr>
            <w:tcW w:type="dxa" w:w="2160"/>
          </w:tcPr>
          <w:p>
            <w:pPr>
              <w:jc w:val="center"/>
            </w:pPr>
            <w:r/>
            <w:r>
              <w:rPr>
                <w:rFonts w:ascii="Times New Roman" w:hAnsi="Times New Roman"/>
                <w:sz w:val="20"/>
              </w:rPr>
              <w:t>Technology review</w:t>
            </w:r>
          </w:p>
        </w:tc>
        <w:tc>
          <w:tcPr>
            <w:tcW w:type="dxa" w:w="2160"/>
          </w:tcPr>
          <w:p>
            <w:pPr>
              <w:jc w:val="center"/>
            </w:pPr>
            <w:r/>
            <w:r>
              <w:rPr>
                <w:rFonts w:ascii="Times New Roman" w:hAnsi="Times New Roman"/>
                <w:sz w:val="20"/>
              </w:rPr>
              <w:t>Comprehensive bifacial PV review</w:t>
            </w:r>
          </w:p>
        </w:tc>
        <w:tc>
          <w:tcPr>
            <w:tcW w:type="dxa" w:w="2160"/>
          </w:tcPr>
          <w:p>
            <w:pPr>
              <w:jc w:val="center"/>
            </w:pPr>
            <w:r/>
            <w:r>
              <w:rPr>
                <w:rFonts w:ascii="Times New Roman" w:hAnsi="Times New Roman"/>
                <w:sz w:val="20"/>
              </w:rPr>
              <w:t>No parametric optimization</w:t>
            </w:r>
          </w:p>
        </w:tc>
      </w:tr>
      <w:tr>
        <w:tc>
          <w:tcPr>
            <w:tcW w:type="dxa" w:w="2160"/>
          </w:tcPr>
          <w:p>
            <w:pPr>
              <w:jc w:val="center"/>
            </w:pPr>
            <w:r/>
            <w:r>
              <w:rPr>
                <w:rFonts w:ascii="Times New Roman" w:hAnsi="Times New Roman"/>
                <w:sz w:val="20"/>
              </w:rPr>
              <w:t>Sun et al. [4]</w:t>
            </w:r>
          </w:p>
        </w:tc>
        <w:tc>
          <w:tcPr>
            <w:tcW w:type="dxa" w:w="2160"/>
          </w:tcPr>
          <w:p>
            <w:pPr>
              <w:jc w:val="center"/>
            </w:pPr>
            <w:r/>
            <w:r>
              <w:rPr>
                <w:rFonts w:ascii="Times New Roman" w:hAnsi="Times New Roman"/>
                <w:sz w:val="20"/>
              </w:rPr>
              <w:t>Tilt, albedo, latitude</w:t>
            </w:r>
          </w:p>
        </w:tc>
        <w:tc>
          <w:tcPr>
            <w:tcW w:type="dxa" w:w="2160"/>
          </w:tcPr>
          <w:p>
            <w:pPr>
              <w:jc w:val="center"/>
            </w:pPr>
            <w:r/>
            <w:r>
              <w:rPr>
                <w:rFonts w:ascii="Times New Roman" w:hAnsi="Times New Roman"/>
                <w:sz w:val="20"/>
              </w:rPr>
              <w:t>Global optimization perspective</w:t>
            </w:r>
          </w:p>
        </w:tc>
        <w:tc>
          <w:tcPr>
            <w:tcW w:type="dxa" w:w="2160"/>
          </w:tcPr>
          <w:p>
            <w:pPr>
              <w:jc w:val="center"/>
            </w:pPr>
            <w:r/>
            <w:r>
              <w:rPr>
                <w:rFonts w:ascii="Times New Roman" w:hAnsi="Times New Roman"/>
                <w:sz w:val="20"/>
              </w:rPr>
              <w:t>No user-friendly tool</w:t>
            </w:r>
          </w:p>
        </w:tc>
      </w:tr>
      <w:tr>
        <w:tc>
          <w:tcPr>
            <w:tcW w:type="dxa" w:w="2160"/>
          </w:tcPr>
          <w:p>
            <w:pPr>
              <w:jc w:val="center"/>
            </w:pPr>
            <w:r/>
            <w:r>
              <w:rPr>
                <w:rFonts w:ascii="Times New Roman" w:hAnsi="Times New Roman"/>
                <w:sz w:val="20"/>
              </w:rPr>
              <w:t>Basak et al. [5]</w:t>
            </w:r>
          </w:p>
        </w:tc>
        <w:tc>
          <w:tcPr>
            <w:tcW w:type="dxa" w:w="2160"/>
          </w:tcPr>
          <w:p>
            <w:pPr>
              <w:jc w:val="center"/>
            </w:pPr>
            <w:r/>
            <w:r>
              <w:rPr>
                <w:rFonts w:ascii="Times New Roman" w:hAnsi="Times New Roman"/>
                <w:sz w:val="20"/>
              </w:rPr>
              <w:t>Tilt angle</w:t>
            </w:r>
          </w:p>
        </w:tc>
        <w:tc>
          <w:tcPr>
            <w:tcW w:type="dxa" w:w="2160"/>
          </w:tcPr>
          <w:p>
            <w:pPr>
              <w:jc w:val="center"/>
            </w:pPr>
            <w:r/>
            <w:r>
              <w:rPr>
                <w:rFonts w:ascii="Times New Roman" w:hAnsi="Times New Roman"/>
                <w:sz w:val="20"/>
              </w:rPr>
              <w:t>Bifacial optimal tilt differs from monofacial</w:t>
            </w:r>
          </w:p>
        </w:tc>
        <w:tc>
          <w:tcPr>
            <w:tcW w:type="dxa" w:w="2160"/>
          </w:tcPr>
          <w:p>
            <w:pPr>
              <w:jc w:val="center"/>
            </w:pPr>
            <w:r/>
            <w:r>
              <w:rPr>
                <w:rFonts w:ascii="Times New Roman" w:hAnsi="Times New Roman"/>
                <w:sz w:val="20"/>
              </w:rPr>
              <w:t>Single parameter only</w:t>
            </w:r>
          </w:p>
        </w:tc>
      </w:tr>
      <w:tr>
        <w:tc>
          <w:tcPr>
            <w:tcW w:type="dxa" w:w="2160"/>
          </w:tcPr>
          <w:p>
            <w:pPr>
              <w:jc w:val="center"/>
            </w:pPr>
            <w:r/>
            <w:r>
              <w:rPr>
                <w:rFonts w:ascii="Times New Roman" w:hAnsi="Times New Roman"/>
                <w:sz w:val="20"/>
              </w:rPr>
              <w:t>Dincer &amp; Ozer [11]</w:t>
            </w:r>
          </w:p>
        </w:tc>
        <w:tc>
          <w:tcPr>
            <w:tcW w:type="dxa" w:w="2160"/>
          </w:tcPr>
          <w:p>
            <w:pPr>
              <w:jc w:val="center"/>
            </w:pPr>
            <w:r/>
            <w:r>
              <w:rPr>
                <w:rFonts w:ascii="Times New Roman" w:hAnsi="Times New Roman"/>
                <w:sz w:val="20"/>
              </w:rPr>
              <w:t>Albedo, tilt, height, mounting</w:t>
            </w:r>
          </w:p>
        </w:tc>
        <w:tc>
          <w:tcPr>
            <w:tcW w:type="dxa" w:w="2160"/>
          </w:tcPr>
          <w:p>
            <w:pPr>
              <w:jc w:val="center"/>
            </w:pPr>
            <w:r/>
            <w:r>
              <w:rPr>
                <w:rFonts w:ascii="Times New Roman" w:hAnsi="Times New Roman"/>
                <w:sz w:val="20"/>
              </w:rPr>
              <w:t>21.2% rear gain for aluminum</w:t>
            </w:r>
          </w:p>
        </w:tc>
        <w:tc>
          <w:tcPr>
            <w:tcW w:type="dxa" w:w="2160"/>
          </w:tcPr>
          <w:p>
            <w:pPr>
              <w:jc w:val="center"/>
            </w:pPr>
            <w:r/>
            <w:r>
              <w:rPr>
                <w:rFonts w:ascii="Times New Roman" w:hAnsi="Times New Roman"/>
                <w:sz w:val="20"/>
              </w:rPr>
              <w:t>Limited to Turkey</w:t>
            </w:r>
          </w:p>
        </w:tc>
      </w:tr>
      <w:tr>
        <w:tc>
          <w:tcPr>
            <w:tcW w:type="dxa" w:w="2160"/>
          </w:tcPr>
          <w:p>
            <w:pPr>
              <w:jc w:val="center"/>
            </w:pPr>
            <w:r/>
            <w:r>
              <w:rPr>
                <w:rFonts w:ascii="Times New Roman" w:hAnsi="Times New Roman"/>
                <w:sz w:val="20"/>
              </w:rPr>
              <w:t>Yusufoglu et al. [18]</w:t>
            </w:r>
          </w:p>
        </w:tc>
        <w:tc>
          <w:tcPr>
            <w:tcW w:type="dxa" w:w="2160"/>
          </w:tcPr>
          <w:p>
            <w:pPr>
              <w:jc w:val="center"/>
            </w:pPr>
            <w:r/>
            <w:r>
              <w:rPr>
                <w:rFonts w:ascii="Times New Roman" w:hAnsi="Times New Roman"/>
                <w:sz w:val="20"/>
              </w:rPr>
              <w:t>Tilt, height, albedo</w:t>
            </w:r>
          </w:p>
        </w:tc>
        <w:tc>
          <w:tcPr>
            <w:tcW w:type="dxa" w:w="2160"/>
          </w:tcPr>
          <w:p>
            <w:pPr>
              <w:jc w:val="center"/>
            </w:pPr>
            <w:r/>
            <w:r>
              <w:rPr>
                <w:rFonts w:ascii="Times New Roman" w:hAnsi="Times New Roman"/>
                <w:sz w:val="20"/>
              </w:rPr>
              <w:t>Up to 30% gain; log height dependence</w:t>
            </w:r>
          </w:p>
        </w:tc>
        <w:tc>
          <w:tcPr>
            <w:tcW w:type="dxa" w:w="2160"/>
          </w:tcPr>
          <w:p>
            <w:pPr>
              <w:jc w:val="center"/>
            </w:pPr>
            <w:r/>
            <w:r>
              <w:rPr>
                <w:rFonts w:ascii="Times New Roman" w:hAnsi="Times New Roman"/>
                <w:sz w:val="20"/>
              </w:rPr>
              <w:t>Limited to Oslo/Cairo</w:t>
            </w:r>
          </w:p>
        </w:tc>
      </w:tr>
      <w:tr>
        <w:tc>
          <w:tcPr>
            <w:tcW w:type="dxa" w:w="2160"/>
          </w:tcPr>
          <w:p>
            <w:pPr>
              <w:jc w:val="center"/>
            </w:pPr>
            <w:r/>
            <w:r>
              <w:rPr>
                <w:rFonts w:ascii="Times New Roman" w:hAnsi="Times New Roman"/>
                <w:sz w:val="20"/>
              </w:rPr>
              <w:t>Patel et al. [14]</w:t>
            </w:r>
          </w:p>
        </w:tc>
        <w:tc>
          <w:tcPr>
            <w:tcW w:type="dxa" w:w="2160"/>
          </w:tcPr>
          <w:p>
            <w:pPr>
              <w:jc w:val="center"/>
            </w:pPr>
            <w:r/>
            <w:r>
              <w:rPr>
                <w:rFonts w:ascii="Times New Roman" w:hAnsi="Times New Roman"/>
                <w:sz w:val="20"/>
              </w:rPr>
              <w:t>Tracking, geometry</w:t>
            </w:r>
          </w:p>
        </w:tc>
        <w:tc>
          <w:tcPr>
            <w:tcW w:type="dxa" w:w="2160"/>
          </w:tcPr>
          <w:p>
            <w:pPr>
              <w:jc w:val="center"/>
            </w:pPr>
            <w:r/>
            <w:r>
              <w:rPr>
                <w:rFonts w:ascii="Times New Roman" w:hAnsi="Times New Roman"/>
                <w:sz w:val="20"/>
              </w:rPr>
              <w:t>Simultaneous optimization needed</w:t>
            </w:r>
          </w:p>
        </w:tc>
        <w:tc>
          <w:tcPr>
            <w:tcW w:type="dxa" w:w="2160"/>
          </w:tcPr>
          <w:p>
            <w:pPr>
              <w:jc w:val="center"/>
            </w:pPr>
            <w:r/>
            <w:r>
              <w:rPr>
                <w:rFonts w:ascii="Times New Roman" w:hAnsi="Times New Roman"/>
                <w:sz w:val="20"/>
              </w:rPr>
              <w:t>Tracking systems only</w:t>
            </w:r>
          </w:p>
        </w:tc>
      </w:tr>
    </w:tbl>
    <w:p>
      <w:r>
        <w:br w:type="page"/>
      </w:r>
    </w:p>
    <w:p>
      <w:pPr>
        <w:spacing w:before="240" w:after="120"/>
        <w:jc w:val="center"/>
      </w:pPr>
      <w:r>
        <w:rPr>
          <w:rFonts w:ascii="Times New Roman" w:hAnsi="Times New Roman"/>
          <w:b/>
          <w:sz w:val="32"/>
        </w:rPr>
        <w:t>CHAPTER 3</w:t>
      </w:r>
    </w:p>
    <w:p>
      <w:pPr>
        <w:spacing w:before="240" w:after="120"/>
        <w:jc w:val="center"/>
      </w:pPr>
      <w:r>
        <w:rPr>
          <w:rFonts w:ascii="Times New Roman" w:hAnsi="Times New Roman"/>
          <w:b/>
          <w:sz w:val="28"/>
        </w:rPr>
        <w:t>METHODOLOGY</w:t>
      </w:r>
    </w:p>
    <w:p>
      <w:pPr>
        <w:spacing w:before="0" w:after="0"/>
      </w:pPr>
    </w:p>
    <w:p>
      <w:pPr>
        <w:spacing w:before="240" w:after="120"/>
        <w:jc w:val="left"/>
      </w:pPr>
      <w:r>
        <w:rPr>
          <w:rFonts w:ascii="Times New Roman" w:hAnsi="Times New Roman"/>
          <w:b/>
          <w:sz w:val="28"/>
        </w:rPr>
        <w:t>3.1  Overview of the Proposed Framework</w:t>
      </w:r>
    </w:p>
    <w:p>
      <w:pPr>
        <w:spacing w:after="120" w:before="60"/>
        <w:jc w:val="both"/>
      </w:pPr>
      <w:r>
        <w:rPr>
          <w:rFonts w:ascii="Times New Roman" w:hAnsi="Times New Roman"/>
          <w:sz w:val="24"/>
        </w:rPr>
        <w:t>This chapter presents the detailed methodology adopted for the parametric analysis and optimization of bifacial photovoltaic systems. The proposed framework integrates three core components: (i) a mathematical formulation for computing the front-side and rear-side irradiance on bifacial PV modules, (ii) a MATLAB/Simulink model for simulating the electrical characteristics of the PV system, and (iii) a user-oriented frontend platform that retrieves location-specific irradiance data and performs automated parametric sweep analyses.</w:t>
      </w:r>
    </w:p>
    <w:p>
      <w:pPr>
        <w:spacing w:after="120" w:before="60"/>
        <w:jc w:val="both"/>
      </w:pPr>
      <w:r>
        <w:rPr>
          <w:rFonts w:ascii="Times New Roman" w:hAnsi="Times New Roman"/>
          <w:sz w:val="24"/>
        </w:rPr>
        <w:t>The framework is designed to evaluate and determine the optimal configuration of bifacial PV systems by varying key installation parameters including module tilt angle, ground surface albedo, and mounting height. The computational pipeline begins with the user specifying the geographical location, date range, and parameter sweep ranges through the frontend interface. The backend application processes these inputs, retrieves hourly irradiance data from the NASA POWER API, and executes the analysis engine to compute the system performance metrics for each combination of installation parameters. The results are presented through an interactive dashboard displaying optimal configurations, I-V and P-V characteristics, and comparative performance metrics.</w:t>
      </w:r>
    </w:p>
    <w:p>
      <w:pPr>
        <w:spacing w:after="120" w:before="60"/>
        <w:jc w:val="both"/>
      </w:pPr>
      <w:r>
        <w:rPr>
          <w:rFonts w:ascii="Times New Roman" w:hAnsi="Times New Roman"/>
          <w:sz w:val="24"/>
        </w:rPr>
        <w:t>The mathematical formulation implemented in this framework draws upon established solar radiation models from the literature, specifically the Liu-Jordan isotropic sky model [15] for front-side irradiance estimation and the view factor approach proposed by Yusufoglu et al. [18] for accurate rear-side irradiance calculation with shadow correction. The integration of these models with real-time irradiance data from the NASA POWER database enables location-specific optimization that accounts for the actual solar resource characteristics of the selected site.</w:t>
      </w:r>
    </w:p>
    <w:p>
      <w:pPr>
        <w:spacing w:before="240" w:after="120"/>
        <w:jc w:val="left"/>
      </w:pPr>
      <w:r>
        <w:rPr>
          <w:rFonts w:ascii="Times New Roman" w:hAnsi="Times New Roman"/>
          <w:b/>
          <w:sz w:val="28"/>
        </w:rPr>
        <w:t>3.2  Mathematical Formulation of Bifacial PV Operation</w:t>
      </w:r>
    </w:p>
    <w:p>
      <w:pPr>
        <w:spacing w:after="120" w:before="60"/>
        <w:jc w:val="both"/>
      </w:pPr>
      <w:r>
        <w:rPr>
          <w:rFonts w:ascii="Times New Roman" w:hAnsi="Times New Roman"/>
          <w:sz w:val="24"/>
        </w:rPr>
        <w:t>Unlike conventional monofacial PV modules, which receive irradiance only on the front surface, bifacial modules are capable of utilizing additional radiation reflected from the ground and surrounding surfaces. The total effective irradiance on a bifacial module can therefore be expressed as the sum of the front and rear irradiance components [4]:</w:t>
      </w:r>
    </w:p>
    <w:p>
      <w:pPr>
        <w:spacing w:before="160" w:after="160"/>
        <w:jc w:val="center"/>
      </w:pPr>
      <w:r>
        <w:rPr>
          <w:rFonts w:ascii="Cambria Math" w:hAnsi="Cambria Math"/>
          <w:i/>
          <w:sz w:val="26"/>
        </w:rPr>
        <w:t>Gₜₒₜ = G₃ᵣₒₙₜ + Gᵣₑₐᵣ</w:t>
      </w:r>
      <w:r>
        <w:rPr>
          <w:rFonts w:ascii="Times New Roman" w:hAnsi="Times New Roman"/>
          <w:i w:val="0"/>
          <w:sz w:val="24"/>
        </w:rPr>
        <w:t xml:space="preserve">                    (1)</w:t>
      </w:r>
    </w:p>
    <w:p>
      <w:pPr>
        <w:spacing w:after="120" w:before="60"/>
        <w:jc w:val="both"/>
      </w:pPr>
      <w:r>
        <w:rPr>
          <w:rFonts w:ascii="Times New Roman" w:hAnsi="Times New Roman"/>
          <w:sz w:val="24"/>
        </w:rPr>
        <w:t>where G_tot is the total irradiance received by the bifacial module (W/m²), G_front is the irradiance incident on the front surface (W/m²), and G_rear is the irradiance incident on the rear surface (W/m²). The front irradiance and rear irradiance depend on several factors which are taken into account in the analysis as described in the following subsections.</w:t>
      </w:r>
    </w:p>
    <w:p>
      <w:pPr>
        <w:spacing w:before="240" w:after="120"/>
        <w:jc w:val="left"/>
      </w:pPr>
      <w:r>
        <w:rPr>
          <w:rFonts w:ascii="Times New Roman" w:hAnsi="Times New Roman"/>
          <w:b/>
          <w:sz w:val="24"/>
        </w:rPr>
        <w:t>3.2.1  Front-Side Irradiance Model</w:t>
      </w:r>
    </w:p>
    <w:p>
      <w:pPr>
        <w:spacing w:after="120" w:before="60"/>
        <w:jc w:val="both"/>
      </w:pPr>
      <w:r>
        <w:rPr>
          <w:rFonts w:ascii="Times New Roman" w:hAnsi="Times New Roman"/>
          <w:sz w:val="24"/>
        </w:rPr>
        <w:t>The front-side irradiance is estimated using the Liu-Jordan isotropic sky model [15], which decomposes the global horizontal irradiance into beam, diffuse, and ground-reflected components. This model assumes that diffuse radiation from the sky is uniformly distributed across the sky hemisphere, which provides a practical and widely validated approximation for engineering applications.</w:t>
      </w:r>
    </w:p>
    <w:p>
      <w:pPr>
        <w:spacing w:after="120" w:before="60"/>
        <w:jc w:val="both"/>
      </w:pPr>
      <w:r>
        <w:rPr>
          <w:rFonts w:ascii="Times New Roman" w:hAnsi="Times New Roman"/>
          <w:sz w:val="24"/>
        </w:rPr>
        <w:t>The direct beam irradiance incident on the tilted module surface is calculated as:</w:t>
      </w:r>
    </w:p>
    <w:p>
      <w:pPr>
        <w:spacing w:before="160" w:after="160"/>
        <w:jc w:val="center"/>
      </w:pPr>
      <w:r>
        <w:rPr>
          <w:rFonts w:ascii="Cambria Math" w:hAnsi="Cambria Math"/>
          <w:i/>
          <w:sz w:val="26"/>
        </w:rPr>
        <w:t>beam_tilted = DNI × max(0, cos θᵢ)</w:t>
      </w:r>
      <w:r>
        <w:rPr>
          <w:rFonts w:ascii="Times New Roman" w:hAnsi="Times New Roman"/>
          <w:i w:val="0"/>
          <w:sz w:val="24"/>
        </w:rPr>
        <w:t xml:space="preserve">                    (2)</w:t>
      </w:r>
    </w:p>
    <w:p>
      <w:pPr>
        <w:spacing w:after="120" w:before="60"/>
        <w:jc w:val="both"/>
      </w:pPr>
      <w:r>
        <w:rPr>
          <w:rFonts w:ascii="Times New Roman" w:hAnsi="Times New Roman"/>
          <w:sz w:val="24"/>
        </w:rPr>
        <w:t>where DNI represents the direct normal irradiance (W/m²) and θ_i denotes the angle of incidence between the incoming solar radiation and the normal to the module surface. The max(0, cos θ_i) term ensures that negative irradiance values are avoided when the sun is below the panel horizon, which would correspond to a physically impossible scenario of illumination from behind the module.</w:t>
      </w:r>
    </w:p>
    <w:p>
      <w:pPr>
        <w:spacing w:after="120" w:before="60"/>
        <w:jc w:val="both"/>
      </w:pPr>
      <w:r>
        <w:rPr>
          <w:rFonts w:ascii="Times New Roman" w:hAnsi="Times New Roman"/>
          <w:sz w:val="24"/>
        </w:rPr>
        <w:t>The diffuse irradiance component is modeled assuming isotropic sky distribution. The sky view factor and ground view factor for the tilted surface are given by [15]:</w:t>
      </w:r>
    </w:p>
    <w:p>
      <w:pPr>
        <w:spacing w:before="160" w:after="160"/>
        <w:jc w:val="center"/>
      </w:pPr>
      <w:r>
        <w:rPr>
          <w:rFonts w:ascii="Cambria Math" w:hAnsi="Cambria Math"/>
          <w:i/>
          <w:sz w:val="26"/>
        </w:rPr>
        <w:t>sky_vf = (1 + cos β) / 2</w:t>
      </w:r>
      <w:r>
        <w:rPr>
          <w:rFonts w:ascii="Times New Roman" w:hAnsi="Times New Roman"/>
          <w:i w:val="0"/>
          <w:sz w:val="24"/>
        </w:rPr>
        <w:t xml:space="preserve">                    (3)</w:t>
      </w:r>
    </w:p>
    <w:p>
      <w:pPr>
        <w:spacing w:before="160" w:after="160"/>
        <w:jc w:val="center"/>
      </w:pPr>
      <w:r>
        <w:rPr>
          <w:rFonts w:ascii="Cambria Math" w:hAnsi="Cambria Math"/>
          <w:i/>
          <w:sz w:val="26"/>
        </w:rPr>
        <w:t>gnd_vf = (1 − cos β) / 2</w:t>
      </w:r>
      <w:r>
        <w:rPr>
          <w:rFonts w:ascii="Times New Roman" w:hAnsi="Times New Roman"/>
          <w:i w:val="0"/>
          <w:sz w:val="24"/>
        </w:rPr>
        <w:t xml:space="preserve">                    (4)</w:t>
      </w:r>
    </w:p>
    <w:p>
      <w:pPr>
        <w:spacing w:after="120" w:before="60"/>
        <w:jc w:val="both"/>
      </w:pPr>
      <w:r>
        <w:rPr>
          <w:rFonts w:ascii="Times New Roman" w:hAnsi="Times New Roman"/>
          <w:sz w:val="24"/>
        </w:rPr>
        <w:t>where β represents the module tilt angle measured from the horizontal plane. The sky view factor quantifies the portion of the sky dome visible to the tilted PV surface and determines the fraction of diffuse sky radiation intercepted by the module. Similarly, the ground view factor represents the fraction of ground-reflected radiation reaching the module surface. These two factors are complementary, summing to unity for any tilt angle.</w:t>
      </w:r>
    </w:p>
    <w:p>
      <w:pPr>
        <w:spacing w:after="120" w:before="60"/>
        <w:jc w:val="both"/>
      </w:pPr>
      <w:r>
        <w:rPr>
          <w:rFonts w:ascii="Times New Roman" w:hAnsi="Times New Roman"/>
          <w:sz w:val="24"/>
        </w:rPr>
        <w:t>The diffuse component of global irradiance is given by DHI (diffuse horizontal irradiance). Combining these contributions, the total front-side irradiance is calculated as [15]:</w:t>
      </w:r>
    </w:p>
    <w:p>
      <w:pPr>
        <w:spacing w:before="160" w:after="160"/>
        <w:jc w:val="center"/>
      </w:pPr>
      <w:r>
        <w:rPr>
          <w:rFonts w:ascii="Cambria Math" w:hAnsi="Cambria Math"/>
          <w:i/>
          <w:sz w:val="26"/>
        </w:rPr>
        <w:t>G_front = beam_tilted + (DHI × sky_vf) + (GHI × ρ × gnd_vf)</w:t>
      </w:r>
      <w:r>
        <w:rPr>
          <w:rFonts w:ascii="Times New Roman" w:hAnsi="Times New Roman"/>
          <w:i w:val="0"/>
          <w:sz w:val="24"/>
        </w:rPr>
        <w:t xml:space="preserve">                    (5)</w:t>
      </w:r>
    </w:p>
    <w:p>
      <w:pPr>
        <w:spacing w:after="120" w:before="60"/>
        <w:jc w:val="both"/>
      </w:pPr>
      <w:r>
        <w:rPr>
          <w:rFonts w:ascii="Times New Roman" w:hAnsi="Times New Roman"/>
          <w:sz w:val="24"/>
        </w:rPr>
        <w:t>where GHI is the global horizontal irradiance (W/m²), DHI is the diffuse horizontal irradiance (W/m²), and ρ is the ground surface albedo coefficient (dimensionless). The three terms in this equation represent the direct beam, diffuse sky, and ground-reflected components of front-side irradiance, respectively.</w:t>
      </w:r>
    </w:p>
    <w:p>
      <w:pPr>
        <w:spacing w:before="240" w:after="120"/>
        <w:jc w:val="left"/>
      </w:pPr>
      <w:r>
        <w:rPr>
          <w:rFonts w:ascii="Times New Roman" w:hAnsi="Times New Roman"/>
          <w:b/>
          <w:sz w:val="24"/>
        </w:rPr>
        <w:t>3.2.2  Rear-Side Irradiance Model</w:t>
      </w:r>
    </w:p>
    <w:p>
      <w:pPr>
        <w:spacing w:after="120" w:before="60"/>
        <w:jc w:val="both"/>
      </w:pPr>
      <w:r>
        <w:rPr>
          <w:rFonts w:ascii="Times New Roman" w:hAnsi="Times New Roman"/>
          <w:sz w:val="24"/>
        </w:rPr>
        <w:t>The computation of rear irradiance is more complex than the front-side calculation because it must account for the shadow cast by the module on the ground beneath it. The rear irradiance depends on the shadow view factor F_V, albedo ρ, DHI, GHI, and rear sky view factor. The shadow view factor F_V represents the reduction in rear irradiance due to row-to-row shading in the PV array. It is determined by evaluating the solar profile angle and the geometric relationship between the sun position and the module orientation.</w:t>
      </w:r>
    </w:p>
    <w:p>
      <w:pPr>
        <w:spacing w:after="120" w:before="60"/>
        <w:jc w:val="both"/>
      </w:pPr>
      <w:r>
        <w:rPr>
          <w:rFonts w:ascii="Times New Roman" w:hAnsi="Times New Roman"/>
          <w:sz w:val="24"/>
        </w:rPr>
        <w:t>The solar profile angle is computed as [16], [17]:</w:t>
      </w:r>
    </w:p>
    <w:p>
      <w:pPr>
        <w:spacing w:before="160" w:after="160"/>
        <w:jc w:val="center"/>
      </w:pPr>
      <w:r>
        <w:rPr>
          <w:rFonts w:ascii="Cambria Math" w:hAnsi="Cambria Math"/>
          <w:i/>
          <w:sz w:val="26"/>
        </w:rPr>
        <w:t>γ_profile = tan⁻¹(tan(α_sun) / cos(γ_sun − γ_panel))</w:t>
      </w:r>
      <w:r>
        <w:rPr>
          <w:rFonts w:ascii="Times New Roman" w:hAnsi="Times New Roman"/>
          <w:i w:val="0"/>
          <w:sz w:val="24"/>
        </w:rPr>
        <w:t xml:space="preserve">                    (6)</w:t>
      </w:r>
    </w:p>
    <w:p>
      <w:pPr>
        <w:spacing w:after="120" w:before="60"/>
        <w:jc w:val="both"/>
      </w:pPr>
      <w:r>
        <w:rPr>
          <w:rFonts w:ascii="Times New Roman" w:hAnsi="Times New Roman"/>
          <w:sz w:val="24"/>
        </w:rPr>
        <w:t>where α_sun is the solar elevation angle, and γ_sun and γ_panel represent the solar and panel azimuth angles, respectively. The solar profile angle provides a convenient way to characterize the apparent position of the sun relative to the plane perpendicular to the module surface.</w:t>
      </w:r>
    </w:p>
    <w:p>
      <w:pPr>
        <w:spacing w:before="240" w:after="120"/>
        <w:jc w:val="left"/>
      </w:pPr>
      <w:r>
        <w:rPr>
          <w:rFonts w:ascii="Times New Roman" w:hAnsi="Times New Roman"/>
          <w:b/>
          <w:sz w:val="24"/>
        </w:rPr>
        <w:t>3.2.3  Shadow and View Factor Computation</w:t>
      </w:r>
    </w:p>
    <w:p>
      <w:pPr>
        <w:spacing w:after="120" w:before="60"/>
        <w:jc w:val="both"/>
      </w:pPr>
      <w:r>
        <w:rPr>
          <w:rFonts w:ascii="Times New Roman" w:hAnsi="Times New Roman"/>
          <w:sz w:val="24"/>
        </w:rPr>
        <w:t>The lower and upper bounds of the shadow region cast by the module on the ground are calculated using the solar profile angle as follows [16], [17]:</w:t>
      </w:r>
    </w:p>
    <w:p>
      <w:pPr>
        <w:spacing w:before="160" w:after="160"/>
        <w:jc w:val="center"/>
      </w:pPr>
      <w:r>
        <w:rPr>
          <w:rFonts w:ascii="Cambria Math" w:hAnsi="Cambria Math"/>
          <w:i/>
          <w:sz w:val="26"/>
        </w:rPr>
        <w:t>shadow_lower = h / tan(γ_profile)</w:t>
      </w:r>
      <w:r>
        <w:rPr>
          <w:rFonts w:ascii="Times New Roman" w:hAnsi="Times New Roman"/>
          <w:i w:val="0"/>
          <w:sz w:val="24"/>
        </w:rPr>
        <w:t xml:space="preserve">                    (7)</w:t>
      </w:r>
    </w:p>
    <w:p>
      <w:pPr>
        <w:spacing w:before="160" w:after="160"/>
        <w:jc w:val="center"/>
      </w:pPr>
      <w:r>
        <w:rPr>
          <w:rFonts w:ascii="Cambria Math" w:hAnsi="Cambria Math"/>
          <w:i/>
          <w:sz w:val="26"/>
        </w:rPr>
        <w:t>shadow_upper = (h + W·sin β) / tan(γ_profile)</w:t>
      </w:r>
      <w:r>
        <w:rPr>
          <w:rFonts w:ascii="Times New Roman" w:hAnsi="Times New Roman"/>
          <w:i w:val="0"/>
          <w:sz w:val="24"/>
        </w:rPr>
        <w:t xml:space="preserve">                    (8)</w:t>
      </w:r>
    </w:p>
    <w:p>
      <w:pPr>
        <w:spacing w:after="120" w:before="60"/>
        <w:jc w:val="both"/>
      </w:pPr>
      <w:r>
        <w:rPr>
          <w:rFonts w:ascii="Times New Roman" w:hAnsi="Times New Roman"/>
          <w:sz w:val="24"/>
        </w:rPr>
        <w:t>where h is the mounting height of the lower edge of the module above the ground (m), W is the width of the module (m), and β is the tilt angle. These equations define the extent of the shadow region on the ground, which determines the area from which direct beam radiation is blocked and therefore cannot contribute to ground-reflected irradiance reaching the rear surface.</w:t>
      </w:r>
    </w:p>
    <w:p>
      <w:pPr>
        <w:spacing w:after="120" w:before="60"/>
        <w:jc w:val="both"/>
      </w:pPr>
      <w:r>
        <w:rPr>
          <w:rFonts w:ascii="Times New Roman" w:hAnsi="Times New Roman"/>
          <w:sz w:val="24"/>
        </w:rPr>
        <w:t>The rear sky view factor (rear_vf) is geometrically represented by the same form as equation (3) with β replaced by (180° − β), which accounts for the reversed orientation of the rear surface relative to the ground. The shadow view factor F_V is calculated by integrating over the shadow region as described by Yusufoglu et al. [18]:</w:t>
      </w:r>
    </w:p>
    <w:p>
      <w:pPr>
        <w:spacing w:before="160" w:after="160"/>
        <w:jc w:val="center"/>
      </w:pPr>
      <w:r>
        <w:rPr>
          <w:rFonts w:ascii="Cambria Math" w:hAnsi="Cambria Math"/>
          <w:i/>
          <w:sz w:val="26"/>
        </w:rPr>
        <w:t>F_V = rear_vf − ∫ cos(θ₁)·cos(θ₂) / (2·r_shadow) dx</w:t>
      </w:r>
      <w:r>
        <w:rPr>
          <w:rFonts w:ascii="Times New Roman" w:hAnsi="Times New Roman"/>
          <w:i w:val="0"/>
          <w:sz w:val="24"/>
        </w:rPr>
        <w:t xml:space="preserve">                    (9)</w:t>
      </w:r>
    </w:p>
    <w:p>
      <w:pPr>
        <w:spacing w:after="120" w:before="60"/>
        <w:jc w:val="both"/>
      </w:pPr>
      <w:r>
        <w:rPr>
          <w:rFonts w:ascii="Times New Roman" w:hAnsi="Times New Roman"/>
          <w:sz w:val="24"/>
        </w:rPr>
        <w:t>where θ₁ and θ₂ represent the geometric angles between the ground and module surfaces, and r is the distance between the differential ground and module surface elements. This integral is evaluated numerically over the shadow region to obtain the net view factor reduction due to shading.</w:t>
      </w:r>
    </w:p>
    <w:p>
      <w:pPr>
        <w:spacing w:before="0" w:after="0"/>
      </w:pPr>
    </w:p>
    <w:p>
      <w:pPr>
        <w:spacing w:after="120" w:before="60"/>
        <w:jc w:val="center"/>
      </w:pPr>
      <w:r>
        <w:rPr>
          <w:rFonts w:ascii="Times New Roman" w:hAnsi="Times New Roman"/>
          <w:sz w:val="24"/>
        </w:rPr>
        <w:t>[Insert Figure 3.2 here]</w:t>
      </w:r>
    </w:p>
    <w:p>
      <w:pPr>
        <w:spacing w:after="120" w:before="60"/>
        <w:jc w:val="center"/>
      </w:pPr>
      <w:r>
        <w:rPr>
          <w:rFonts w:ascii="Times New Roman" w:hAnsi="Times New Roman"/>
          <w:sz w:val="24"/>
        </w:rPr>
        <w:t>Figure 3.2: View Factor representation for Bifacial PV [18]</w:t>
      </w:r>
    </w:p>
    <w:p>
      <w:pPr>
        <w:spacing w:before="0" w:after="0"/>
      </w:pPr>
    </w:p>
    <w:p>
      <w:pPr>
        <w:spacing w:after="120" w:before="60"/>
        <w:jc w:val="both"/>
      </w:pPr>
      <w:r>
        <w:rPr>
          <w:rFonts w:ascii="Times New Roman" w:hAnsi="Times New Roman"/>
          <w:sz w:val="24"/>
        </w:rPr>
        <w:t>The final rear irradiance is given by incorporating the above factors. Following the methodology of Yusufoglu et al. [18], the ground-reflected radiation is separated into diffuse and direct components:</w:t>
      </w:r>
    </w:p>
    <w:p>
      <w:pPr>
        <w:spacing w:before="160" w:after="160"/>
        <w:jc w:val="center"/>
      </w:pPr>
      <w:r>
        <w:rPr>
          <w:rFonts w:ascii="Cambria Math" w:hAnsi="Cambria Math"/>
          <w:i/>
          <w:sz w:val="26"/>
        </w:rPr>
        <w:t>G_r0 = ρ · DHI · rear_vf + ρ · (GHI − DHI) · (rear_vf − F_V)</w:t>
      </w:r>
      <w:r>
        <w:rPr>
          <w:rFonts w:ascii="Times New Roman" w:hAnsi="Times New Roman"/>
          <w:i w:val="0"/>
          <w:sz w:val="24"/>
        </w:rPr>
        <w:t xml:space="preserve">                    (10)</w:t>
      </w:r>
    </w:p>
    <w:p>
      <w:pPr>
        <w:spacing w:after="120" w:before="60"/>
        <w:jc w:val="both"/>
      </w:pPr>
      <w:r>
        <w:rPr>
          <w:rFonts w:ascii="Times New Roman" w:hAnsi="Times New Roman"/>
          <w:sz w:val="24"/>
        </w:rPr>
        <w:t>This formulation recognizes that the diffuse component (DHI) is reflected from the entire ground surface including the shadowed area, since diffuse radiation arrives from all directions and is not blocked by the module shadow. The direct component (GHI − DHI), however, is reflected only from the unshadowed portion of the ground, hence the subtraction of the shadow view factor F_V from the rear view factor.</w:t>
      </w:r>
    </w:p>
    <w:p>
      <w:pPr>
        <w:spacing w:after="120" w:before="60"/>
        <w:jc w:val="both"/>
      </w:pPr>
      <w:r>
        <w:rPr>
          <w:rFonts w:ascii="Times New Roman" w:hAnsi="Times New Roman"/>
          <w:sz w:val="24"/>
        </w:rPr>
        <w:t>The effective rear irradiance is then scaled by the bifaciality factor to account for the difference in conversion efficiency between the front and rear surfaces of the module:</w:t>
      </w:r>
    </w:p>
    <w:p>
      <w:pPr>
        <w:spacing w:before="160" w:after="160"/>
        <w:jc w:val="center"/>
      </w:pPr>
      <w:r>
        <w:rPr>
          <w:rFonts w:ascii="Cambria Math" w:hAnsi="Cambria Math"/>
          <w:i/>
          <w:sz w:val="26"/>
        </w:rPr>
        <w:t>G_rear = G_r0 × φ_bifaciality</w:t>
      </w:r>
      <w:r>
        <w:rPr>
          <w:rFonts w:ascii="Times New Roman" w:hAnsi="Times New Roman"/>
          <w:i w:val="0"/>
          <w:sz w:val="24"/>
        </w:rPr>
        <w:t xml:space="preserve">                    (11)</w:t>
      </w:r>
    </w:p>
    <w:p>
      <w:pPr>
        <w:spacing w:after="120" w:before="60"/>
        <w:jc w:val="both"/>
      </w:pPr>
      <w:r>
        <w:rPr>
          <w:rFonts w:ascii="Times New Roman" w:hAnsi="Times New Roman"/>
          <w:sz w:val="24"/>
        </w:rPr>
        <w:t>The bifaciality factor φ represents the ratio of rear-side efficiency to front-side efficiency of the bifacial PV module and is typically in the range of 0.70 to 0.90 for modern bifacial modules. In this study, a bifaciality factor of 0.7 is assumed based on practical considerations and manufacturer specifications for commercially available bifacial modules.</w:t>
      </w:r>
    </w:p>
    <w:p>
      <w:pPr>
        <w:spacing w:before="240" w:after="120"/>
        <w:jc w:val="left"/>
      </w:pPr>
      <w:r>
        <w:rPr>
          <w:rFonts w:ascii="Times New Roman" w:hAnsi="Times New Roman"/>
          <w:b/>
          <w:sz w:val="28"/>
        </w:rPr>
        <w:t>3.3  Simulink Model Development</w:t>
      </w:r>
    </w:p>
    <w:p>
      <w:pPr>
        <w:spacing w:after="120" w:before="60"/>
        <w:jc w:val="both"/>
      </w:pPr>
      <w:r>
        <w:rPr>
          <w:rFonts w:ascii="Times New Roman" w:hAnsi="Times New Roman"/>
          <w:sz w:val="24"/>
        </w:rPr>
        <w:t>The bifacial photovoltaic system is modeled in MATLAB/Simulink to analyze the electrical performance of the module under varying environmental and installation conditions. The model incorporates key parameters such as global horizontal irradiance (GHI), ground reflectivity (albedo), tilt angle, mounting height, and ambient temperature. The Simulink model provides a validated platform for computing the I-V and P-V characteristics of the bifacial PV module under any combination of input conditions.</w:t>
      </w:r>
    </w:p>
    <w:p>
      <w:pPr>
        <w:spacing w:after="120" w:before="60"/>
        <w:jc w:val="both"/>
      </w:pPr>
      <w:r>
        <w:rPr>
          <w:rFonts w:ascii="Times New Roman" w:hAnsi="Times New Roman"/>
          <w:sz w:val="24"/>
        </w:rPr>
        <w:t>The input parameters are processed through a MATLAB function block (calculate_irradiance), which implements the mathematical formulation described in Section 3.2 to determine the effective irradiance G_eff received by the module, corresponding to G_tot in equation (1). The resulting effective irradiance value is then supplied to the PV Array block as the irradiance input. The PV Array block represents the electrical model of the photovoltaic module based on the single-diode equivalent circuit and produces the output current and voltage corresponding to the applied operating conditions.</w:t>
      </w:r>
    </w:p>
    <w:p>
      <w:pPr>
        <w:spacing w:after="120" w:before="60"/>
        <w:jc w:val="both"/>
      </w:pPr>
      <w:r>
        <w:rPr>
          <w:rFonts w:ascii="Times New Roman" w:hAnsi="Times New Roman"/>
          <w:sz w:val="24"/>
        </w:rPr>
        <w:t>To obtain the electrical characteristics of the PV system, a controlled voltage source is used to perform an I-V sweep across the PV module terminals. The voltage sweep is generated using a ramp signal (V_ramp), which gradually varies the applied voltage across the PV array over the simulation interval from 0 V to the open-circuit voltage. As the voltage changes, the PV module produces corresponding current values, allowing the complete I-V characteristic curve to be obtained. The measured current (I_meas) and voltage (V_meas) signals are collected through a bus creator block and forwarded to subsequent processing stages. The first scope plots the current-voltage (I-V) characteristics, while the second scope plots the power-voltage (P-V) characteristics.</w:t>
      </w:r>
    </w:p>
    <w:p>
      <w:pPr>
        <w:spacing w:before="0" w:after="0"/>
      </w:pPr>
    </w:p>
    <w:p>
      <w:pPr>
        <w:spacing w:after="120" w:before="60"/>
        <w:jc w:val="center"/>
      </w:pPr>
      <w:r>
        <w:rPr>
          <w:rFonts w:ascii="Times New Roman" w:hAnsi="Times New Roman"/>
          <w:sz w:val="24"/>
        </w:rPr>
        <w:t>[Insert Figure 3.3 here]</w:t>
      </w:r>
    </w:p>
    <w:p>
      <w:pPr>
        <w:spacing w:after="120" w:before="60"/>
        <w:jc w:val="center"/>
      </w:pPr>
      <w:r>
        <w:rPr>
          <w:rFonts w:ascii="Times New Roman" w:hAnsi="Times New Roman"/>
          <w:sz w:val="24"/>
        </w:rPr>
        <w:t>Figure 3.3: Simulink model for Bifacial PV Module</w:t>
      </w:r>
    </w:p>
    <w:p>
      <w:pPr>
        <w:spacing w:before="0" w:after="0"/>
      </w:pPr>
    </w:p>
    <w:p>
      <w:pPr>
        <w:spacing w:before="240" w:after="120"/>
        <w:jc w:val="center"/>
      </w:pPr>
      <w:r>
        <w:rPr>
          <w:rFonts w:ascii="Times New Roman" w:hAnsi="Times New Roman"/>
          <w:b/>
          <w:sz w:val="24"/>
        </w:rPr>
        <w:t>Table 3.1: Technical Specifications of the PV Module Used in Simulation</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0"/>
              </w:rPr>
              <w:t>Property</w:t>
            </w:r>
          </w:p>
        </w:tc>
        <w:tc>
          <w:tcPr>
            <w:tcW w:type="dxa" w:w="4320"/>
          </w:tcPr>
          <w:p>
            <w:pPr>
              <w:jc w:val="center"/>
            </w:pPr>
            <w:r/>
            <w:r>
              <w:rPr>
                <w:rFonts w:ascii="Times New Roman" w:hAnsi="Times New Roman"/>
                <w:b/>
                <w:sz w:val="20"/>
              </w:rPr>
              <w:t>Value</w:t>
            </w:r>
          </w:p>
        </w:tc>
      </w:tr>
      <w:tr>
        <w:tc>
          <w:tcPr>
            <w:tcW w:type="dxa" w:w="4320"/>
          </w:tcPr>
          <w:p>
            <w:pPr>
              <w:jc w:val="center"/>
            </w:pPr>
            <w:r/>
            <w:r>
              <w:rPr>
                <w:rFonts w:ascii="Times New Roman" w:hAnsi="Times New Roman"/>
                <w:sz w:val="20"/>
              </w:rPr>
              <w:t>Module Type</w:t>
            </w:r>
          </w:p>
        </w:tc>
        <w:tc>
          <w:tcPr>
            <w:tcW w:type="dxa" w:w="4320"/>
          </w:tcPr>
          <w:p>
            <w:pPr>
              <w:jc w:val="center"/>
            </w:pPr>
            <w:r/>
            <w:r>
              <w:rPr>
                <w:rFonts w:ascii="Times New Roman" w:hAnsi="Times New Roman"/>
                <w:sz w:val="20"/>
              </w:rPr>
              <w:t>Bifacial Monocrystalline Silicon</w:t>
            </w:r>
          </w:p>
        </w:tc>
      </w:tr>
      <w:tr>
        <w:tc>
          <w:tcPr>
            <w:tcW w:type="dxa" w:w="4320"/>
          </w:tcPr>
          <w:p>
            <w:pPr>
              <w:jc w:val="center"/>
            </w:pPr>
            <w:r/>
            <w:r>
              <w:rPr>
                <w:rFonts w:ascii="Times New Roman" w:hAnsi="Times New Roman"/>
                <w:sz w:val="20"/>
              </w:rPr>
              <w:t>Nominal Power</w:t>
            </w:r>
          </w:p>
        </w:tc>
        <w:tc>
          <w:tcPr>
            <w:tcW w:type="dxa" w:w="4320"/>
          </w:tcPr>
          <w:p>
            <w:pPr>
              <w:jc w:val="center"/>
            </w:pPr>
            <w:r/>
            <w:r>
              <w:rPr>
                <w:rFonts w:ascii="Times New Roman" w:hAnsi="Times New Roman"/>
                <w:sz w:val="20"/>
              </w:rPr>
              <w:t>550 Wp (front side)</w:t>
            </w:r>
          </w:p>
        </w:tc>
      </w:tr>
      <w:tr>
        <w:tc>
          <w:tcPr>
            <w:tcW w:type="dxa" w:w="4320"/>
          </w:tcPr>
          <w:p>
            <w:pPr>
              <w:jc w:val="center"/>
            </w:pPr>
            <w:r/>
            <w:r>
              <w:rPr>
                <w:rFonts w:ascii="Times New Roman" w:hAnsi="Times New Roman"/>
                <w:sz w:val="20"/>
              </w:rPr>
              <w:t>Bifaciality Factor</w:t>
            </w:r>
          </w:p>
        </w:tc>
        <w:tc>
          <w:tcPr>
            <w:tcW w:type="dxa" w:w="4320"/>
          </w:tcPr>
          <w:p>
            <w:pPr>
              <w:jc w:val="center"/>
            </w:pPr>
            <w:r/>
            <w:r>
              <w:rPr>
                <w:rFonts w:ascii="Times New Roman" w:hAnsi="Times New Roman"/>
                <w:sz w:val="20"/>
              </w:rPr>
              <w:t>0.7</w:t>
            </w:r>
          </w:p>
        </w:tc>
      </w:tr>
      <w:tr>
        <w:tc>
          <w:tcPr>
            <w:tcW w:type="dxa" w:w="4320"/>
          </w:tcPr>
          <w:p>
            <w:pPr>
              <w:jc w:val="center"/>
            </w:pPr>
            <w:r/>
            <w:r>
              <w:rPr>
                <w:rFonts w:ascii="Times New Roman" w:hAnsi="Times New Roman"/>
                <w:sz w:val="20"/>
              </w:rPr>
              <w:t>Open Circuit Voltage (Voc)</w:t>
            </w:r>
          </w:p>
        </w:tc>
        <w:tc>
          <w:tcPr>
            <w:tcW w:type="dxa" w:w="4320"/>
          </w:tcPr>
          <w:p>
            <w:pPr>
              <w:jc w:val="center"/>
            </w:pPr>
            <w:r/>
            <w:r>
              <w:rPr>
                <w:rFonts w:ascii="Times New Roman" w:hAnsi="Times New Roman"/>
                <w:sz w:val="20"/>
              </w:rPr>
              <w:t>49.90 V</w:t>
            </w:r>
          </w:p>
        </w:tc>
      </w:tr>
      <w:tr>
        <w:tc>
          <w:tcPr>
            <w:tcW w:type="dxa" w:w="4320"/>
          </w:tcPr>
          <w:p>
            <w:pPr>
              <w:jc w:val="center"/>
            </w:pPr>
            <w:r/>
            <w:r>
              <w:rPr>
                <w:rFonts w:ascii="Times New Roman" w:hAnsi="Times New Roman"/>
                <w:sz w:val="20"/>
              </w:rPr>
              <w:t>Short Circuit Current (Isc)</w:t>
            </w:r>
          </w:p>
        </w:tc>
        <w:tc>
          <w:tcPr>
            <w:tcW w:type="dxa" w:w="4320"/>
          </w:tcPr>
          <w:p>
            <w:pPr>
              <w:jc w:val="center"/>
            </w:pPr>
            <w:r/>
            <w:r>
              <w:rPr>
                <w:rFonts w:ascii="Times New Roman" w:hAnsi="Times New Roman"/>
                <w:sz w:val="20"/>
              </w:rPr>
              <w:t>14.0 A</w:t>
            </w:r>
          </w:p>
        </w:tc>
      </w:tr>
      <w:tr>
        <w:tc>
          <w:tcPr>
            <w:tcW w:type="dxa" w:w="4320"/>
          </w:tcPr>
          <w:p>
            <w:pPr>
              <w:jc w:val="center"/>
            </w:pPr>
            <w:r/>
            <w:r>
              <w:rPr>
                <w:rFonts w:ascii="Times New Roman" w:hAnsi="Times New Roman"/>
                <w:sz w:val="20"/>
              </w:rPr>
              <w:t>Number of Cells</w:t>
            </w:r>
          </w:p>
        </w:tc>
        <w:tc>
          <w:tcPr>
            <w:tcW w:type="dxa" w:w="4320"/>
          </w:tcPr>
          <w:p>
            <w:pPr>
              <w:jc w:val="center"/>
            </w:pPr>
            <w:r/>
            <w:r>
              <w:rPr>
                <w:rFonts w:ascii="Times New Roman" w:hAnsi="Times New Roman"/>
                <w:sz w:val="20"/>
              </w:rPr>
              <w:t>72 x 2 (half-cell)</w:t>
            </w:r>
          </w:p>
        </w:tc>
      </w:tr>
      <w:tr>
        <w:tc>
          <w:tcPr>
            <w:tcW w:type="dxa" w:w="4320"/>
          </w:tcPr>
          <w:p>
            <w:pPr>
              <w:jc w:val="center"/>
            </w:pPr>
            <w:r/>
            <w:r>
              <w:rPr>
                <w:rFonts w:ascii="Times New Roman" w:hAnsi="Times New Roman"/>
                <w:sz w:val="20"/>
              </w:rPr>
              <w:t>Module Width</w:t>
            </w:r>
          </w:p>
        </w:tc>
        <w:tc>
          <w:tcPr>
            <w:tcW w:type="dxa" w:w="4320"/>
          </w:tcPr>
          <w:p>
            <w:pPr>
              <w:jc w:val="center"/>
            </w:pPr>
            <w:r/>
            <w:r>
              <w:rPr>
                <w:rFonts w:ascii="Times New Roman" w:hAnsi="Times New Roman"/>
                <w:sz w:val="20"/>
              </w:rPr>
              <w:t>1134 mm</w:t>
            </w:r>
          </w:p>
        </w:tc>
      </w:tr>
      <w:tr>
        <w:tc>
          <w:tcPr>
            <w:tcW w:type="dxa" w:w="4320"/>
          </w:tcPr>
          <w:p>
            <w:pPr>
              <w:jc w:val="center"/>
            </w:pPr>
            <w:r/>
            <w:r>
              <w:rPr>
                <w:rFonts w:ascii="Times New Roman" w:hAnsi="Times New Roman"/>
                <w:sz w:val="20"/>
              </w:rPr>
              <w:t>Module Length</w:t>
            </w:r>
          </w:p>
        </w:tc>
        <w:tc>
          <w:tcPr>
            <w:tcW w:type="dxa" w:w="4320"/>
          </w:tcPr>
          <w:p>
            <w:pPr>
              <w:jc w:val="center"/>
            </w:pPr>
            <w:r/>
            <w:r>
              <w:rPr>
                <w:rFonts w:ascii="Times New Roman" w:hAnsi="Times New Roman"/>
                <w:sz w:val="20"/>
              </w:rPr>
              <w:t>2278 mm</w:t>
            </w:r>
          </w:p>
        </w:tc>
      </w:tr>
      <w:tr>
        <w:tc>
          <w:tcPr>
            <w:tcW w:type="dxa" w:w="4320"/>
          </w:tcPr>
          <w:p>
            <w:pPr>
              <w:jc w:val="center"/>
            </w:pPr>
            <w:r/>
            <w:r>
              <w:rPr>
                <w:rFonts w:ascii="Times New Roman" w:hAnsi="Times New Roman"/>
                <w:sz w:val="20"/>
              </w:rPr>
              <w:t>NOCT</w:t>
            </w:r>
          </w:p>
        </w:tc>
        <w:tc>
          <w:tcPr>
            <w:tcW w:type="dxa" w:w="4320"/>
          </w:tcPr>
          <w:p>
            <w:pPr>
              <w:jc w:val="center"/>
            </w:pPr>
            <w:r/>
            <w:r>
              <w:rPr>
                <w:rFonts w:ascii="Times New Roman" w:hAnsi="Times New Roman"/>
                <w:sz w:val="20"/>
              </w:rPr>
              <w:t>45 °C</w:t>
            </w:r>
          </w:p>
        </w:tc>
      </w:tr>
      <w:tr>
        <w:tc>
          <w:tcPr>
            <w:tcW w:type="dxa" w:w="4320"/>
          </w:tcPr>
          <w:p>
            <w:pPr>
              <w:jc w:val="center"/>
            </w:pPr>
            <w:r/>
            <w:r>
              <w:rPr>
                <w:rFonts w:ascii="Times New Roman" w:hAnsi="Times New Roman"/>
                <w:sz w:val="20"/>
              </w:rPr>
              <w:t>Temperature Coefficient (Voc)</w:t>
            </w:r>
          </w:p>
        </w:tc>
        <w:tc>
          <w:tcPr>
            <w:tcW w:type="dxa" w:w="4320"/>
          </w:tcPr>
          <w:p>
            <w:pPr>
              <w:jc w:val="center"/>
            </w:pPr>
            <w:r/>
            <w:r>
              <w:rPr>
                <w:rFonts w:ascii="Times New Roman" w:hAnsi="Times New Roman"/>
                <w:sz w:val="20"/>
              </w:rPr>
              <w:t>-0.27 %/°C</w:t>
            </w:r>
          </w:p>
        </w:tc>
      </w:tr>
    </w:tbl>
    <w:p>
      <w:pPr>
        <w:spacing w:before="0" w:after="0"/>
      </w:pPr>
    </w:p>
    <w:p>
      <w:pPr>
        <w:spacing w:before="240" w:after="120"/>
        <w:jc w:val="left"/>
      </w:pPr>
      <w:r>
        <w:rPr>
          <w:rFonts w:ascii="Times New Roman" w:hAnsi="Times New Roman"/>
          <w:b/>
          <w:sz w:val="28"/>
        </w:rPr>
        <w:t>3.4  Frontend Platform Architecture</w:t>
      </w:r>
    </w:p>
    <w:p>
      <w:pPr>
        <w:spacing w:after="120" w:before="60"/>
        <w:jc w:val="both"/>
      </w:pPr>
      <w:r>
        <w:rPr>
          <w:rFonts w:ascii="Times New Roman" w:hAnsi="Times New Roman"/>
          <w:sz w:val="24"/>
        </w:rPr>
        <w:t>The proposed framework is designed as a multi-layered system consisting of four primary components: the user interface, backend application, analysis and simulation engine, and the results dashboard. This architecture ensures modularity, maintainability, and extensibility of the platform.</w:t>
      </w:r>
    </w:p>
    <w:p>
      <w:pPr>
        <w:spacing w:before="240" w:after="120"/>
        <w:jc w:val="left"/>
      </w:pPr>
      <w:r>
        <w:rPr>
          <w:rFonts w:ascii="Times New Roman" w:hAnsi="Times New Roman"/>
          <w:b/>
          <w:sz w:val="24"/>
        </w:rPr>
        <w:t>3.4.1  User Interface Layer</w:t>
      </w:r>
    </w:p>
    <w:p>
      <w:pPr>
        <w:spacing w:after="120" w:before="60"/>
        <w:jc w:val="both"/>
      </w:pPr>
      <w:r>
        <w:rPr>
          <w:rFonts w:ascii="Times New Roman" w:hAnsi="Times New Roman"/>
          <w:sz w:val="24"/>
        </w:rPr>
        <w:t>The process begins at the user interface, where the user provides the necessary input parameters required for the analysis. These inputs include the geographical location in the form of a selected city, the desired date range for analysis, and key system configuration parameters such as module tilt angle range, mounting height range, and ground surface type. The interface is designed to be intuitive and accessible, requiring no specialized knowledge of PV system modeling or solar engineering. Users can select from predefined surface types with known albedo values or specify custom albedo coefficients. The interface also provides the option to select the optimization objective: maximum total energy or maximum rear-side gain.</w:t>
      </w:r>
    </w:p>
    <w:p>
      <w:pPr>
        <w:spacing w:before="240" w:after="120"/>
        <w:jc w:val="left"/>
      </w:pPr>
      <w:r>
        <w:rPr>
          <w:rFonts w:ascii="Times New Roman" w:hAnsi="Times New Roman"/>
          <w:b/>
          <w:sz w:val="24"/>
        </w:rPr>
        <w:t>3.4.2  Backend Application Layer</w:t>
      </w:r>
    </w:p>
    <w:p>
      <w:pPr>
        <w:spacing w:after="120" w:before="60"/>
        <w:jc w:val="both"/>
      </w:pPr>
      <w:r>
        <w:rPr>
          <w:rFonts w:ascii="Times New Roman" w:hAnsi="Times New Roman"/>
          <w:sz w:val="24"/>
        </w:rPr>
        <w:t>Once the input parameters are specified, the backend application processes these inputs and generates a request for solar irradiance data. The irradiance data is obtained through the NASA POWER API, which provides location-specific solar radiation data for the selected city and time period. The backend handles API communication, data parsing, error handling, and the coordination of parametric sweep computations. The backend is implemented using Python with Flask for the web server component, ensuring cross-platform compatibility and ease of deployment.</w:t>
      </w:r>
    </w:p>
    <w:p>
      <w:pPr>
        <w:spacing w:before="240" w:after="120"/>
        <w:jc w:val="left"/>
      </w:pPr>
      <w:r>
        <w:rPr>
          <w:rFonts w:ascii="Times New Roman" w:hAnsi="Times New Roman"/>
          <w:b/>
          <w:sz w:val="24"/>
        </w:rPr>
        <w:t>3.4.3  Analysis and Simulation Engine</w:t>
      </w:r>
    </w:p>
    <w:p>
      <w:pPr>
        <w:spacing w:after="120" w:before="60"/>
        <w:jc w:val="both"/>
      </w:pPr>
      <w:r>
        <w:rPr>
          <w:rFonts w:ascii="Times New Roman" w:hAnsi="Times New Roman"/>
          <w:sz w:val="24"/>
        </w:rPr>
        <w:t>The irradiance dataset is passed to the analysis and simulation engine, which performs the computational evaluation of the bifacial PV system. This module integrates the irradiance data with the user-defined installation parameters to simulate the electrical behavior of the bifacial PV system using the mathematical formulation described in Section 3.2. The simulation process evaluates the I-V and P-V characteristics and calculates key performance indicators such as output power, total energy, and bifacial gain under different configuration settings. The engine performs the parametric sweep across all specified combinations of tilt angle, albedo, and mounting height, computing performance metrics for each evaluation point.</w:t>
      </w:r>
    </w:p>
    <w:p>
      <w:pPr>
        <w:spacing w:before="240" w:after="120"/>
        <w:jc w:val="left"/>
      </w:pPr>
      <w:r>
        <w:rPr>
          <w:rFonts w:ascii="Times New Roman" w:hAnsi="Times New Roman"/>
          <w:b/>
          <w:sz w:val="24"/>
        </w:rPr>
        <w:t>3.4.4  Results Dashboard</w:t>
      </w:r>
    </w:p>
    <w:p>
      <w:pPr>
        <w:spacing w:after="120" w:before="60"/>
        <w:jc w:val="both"/>
      </w:pPr>
      <w:r>
        <w:rPr>
          <w:rFonts w:ascii="Times New Roman" w:hAnsi="Times New Roman"/>
          <w:sz w:val="24"/>
        </w:rPr>
        <w:t>The computed results are presented through a results dashboard providing structured visualization of system performance. The dashboard displays maximum power output and bifacial gain values in tabular form, along with graphical representations of the I-V and P-V characteristics. The dashboard also identifies and highlights the optimal configuration based on the user selected optimization objective (maximum energy or maximum rear gain). Additionally, ranking tables showing the top configurations are provided to enable comparative assessment of different installation options.</w:t>
      </w:r>
    </w:p>
    <w:p>
      <w:pPr>
        <w:spacing w:before="0" w:after="0"/>
      </w:pPr>
    </w:p>
    <w:p>
      <w:pPr>
        <w:spacing w:after="120" w:before="60"/>
        <w:jc w:val="center"/>
      </w:pPr>
      <w:r>
        <w:rPr>
          <w:rFonts w:ascii="Times New Roman" w:hAnsi="Times New Roman"/>
          <w:sz w:val="24"/>
        </w:rPr>
        <w:t>[Insert Figure 3.4 here]</w:t>
      </w:r>
    </w:p>
    <w:p>
      <w:pPr>
        <w:spacing w:after="120" w:before="60"/>
        <w:jc w:val="center"/>
      </w:pPr>
      <w:r>
        <w:rPr>
          <w:rFonts w:ascii="Times New Roman" w:hAnsi="Times New Roman"/>
          <w:sz w:val="24"/>
        </w:rPr>
        <w:t>Figure 3.4: Proposed Framework for Optimal Configuration of Bifacial PV Systems</w:t>
      </w:r>
    </w:p>
    <w:p>
      <w:pPr>
        <w:spacing w:before="0" w:after="0"/>
      </w:pPr>
    </w:p>
    <w:p>
      <w:pPr>
        <w:spacing w:before="240" w:after="120"/>
        <w:jc w:val="left"/>
      </w:pPr>
      <w:r>
        <w:rPr>
          <w:rFonts w:ascii="Times New Roman" w:hAnsi="Times New Roman"/>
          <w:b/>
          <w:sz w:val="28"/>
        </w:rPr>
        <w:t>3.5  NASA POWER API Integration</w:t>
      </w:r>
    </w:p>
    <w:p>
      <w:pPr>
        <w:spacing w:after="120" w:before="60"/>
        <w:jc w:val="both"/>
      </w:pPr>
      <w:r>
        <w:rPr>
          <w:rFonts w:ascii="Times New Roman" w:hAnsi="Times New Roman"/>
          <w:sz w:val="24"/>
        </w:rPr>
        <w:t>The NASA Prediction of Worldwide Energy Resources (POWER) project provides access to meteorological and solar radiation data derived from satellite observations and atmospheric models. The POWER API serves as the primary data source for location-specific irradiance information in the proposed framework. For a given geographic location specified by latitude and longitude coordinates, the API returns hourly values of GHI, DHI, DNI, temperature, and other relevant meteorological parameters. The data is available for any location worldwide with a spatial resolution of 0.5 degrees, making it suitable for site-specific analysis across diverse geographic regions.</w:t>
      </w:r>
    </w:p>
    <w:p>
      <w:pPr>
        <w:spacing w:after="120" w:before="60"/>
        <w:jc w:val="both"/>
      </w:pPr>
      <w:r>
        <w:rPr>
          <w:rFonts w:ascii="Times New Roman" w:hAnsi="Times New Roman"/>
          <w:sz w:val="24"/>
        </w:rPr>
        <w:t>The API is accessed through HTTP GET requests with parameters specifying the location coordinates, date range, and desired data variables. The returned JSON data is parsed and processed by the backend application to extract the required irradiance components for the bifacial PV performance analysis. Error handling mechanisms are implemented to manage network connectivity issues, API rate limits, and data quality checks.</w:t>
      </w:r>
    </w:p>
    <w:p>
      <w:pPr>
        <w:spacing w:before="240" w:after="120"/>
        <w:jc w:val="left"/>
      </w:pPr>
      <w:r>
        <w:rPr>
          <w:rFonts w:ascii="Times New Roman" w:hAnsi="Times New Roman"/>
          <w:b/>
          <w:sz w:val="28"/>
        </w:rPr>
        <w:t>3.6  Parametric Sweep Configuration</w:t>
      </w:r>
    </w:p>
    <w:p>
      <w:pPr>
        <w:spacing w:after="120" w:before="60"/>
        <w:jc w:val="both"/>
      </w:pPr>
      <w:r>
        <w:rPr>
          <w:rFonts w:ascii="Times New Roman" w:hAnsi="Times New Roman"/>
          <w:sz w:val="24"/>
        </w:rPr>
        <w:t>The parametric sweep is configured to systematically evaluate a grid of installation parameter combinations. In the present implementation, the following parameter ranges and increments are used: module mounting height is varied from 50 cm to 450 cm with increments of 50 cm (9 levels); tilt angle is varied from 10 degrees to 50 degrees in steps of 10 degrees (5 levels); and surface albedo is selected from predefined surface types with known albedo values. This configuration results in 45 evaluation points (9 heights x 5 tilt angles) for each selected albedo value.</w:t>
      </w:r>
    </w:p>
    <w:p>
      <w:pPr>
        <w:spacing w:after="120" w:before="60"/>
        <w:jc w:val="both"/>
      </w:pPr>
      <w:r>
        <w:rPr>
          <w:rFonts w:ascii="Times New Roman" w:hAnsi="Times New Roman"/>
          <w:sz w:val="24"/>
        </w:rPr>
        <w:t>For each evaluation point, the analysis engine computes the total energy output, peak power, and rear gain percentage. The results are ranked according to the selected optimization objective, and the top configurations are presented to the user. Additionally, the framework provides a provision for fixing two parameters and varying the third to obtain a focused analysis of individual parameter effects. This makes the platform dynamic and adaptable to the practical needs of PV system designers who may wish to explore the sensitivity of performance to specific parameters while keeping others constant.</w:t>
      </w:r>
    </w:p>
    <w:p>
      <w:pPr>
        <w:spacing w:before="0" w:after="0"/>
      </w:pPr>
    </w:p>
    <w:p>
      <w:pPr>
        <w:spacing w:after="120" w:before="60"/>
        <w:jc w:val="center"/>
      </w:pPr>
      <w:r>
        <w:rPr>
          <w:rFonts w:ascii="Times New Roman" w:hAnsi="Times New Roman"/>
          <w:sz w:val="24"/>
        </w:rPr>
        <w:t>[Insert Figure 3.5 here]</w:t>
      </w:r>
    </w:p>
    <w:p>
      <w:pPr>
        <w:spacing w:after="120" w:before="60"/>
        <w:jc w:val="center"/>
      </w:pPr>
      <w:r>
        <w:rPr>
          <w:rFonts w:ascii="Times New Roman" w:hAnsi="Times New Roman"/>
          <w:sz w:val="24"/>
        </w:rPr>
        <w:t>Figure 3.5: Frontend user interface showing parameter sweep configuration</w:t>
      </w:r>
    </w:p>
    <w:p>
      <w:pPr>
        <w:spacing w:before="0" w:after="0"/>
      </w:pPr>
    </w:p>
    <w:p>
      <w:r>
        <w:br w:type="page"/>
      </w:r>
    </w:p>
    <w:p>
      <w:pPr>
        <w:spacing w:before="240" w:after="120"/>
        <w:jc w:val="center"/>
      </w:pPr>
      <w:r>
        <w:rPr>
          <w:rFonts w:ascii="Times New Roman" w:hAnsi="Times New Roman"/>
          <w:b/>
          <w:sz w:val="32"/>
        </w:rPr>
        <w:t>CHAPTER 4</w:t>
      </w:r>
    </w:p>
    <w:p>
      <w:pPr>
        <w:spacing w:before="240" w:after="120"/>
        <w:jc w:val="center"/>
      </w:pPr>
      <w:r>
        <w:rPr>
          <w:rFonts w:ascii="Times New Roman" w:hAnsi="Times New Roman"/>
          <w:b/>
          <w:sz w:val="28"/>
        </w:rPr>
        <w:t>RESULTS AND DISCUSSION</w:t>
      </w:r>
    </w:p>
    <w:p>
      <w:pPr>
        <w:spacing w:before="0" w:after="0"/>
      </w:pPr>
    </w:p>
    <w:p>
      <w:pPr>
        <w:spacing w:before="240" w:after="120"/>
        <w:jc w:val="left"/>
      </w:pPr>
      <w:r>
        <w:rPr>
          <w:rFonts w:ascii="Times New Roman" w:hAnsi="Times New Roman"/>
          <w:b/>
          <w:sz w:val="28"/>
        </w:rPr>
        <w:t>4.1  Case Study Configuration</w:t>
      </w:r>
    </w:p>
    <w:p>
      <w:pPr>
        <w:spacing w:after="120" w:before="60"/>
        <w:jc w:val="both"/>
      </w:pPr>
      <w:r>
        <w:rPr>
          <w:rFonts w:ascii="Times New Roman" w:hAnsi="Times New Roman"/>
          <w:sz w:val="24"/>
        </w:rPr>
        <w:t>To evaluate the proposed framework, a case study was conducted for the location Greater Noida, India (latitude 28.47°N, longitude 77.50°E), using the developed frontend-backend analysis platform. Greater Noida was selected as the study location due to its proximity to the project institution and its representative solar resource characteristics for the northern Indian plains. The simulation date was fixed as 13 March 2026 in order to obtain location-specific solar irradiance data for a day near the spring equinox, when the sun path provides a balanced representation of solar geometry conditions.</w:t>
      </w:r>
    </w:p>
    <w:p>
      <w:pPr>
        <w:spacing w:after="120" w:before="60"/>
        <w:jc w:val="both"/>
      </w:pPr>
      <w:r>
        <w:rPr>
          <w:rFonts w:ascii="Times New Roman" w:hAnsi="Times New Roman"/>
          <w:sz w:val="24"/>
        </w:rPr>
        <w:t>A parametric sweep was performed over a range of geometric configurations as described below. The module mounting height was varied from 50 cm to 450 cm with increments of 50 cm, providing nine distinct height levels for evaluation. The tilt angle was varied from 10 degrees to 50 degrees in steps of 10 degrees, yielding five tilt angle levels. The azimuth angle of the PV module was fixed at 180 degrees for south-facing orientation, which is the standard configuration for photovoltaic installations in the northern hemisphere to maximize annual solar exposure.</w:t>
      </w:r>
    </w:p>
    <w:p>
      <w:pPr>
        <w:spacing w:after="120" w:before="60"/>
        <w:jc w:val="both"/>
      </w:pPr>
      <w:r>
        <w:rPr>
          <w:rFonts w:ascii="Times New Roman" w:hAnsi="Times New Roman"/>
          <w:sz w:val="24"/>
        </w:rPr>
        <w:t>The bifaciality factor was assumed to be 0.7, representing a practical value for commercially available modern bifacial modules. The ground surface type was selected as concrete, corresponding to an albedo value of 0.3, which represents a commonly encountered surface type in urban and peri-urban solar installations. The Nominal Operating Cell Temperature (NOCT) was maintained at 45 degrees Celsius.</w:t>
      </w:r>
    </w:p>
    <w:p>
      <w:pPr>
        <w:spacing w:after="120" w:before="60"/>
        <w:jc w:val="both"/>
      </w:pPr>
      <w:r>
        <w:rPr>
          <w:rFonts w:ascii="Times New Roman" w:hAnsi="Times New Roman"/>
          <w:sz w:val="24"/>
        </w:rPr>
        <w:t>The irradiance data was fetched using the NASA POWER API, and the observed total GHI for the selected date was 6.08 kWh/m² with a peak GHI of 866.53 W/m². These values are consistent with the expected solar resource availability for the Greater Noida region during the month of March, confirming the reliability of the data retrieval process. The DHI component was also retrieved, enabling the decomposition of global irradiance into its beam and diffuse constituents as required by the mathematical formulation described in Chapter 3.</w:t>
      </w:r>
    </w:p>
    <w:p>
      <w:pPr>
        <w:spacing w:before="240" w:after="120"/>
        <w:jc w:val="left"/>
      </w:pPr>
      <w:r>
        <w:rPr>
          <w:rFonts w:ascii="Times New Roman" w:hAnsi="Times New Roman"/>
          <w:b/>
          <w:sz w:val="28"/>
        </w:rPr>
        <w:t>4.2  Combined Parametric Sweep Results</w:t>
      </w:r>
    </w:p>
    <w:p>
      <w:pPr>
        <w:spacing w:after="120" w:before="60"/>
        <w:jc w:val="both"/>
      </w:pPr>
      <w:r>
        <w:rPr>
          <w:rFonts w:ascii="Times New Roman" w:hAnsi="Times New Roman"/>
          <w:sz w:val="24"/>
        </w:rPr>
        <w:t>The parametric analyses were executed using the computational engine incorporating the mathematical formulation discussed in Chapter 3. A total of 45 evaluation points (9 height levels × 5 tilt angle levels) were computed for the concrete surface (albedo = 0.3). For each evaluation point, the framework calculated the total energy output over the analysis day, peak power, front-side irradiance contribution, rear-side irradiance contribution, and the rear gain percentage.</w:t>
      </w:r>
    </w:p>
    <w:p>
      <w:pPr>
        <w:spacing w:after="120" w:before="60"/>
        <w:jc w:val="both"/>
      </w:pPr>
      <w:r>
        <w:rPr>
          <w:rFonts w:ascii="Times New Roman" w:hAnsi="Times New Roman"/>
          <w:sz w:val="24"/>
        </w:rPr>
        <w:t>The results revealed clear trends in the variation of system performance with installation parameters. Increasing the mounting height consistently improved the rear-side irradiance contribution across all tilt angles, as higher elevations allow the rear surface to view a larger unshaded ground area. Similarly, the choice of tilt angle affected both the front-side and rear-side performance, with intermediate tilt angles providing the best balance between direct beam capture on the front surface and reflected radiation capture on the rear surface.</w:t>
      </w:r>
    </w:p>
    <w:p>
      <w:pPr>
        <w:spacing w:after="120" w:before="60"/>
        <w:jc w:val="both"/>
      </w:pPr>
      <w:r>
        <w:rPr>
          <w:rFonts w:ascii="Times New Roman" w:hAnsi="Times New Roman"/>
          <w:sz w:val="24"/>
        </w:rPr>
        <w:t>The optimal configuration among the 45 evaluation points was identified based on the maximum energy optimization objective. The results indicated an optimal tilt angle of 30 degrees and a mounting height of 450 cm for the selected albedo value of 0.3 (concrete surface). At this optimal configuration, the rear gain was computed to be 16.55% using the formulation described in equations (10) and (11). This result demonstrates that a properly configured bifacial PV installation at the selected location can achieve substantial additional energy generation from the rear surface compared to an equivalent monofacial installation.</w:t>
      </w:r>
    </w:p>
    <w:p>
      <w:pPr>
        <w:spacing w:before="240" w:after="120"/>
        <w:jc w:val="left"/>
      </w:pPr>
      <w:r>
        <w:rPr>
          <w:rFonts w:ascii="Times New Roman" w:hAnsi="Times New Roman"/>
          <w:b/>
          <w:sz w:val="28"/>
        </w:rPr>
        <w:t>4.3  I-V and P-V Characteristics</w:t>
      </w:r>
    </w:p>
    <w:p>
      <w:pPr>
        <w:spacing w:after="120" w:before="60"/>
        <w:jc w:val="both"/>
      </w:pPr>
      <w:r>
        <w:rPr>
          <w:rFonts w:ascii="Times New Roman" w:hAnsi="Times New Roman"/>
          <w:sz w:val="24"/>
        </w:rPr>
        <w:t>The current-voltage (I-V) and power-voltage (P-V) characteristics were plotted for the various parameter-based configurations analyzed in the parametric sweep. The I-V curves illustrate the variation in short-circuit current and open-circuit voltage across different installation configurations, reflecting the changes in effective irradiance received by the bifacial module under each scenario.</w:t>
      </w:r>
    </w:p>
    <w:p>
      <w:pPr>
        <w:spacing w:after="120" w:before="60"/>
        <w:jc w:val="both"/>
      </w:pPr>
      <w:r>
        <w:rPr>
          <w:rFonts w:ascii="Times New Roman" w:hAnsi="Times New Roman"/>
          <w:sz w:val="24"/>
        </w:rPr>
        <w:t>The short-circuit current showed a strong positive correlation with the total effective irradiance, as expected from the linear relationship between photocurrent generation and incident radiation intensity. Configurations with higher mounting heights and moderate tilt angles exhibited higher short-circuit currents due to the increased rear-side irradiance contribution. The open-circuit voltage showed smaller variations across configurations, consistent with the logarithmic dependence of voltage on irradiance.</w:t>
      </w:r>
    </w:p>
    <w:p>
      <w:pPr>
        <w:spacing w:after="120" w:before="60"/>
        <w:jc w:val="both"/>
      </w:pPr>
      <w:r>
        <w:rPr>
          <w:rFonts w:ascii="Times New Roman" w:hAnsi="Times New Roman"/>
          <w:sz w:val="24"/>
        </w:rPr>
        <w:t>The P-V curves clearly show the shift in maximum power point (MPP) as the installation parameters are varied. Configurations with higher effective irradiance (resulting from optimal tilt, height, and albedo combinations) exhibit higher peak power values on the P-V curve. The graphical representation of these characteristics provides a visual confirmation of the parametric analysis results and enables the system designer to assess the electrical performance implications of different installation choices.</w:t>
      </w:r>
    </w:p>
    <w:p>
      <w:pPr>
        <w:spacing w:before="0" w:after="0"/>
      </w:pPr>
    </w:p>
    <w:p>
      <w:pPr>
        <w:spacing w:after="120" w:before="60"/>
        <w:jc w:val="center"/>
      </w:pPr>
      <w:r>
        <w:rPr>
          <w:rFonts w:ascii="Times New Roman" w:hAnsi="Times New Roman"/>
          <w:sz w:val="24"/>
        </w:rPr>
        <w:t>[Insert Figure 4.1 here]</w:t>
      </w:r>
    </w:p>
    <w:p>
      <w:pPr>
        <w:spacing w:after="120" w:before="60"/>
        <w:jc w:val="center"/>
      </w:pPr>
      <w:r>
        <w:rPr>
          <w:rFonts w:ascii="Times New Roman" w:hAnsi="Times New Roman"/>
          <w:sz w:val="24"/>
        </w:rPr>
        <w:t>Figure 4.1: I-V characteristics for different configurations</w:t>
      </w:r>
    </w:p>
    <w:p>
      <w:pPr>
        <w:spacing w:before="0" w:after="0"/>
      </w:pPr>
    </w:p>
    <w:p>
      <w:pPr>
        <w:spacing w:before="0" w:after="0"/>
      </w:pPr>
    </w:p>
    <w:p>
      <w:pPr>
        <w:spacing w:after="120" w:before="60"/>
        <w:jc w:val="center"/>
      </w:pPr>
      <w:r>
        <w:rPr>
          <w:rFonts w:ascii="Times New Roman" w:hAnsi="Times New Roman"/>
          <w:sz w:val="24"/>
        </w:rPr>
        <w:t>[Insert Figure 4.2 here]</w:t>
      </w:r>
    </w:p>
    <w:p>
      <w:pPr>
        <w:spacing w:after="120" w:before="60"/>
        <w:jc w:val="center"/>
      </w:pPr>
      <w:r>
        <w:rPr>
          <w:rFonts w:ascii="Times New Roman" w:hAnsi="Times New Roman"/>
          <w:sz w:val="24"/>
        </w:rPr>
        <w:t>Figure 4.2: P-V characteristics for different configurations</w:t>
      </w:r>
    </w:p>
    <w:p>
      <w:pPr>
        <w:spacing w:before="0" w:after="0"/>
      </w:pPr>
    </w:p>
    <w:p>
      <w:pPr>
        <w:spacing w:before="240" w:after="120"/>
        <w:jc w:val="left"/>
      </w:pPr>
      <w:r>
        <w:rPr>
          <w:rFonts w:ascii="Times New Roman" w:hAnsi="Times New Roman"/>
          <w:b/>
          <w:sz w:val="28"/>
        </w:rPr>
        <w:t>4.4  Optimal Configuration: Maximum Energy</w:t>
      </w:r>
    </w:p>
    <w:p>
      <w:pPr>
        <w:spacing w:after="120" w:before="60"/>
        <w:jc w:val="both"/>
      </w:pPr>
      <w:r>
        <w:rPr>
          <w:rFonts w:ascii="Times New Roman" w:hAnsi="Times New Roman"/>
          <w:sz w:val="24"/>
        </w:rPr>
        <w:t>Table 4.1 presents the top five configurations ranked by maximum energy output. The optimization objective in this case is to maximize the total energy generated by the bifacial PV system over the analysis period.</w:t>
      </w:r>
    </w:p>
    <w:p>
      <w:pPr>
        <w:spacing w:before="240" w:after="120"/>
        <w:jc w:val="center"/>
      </w:pPr>
      <w:r>
        <w:rPr>
          <w:rFonts w:ascii="Times New Roman" w:hAnsi="Times New Roman"/>
          <w:b/>
          <w:sz w:val="24"/>
        </w:rPr>
        <w:t>Table 4.1: Maximum Energy Based Optimal Configuration (Top 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b/>
                <w:sz w:val="20"/>
              </w:rPr>
              <w:t>Rank</w:t>
            </w:r>
          </w:p>
        </w:tc>
        <w:tc>
          <w:tcPr>
            <w:tcW w:type="dxa" w:w="1440"/>
          </w:tcPr>
          <w:p>
            <w:pPr>
              <w:jc w:val="center"/>
            </w:pPr>
            <w:r/>
            <w:r>
              <w:rPr>
                <w:rFonts w:ascii="Times New Roman" w:hAnsi="Times New Roman"/>
                <w:b/>
                <w:sz w:val="20"/>
              </w:rPr>
              <w:t>Height (cm)</w:t>
            </w:r>
          </w:p>
        </w:tc>
        <w:tc>
          <w:tcPr>
            <w:tcW w:type="dxa" w:w="1440"/>
          </w:tcPr>
          <w:p>
            <w:pPr>
              <w:jc w:val="center"/>
            </w:pPr>
            <w:r/>
            <w:r>
              <w:rPr>
                <w:rFonts w:ascii="Times New Roman" w:hAnsi="Times New Roman"/>
                <w:b/>
                <w:sz w:val="20"/>
              </w:rPr>
              <w:t>Tilt (°)</w:t>
            </w:r>
          </w:p>
        </w:tc>
        <w:tc>
          <w:tcPr>
            <w:tcW w:type="dxa" w:w="1440"/>
          </w:tcPr>
          <w:p>
            <w:pPr>
              <w:jc w:val="center"/>
            </w:pPr>
            <w:r/>
            <w:r>
              <w:rPr>
                <w:rFonts w:ascii="Times New Roman" w:hAnsi="Times New Roman"/>
                <w:b/>
                <w:sz w:val="20"/>
              </w:rPr>
              <w:t>Surface</w:t>
            </w:r>
          </w:p>
        </w:tc>
        <w:tc>
          <w:tcPr>
            <w:tcW w:type="dxa" w:w="1440"/>
          </w:tcPr>
          <w:p>
            <w:pPr>
              <w:jc w:val="center"/>
            </w:pPr>
            <w:r/>
            <w:r>
              <w:rPr>
                <w:rFonts w:ascii="Times New Roman" w:hAnsi="Times New Roman"/>
                <w:b/>
                <w:sz w:val="20"/>
              </w:rPr>
              <w:t>Energy (kWh)</w:t>
            </w:r>
          </w:p>
        </w:tc>
        <w:tc>
          <w:tcPr>
            <w:tcW w:type="dxa" w:w="1440"/>
          </w:tcPr>
          <w:p>
            <w:pPr>
              <w:jc w:val="center"/>
            </w:pPr>
            <w:r/>
            <w:r>
              <w:rPr>
                <w:rFonts w:ascii="Times New Roman" w:hAnsi="Times New Roman"/>
                <w:b/>
                <w:sz w:val="20"/>
              </w:rPr>
              <w:t>Rear Gain (%)</w:t>
            </w:r>
          </w:p>
        </w:tc>
      </w:tr>
      <w:tr>
        <w:tc>
          <w:tcPr>
            <w:tcW w:type="dxa" w:w="1440"/>
          </w:tcPr>
          <w:p>
            <w:pPr>
              <w:jc w:val="center"/>
            </w:pPr>
            <w:r/>
            <w:r>
              <w:rPr>
                <w:rFonts w:ascii="Times New Roman" w:hAnsi="Times New Roman"/>
                <w:sz w:val="20"/>
              </w:rPr>
              <w:t>1</w:t>
            </w:r>
          </w:p>
        </w:tc>
        <w:tc>
          <w:tcPr>
            <w:tcW w:type="dxa" w:w="1440"/>
          </w:tcPr>
          <w:p>
            <w:pPr>
              <w:jc w:val="center"/>
            </w:pPr>
            <w:r/>
            <w:r>
              <w:rPr>
                <w:rFonts w:ascii="Times New Roman" w:hAnsi="Times New Roman"/>
                <w:sz w:val="20"/>
              </w:rPr>
              <w:t>450</w:t>
            </w:r>
          </w:p>
        </w:tc>
        <w:tc>
          <w:tcPr>
            <w:tcW w:type="dxa" w:w="1440"/>
          </w:tcPr>
          <w:p>
            <w:pPr>
              <w:jc w:val="center"/>
            </w:pPr>
            <w:r/>
            <w:r>
              <w:rPr>
                <w:rFonts w:ascii="Times New Roman" w:hAnsi="Times New Roman"/>
                <w:sz w:val="20"/>
              </w:rPr>
              <w:t>30</w:t>
            </w:r>
          </w:p>
        </w:tc>
        <w:tc>
          <w:tcPr>
            <w:tcW w:type="dxa" w:w="1440"/>
          </w:tcPr>
          <w:p>
            <w:pPr>
              <w:jc w:val="center"/>
            </w:pPr>
            <w:r/>
            <w:r>
              <w:rPr>
                <w:rFonts w:ascii="Times New Roman" w:hAnsi="Times New Roman"/>
                <w:sz w:val="20"/>
              </w:rPr>
              <w:t>Concrete</w:t>
            </w:r>
          </w:p>
        </w:tc>
        <w:tc>
          <w:tcPr>
            <w:tcW w:type="dxa" w:w="1440"/>
          </w:tcPr>
          <w:p>
            <w:pPr>
              <w:jc w:val="center"/>
            </w:pPr>
            <w:r/>
            <w:r>
              <w:rPr>
                <w:rFonts w:ascii="Times New Roman" w:hAnsi="Times New Roman"/>
                <w:sz w:val="20"/>
              </w:rPr>
              <w:t>3.16843</w:t>
            </w:r>
          </w:p>
        </w:tc>
        <w:tc>
          <w:tcPr>
            <w:tcW w:type="dxa" w:w="1440"/>
          </w:tcPr>
          <w:p>
            <w:pPr>
              <w:jc w:val="center"/>
            </w:pPr>
            <w:r/>
            <w:r>
              <w:rPr>
                <w:rFonts w:ascii="Times New Roman" w:hAnsi="Times New Roman"/>
                <w:sz w:val="20"/>
              </w:rPr>
              <w:t>16.5518</w:t>
            </w:r>
          </w:p>
        </w:tc>
      </w:tr>
      <w:tr>
        <w:tc>
          <w:tcPr>
            <w:tcW w:type="dxa" w:w="1440"/>
          </w:tcPr>
          <w:p>
            <w:pPr>
              <w:jc w:val="center"/>
            </w:pPr>
            <w:r/>
            <w:r>
              <w:rPr>
                <w:rFonts w:ascii="Times New Roman" w:hAnsi="Times New Roman"/>
                <w:sz w:val="20"/>
              </w:rPr>
              <w:t>2</w:t>
            </w:r>
          </w:p>
        </w:tc>
        <w:tc>
          <w:tcPr>
            <w:tcW w:type="dxa" w:w="1440"/>
          </w:tcPr>
          <w:p>
            <w:pPr>
              <w:jc w:val="center"/>
            </w:pPr>
            <w:r/>
            <w:r>
              <w:rPr>
                <w:rFonts w:ascii="Times New Roman" w:hAnsi="Times New Roman"/>
                <w:sz w:val="20"/>
              </w:rPr>
              <w:t>450</w:t>
            </w:r>
          </w:p>
        </w:tc>
        <w:tc>
          <w:tcPr>
            <w:tcW w:type="dxa" w:w="1440"/>
          </w:tcPr>
          <w:p>
            <w:pPr>
              <w:jc w:val="center"/>
            </w:pPr>
            <w:r/>
            <w:r>
              <w:rPr>
                <w:rFonts w:ascii="Times New Roman" w:hAnsi="Times New Roman"/>
                <w:sz w:val="20"/>
              </w:rPr>
              <w:t>40</w:t>
            </w:r>
          </w:p>
        </w:tc>
        <w:tc>
          <w:tcPr>
            <w:tcW w:type="dxa" w:w="1440"/>
          </w:tcPr>
          <w:p>
            <w:pPr>
              <w:jc w:val="center"/>
            </w:pPr>
            <w:r/>
            <w:r>
              <w:rPr>
                <w:rFonts w:ascii="Times New Roman" w:hAnsi="Times New Roman"/>
                <w:sz w:val="20"/>
              </w:rPr>
              <w:t>Concrete</w:t>
            </w:r>
          </w:p>
        </w:tc>
        <w:tc>
          <w:tcPr>
            <w:tcW w:type="dxa" w:w="1440"/>
          </w:tcPr>
          <w:p>
            <w:pPr>
              <w:jc w:val="center"/>
            </w:pPr>
            <w:r/>
            <w:r>
              <w:rPr>
                <w:rFonts w:ascii="Times New Roman" w:hAnsi="Times New Roman"/>
                <w:sz w:val="20"/>
              </w:rPr>
              <w:t>3.16570</w:t>
            </w:r>
          </w:p>
        </w:tc>
        <w:tc>
          <w:tcPr>
            <w:tcW w:type="dxa" w:w="1440"/>
          </w:tcPr>
          <w:p>
            <w:pPr>
              <w:jc w:val="center"/>
            </w:pPr>
            <w:r/>
            <w:r>
              <w:rPr>
                <w:rFonts w:ascii="Times New Roman" w:hAnsi="Times New Roman"/>
                <w:sz w:val="20"/>
              </w:rPr>
              <w:t>15.6057</w:t>
            </w:r>
          </w:p>
        </w:tc>
      </w:tr>
      <w:tr>
        <w:tc>
          <w:tcPr>
            <w:tcW w:type="dxa" w:w="1440"/>
          </w:tcPr>
          <w:p>
            <w:pPr>
              <w:jc w:val="center"/>
            </w:pPr>
            <w:r/>
            <w:r>
              <w:rPr>
                <w:rFonts w:ascii="Times New Roman" w:hAnsi="Times New Roman"/>
                <w:sz w:val="20"/>
              </w:rPr>
              <w:t>3</w:t>
            </w:r>
          </w:p>
        </w:tc>
        <w:tc>
          <w:tcPr>
            <w:tcW w:type="dxa" w:w="1440"/>
          </w:tcPr>
          <w:p>
            <w:pPr>
              <w:jc w:val="center"/>
            </w:pPr>
            <w:r/>
            <w:r>
              <w:rPr>
                <w:rFonts w:ascii="Times New Roman" w:hAnsi="Times New Roman"/>
                <w:sz w:val="20"/>
              </w:rPr>
              <w:t>400</w:t>
            </w:r>
          </w:p>
        </w:tc>
        <w:tc>
          <w:tcPr>
            <w:tcW w:type="dxa" w:w="1440"/>
          </w:tcPr>
          <w:p>
            <w:pPr>
              <w:jc w:val="center"/>
            </w:pPr>
            <w:r/>
            <w:r>
              <w:rPr>
                <w:rFonts w:ascii="Times New Roman" w:hAnsi="Times New Roman"/>
                <w:sz w:val="20"/>
              </w:rPr>
              <w:t>30</w:t>
            </w:r>
          </w:p>
        </w:tc>
        <w:tc>
          <w:tcPr>
            <w:tcW w:type="dxa" w:w="1440"/>
          </w:tcPr>
          <w:p>
            <w:pPr>
              <w:jc w:val="center"/>
            </w:pPr>
            <w:r/>
            <w:r>
              <w:rPr>
                <w:rFonts w:ascii="Times New Roman" w:hAnsi="Times New Roman"/>
                <w:sz w:val="20"/>
              </w:rPr>
              <w:t>Concrete</w:t>
            </w:r>
          </w:p>
        </w:tc>
        <w:tc>
          <w:tcPr>
            <w:tcW w:type="dxa" w:w="1440"/>
          </w:tcPr>
          <w:p>
            <w:pPr>
              <w:jc w:val="center"/>
            </w:pPr>
            <w:r/>
            <w:r>
              <w:rPr>
                <w:rFonts w:ascii="Times New Roman" w:hAnsi="Times New Roman"/>
                <w:sz w:val="20"/>
              </w:rPr>
              <w:t>3.16521</w:t>
            </w:r>
          </w:p>
        </w:tc>
        <w:tc>
          <w:tcPr>
            <w:tcW w:type="dxa" w:w="1440"/>
          </w:tcPr>
          <w:p>
            <w:pPr>
              <w:jc w:val="center"/>
            </w:pPr>
            <w:r/>
            <w:r>
              <w:rPr>
                <w:rFonts w:ascii="Times New Roman" w:hAnsi="Times New Roman"/>
                <w:sz w:val="20"/>
              </w:rPr>
              <w:t>16.3917</w:t>
            </w:r>
          </w:p>
        </w:tc>
      </w:tr>
      <w:tr>
        <w:tc>
          <w:tcPr>
            <w:tcW w:type="dxa" w:w="1440"/>
          </w:tcPr>
          <w:p>
            <w:pPr>
              <w:jc w:val="center"/>
            </w:pPr>
            <w:r/>
            <w:r>
              <w:rPr>
                <w:rFonts w:ascii="Times New Roman" w:hAnsi="Times New Roman"/>
                <w:sz w:val="20"/>
              </w:rPr>
              <w:t>4</w:t>
            </w:r>
          </w:p>
        </w:tc>
        <w:tc>
          <w:tcPr>
            <w:tcW w:type="dxa" w:w="1440"/>
          </w:tcPr>
          <w:p>
            <w:pPr>
              <w:jc w:val="center"/>
            </w:pPr>
            <w:r/>
            <w:r>
              <w:rPr>
                <w:rFonts w:ascii="Times New Roman" w:hAnsi="Times New Roman"/>
                <w:sz w:val="20"/>
              </w:rPr>
              <w:t>400</w:t>
            </w:r>
          </w:p>
        </w:tc>
        <w:tc>
          <w:tcPr>
            <w:tcW w:type="dxa" w:w="1440"/>
          </w:tcPr>
          <w:p>
            <w:pPr>
              <w:jc w:val="center"/>
            </w:pPr>
            <w:r/>
            <w:r>
              <w:rPr>
                <w:rFonts w:ascii="Times New Roman" w:hAnsi="Times New Roman"/>
                <w:sz w:val="20"/>
              </w:rPr>
              <w:t>40</w:t>
            </w:r>
          </w:p>
        </w:tc>
        <w:tc>
          <w:tcPr>
            <w:tcW w:type="dxa" w:w="1440"/>
          </w:tcPr>
          <w:p>
            <w:pPr>
              <w:jc w:val="center"/>
            </w:pPr>
            <w:r/>
            <w:r>
              <w:rPr>
                <w:rFonts w:ascii="Times New Roman" w:hAnsi="Times New Roman"/>
                <w:sz w:val="20"/>
              </w:rPr>
              <w:t>Concrete</w:t>
            </w:r>
          </w:p>
        </w:tc>
        <w:tc>
          <w:tcPr>
            <w:tcW w:type="dxa" w:w="1440"/>
          </w:tcPr>
          <w:p>
            <w:pPr>
              <w:jc w:val="center"/>
            </w:pPr>
            <w:r/>
            <w:r>
              <w:rPr>
                <w:rFonts w:ascii="Times New Roman" w:hAnsi="Times New Roman"/>
                <w:sz w:val="20"/>
              </w:rPr>
              <w:t>3.16258</w:t>
            </w:r>
          </w:p>
        </w:tc>
        <w:tc>
          <w:tcPr>
            <w:tcW w:type="dxa" w:w="1440"/>
          </w:tcPr>
          <w:p>
            <w:pPr>
              <w:jc w:val="center"/>
            </w:pPr>
            <w:r/>
            <w:r>
              <w:rPr>
                <w:rFonts w:ascii="Times New Roman" w:hAnsi="Times New Roman"/>
                <w:sz w:val="20"/>
              </w:rPr>
              <w:t>15.4506</w:t>
            </w:r>
          </w:p>
        </w:tc>
      </w:tr>
      <w:tr>
        <w:tc>
          <w:tcPr>
            <w:tcW w:type="dxa" w:w="1440"/>
          </w:tcPr>
          <w:p>
            <w:pPr>
              <w:jc w:val="center"/>
            </w:pPr>
            <w:r/>
            <w:r>
              <w:rPr>
                <w:rFonts w:ascii="Times New Roman" w:hAnsi="Times New Roman"/>
                <w:sz w:val="20"/>
              </w:rPr>
              <w:t>5</w:t>
            </w:r>
          </w:p>
        </w:tc>
        <w:tc>
          <w:tcPr>
            <w:tcW w:type="dxa" w:w="1440"/>
          </w:tcPr>
          <w:p>
            <w:pPr>
              <w:jc w:val="center"/>
            </w:pPr>
            <w:r/>
            <w:r>
              <w:rPr>
                <w:rFonts w:ascii="Times New Roman" w:hAnsi="Times New Roman"/>
                <w:sz w:val="20"/>
              </w:rPr>
              <w:t>350</w:t>
            </w:r>
          </w:p>
        </w:tc>
        <w:tc>
          <w:tcPr>
            <w:tcW w:type="dxa" w:w="1440"/>
          </w:tcPr>
          <w:p>
            <w:pPr>
              <w:jc w:val="center"/>
            </w:pPr>
            <w:r/>
            <w:r>
              <w:rPr>
                <w:rFonts w:ascii="Times New Roman" w:hAnsi="Times New Roman"/>
                <w:sz w:val="20"/>
              </w:rPr>
              <w:t>30</w:t>
            </w:r>
          </w:p>
        </w:tc>
        <w:tc>
          <w:tcPr>
            <w:tcW w:type="dxa" w:w="1440"/>
          </w:tcPr>
          <w:p>
            <w:pPr>
              <w:jc w:val="center"/>
            </w:pPr>
            <w:r/>
            <w:r>
              <w:rPr>
                <w:rFonts w:ascii="Times New Roman" w:hAnsi="Times New Roman"/>
                <w:sz w:val="20"/>
              </w:rPr>
              <w:t>Concrete</w:t>
            </w:r>
          </w:p>
        </w:tc>
        <w:tc>
          <w:tcPr>
            <w:tcW w:type="dxa" w:w="1440"/>
          </w:tcPr>
          <w:p>
            <w:pPr>
              <w:jc w:val="center"/>
            </w:pPr>
            <w:r/>
            <w:r>
              <w:rPr>
                <w:rFonts w:ascii="Times New Roman" w:hAnsi="Times New Roman"/>
                <w:sz w:val="20"/>
              </w:rPr>
              <w:t>3.16113</w:t>
            </w:r>
          </w:p>
        </w:tc>
        <w:tc>
          <w:tcPr>
            <w:tcW w:type="dxa" w:w="1440"/>
          </w:tcPr>
          <w:p>
            <w:pPr>
              <w:jc w:val="center"/>
            </w:pPr>
            <w:r/>
            <w:r>
              <w:rPr>
                <w:rFonts w:ascii="Times New Roman" w:hAnsi="Times New Roman"/>
                <w:sz w:val="20"/>
              </w:rPr>
              <w:t>16.1891</w:t>
            </w:r>
          </w:p>
        </w:tc>
      </w:tr>
    </w:tbl>
    <w:p>
      <w:pPr>
        <w:spacing w:before="0" w:after="0"/>
      </w:pPr>
    </w:p>
    <w:p>
      <w:pPr>
        <w:spacing w:after="120" w:before="60"/>
        <w:jc w:val="both"/>
      </w:pPr>
      <w:r>
        <w:rPr>
          <w:rFonts w:ascii="Times New Roman" w:hAnsi="Times New Roman"/>
          <w:sz w:val="24"/>
        </w:rPr>
        <w:t>The results show that the highest energy output of 3.168 kWh is achieved at a height of 450 cm and tilt angle of 30 degrees with the concrete surface. The top configurations consistently favor heights of 350–450 cm and tilt angles of 30–40 degrees. The rear gain percentages for the top energy configurations range from 15.45% to 16.55%, indicating significant contribution from the rear surface. The optimal tilt angle of 30 degrees closely approximates the latitude of Greater Noida (28.47°N), which is consistent with the established principle that the optimal tilt angle for annual energy collection is approximately equal to the site latitude.</w:t>
      </w:r>
    </w:p>
    <w:p>
      <w:pPr>
        <w:spacing w:after="120" w:before="60"/>
        <w:jc w:val="both"/>
      </w:pPr>
      <w:r>
        <w:rPr>
          <w:rFonts w:ascii="Times New Roman" w:hAnsi="Times New Roman"/>
          <w:sz w:val="24"/>
        </w:rPr>
        <w:t>It is noteworthy that the difference in total energy between the first-ranked and fifth-ranked configurations is only approximately 0.23%, indicating that the system performance is relatively robust to small variations in the installation parameters near the optimal configuration. This finding is practically significant as it implies that minor deviations from the theoretically optimal configuration due to site-specific constraints will have minimal impact on overall system performance.</w:t>
      </w:r>
    </w:p>
    <w:p>
      <w:pPr>
        <w:spacing w:before="240" w:after="120"/>
        <w:jc w:val="left"/>
      </w:pPr>
      <w:r>
        <w:rPr>
          <w:rFonts w:ascii="Times New Roman" w:hAnsi="Times New Roman"/>
          <w:b/>
          <w:sz w:val="28"/>
        </w:rPr>
        <w:t>4.5  Optimal Configuration: Maximum Rear Gain</w:t>
      </w:r>
    </w:p>
    <w:p>
      <w:pPr>
        <w:spacing w:after="120" w:before="60"/>
        <w:jc w:val="both"/>
      </w:pPr>
      <w:r>
        <w:rPr>
          <w:rFonts w:ascii="Times New Roman" w:hAnsi="Times New Roman"/>
          <w:sz w:val="24"/>
        </w:rPr>
        <w:t>Table 4.2 presents the top five configurations ranked by maximum rear gain percentage. This optimization objective prioritizes maximizing the relative contribution of the rear surface to the total energy output, which may be relevant for applications where the rear-side performance enhancement is of primary interest.</w:t>
      </w:r>
    </w:p>
    <w:p>
      <w:pPr>
        <w:spacing w:before="240" w:after="120"/>
        <w:jc w:val="center"/>
      </w:pPr>
      <w:r>
        <w:rPr>
          <w:rFonts w:ascii="Times New Roman" w:hAnsi="Times New Roman"/>
          <w:b/>
          <w:sz w:val="24"/>
        </w:rPr>
        <w:t>Table 4.2: Maximum Rear Gain Based Optimal Configuration (Top 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b/>
                <w:sz w:val="20"/>
              </w:rPr>
              <w:t>Rank</w:t>
            </w:r>
          </w:p>
        </w:tc>
        <w:tc>
          <w:tcPr>
            <w:tcW w:type="dxa" w:w="1440"/>
          </w:tcPr>
          <w:p>
            <w:pPr>
              <w:jc w:val="center"/>
            </w:pPr>
            <w:r/>
            <w:r>
              <w:rPr>
                <w:rFonts w:ascii="Times New Roman" w:hAnsi="Times New Roman"/>
                <w:b/>
                <w:sz w:val="20"/>
              </w:rPr>
              <w:t>Height (cm)</w:t>
            </w:r>
          </w:p>
        </w:tc>
        <w:tc>
          <w:tcPr>
            <w:tcW w:type="dxa" w:w="1440"/>
          </w:tcPr>
          <w:p>
            <w:pPr>
              <w:jc w:val="center"/>
            </w:pPr>
            <w:r/>
            <w:r>
              <w:rPr>
                <w:rFonts w:ascii="Times New Roman" w:hAnsi="Times New Roman"/>
                <w:b/>
                <w:sz w:val="20"/>
              </w:rPr>
              <w:t>Tilt (°)</w:t>
            </w:r>
          </w:p>
        </w:tc>
        <w:tc>
          <w:tcPr>
            <w:tcW w:type="dxa" w:w="1440"/>
          </w:tcPr>
          <w:p>
            <w:pPr>
              <w:jc w:val="center"/>
            </w:pPr>
            <w:r/>
            <w:r>
              <w:rPr>
                <w:rFonts w:ascii="Times New Roman" w:hAnsi="Times New Roman"/>
                <w:b/>
                <w:sz w:val="20"/>
              </w:rPr>
              <w:t>Surface</w:t>
            </w:r>
          </w:p>
        </w:tc>
        <w:tc>
          <w:tcPr>
            <w:tcW w:type="dxa" w:w="1440"/>
          </w:tcPr>
          <w:p>
            <w:pPr>
              <w:jc w:val="center"/>
            </w:pPr>
            <w:r/>
            <w:r>
              <w:rPr>
                <w:rFonts w:ascii="Times New Roman" w:hAnsi="Times New Roman"/>
                <w:b/>
                <w:sz w:val="20"/>
              </w:rPr>
              <w:t>Energy (kWh)</w:t>
            </w:r>
          </w:p>
        </w:tc>
        <w:tc>
          <w:tcPr>
            <w:tcW w:type="dxa" w:w="1440"/>
          </w:tcPr>
          <w:p>
            <w:pPr>
              <w:jc w:val="center"/>
            </w:pPr>
            <w:r/>
            <w:r>
              <w:rPr>
                <w:rFonts w:ascii="Times New Roman" w:hAnsi="Times New Roman"/>
                <w:b/>
                <w:sz w:val="20"/>
              </w:rPr>
              <w:t>Rear Gain (%)</w:t>
            </w:r>
          </w:p>
        </w:tc>
      </w:tr>
      <w:tr>
        <w:tc>
          <w:tcPr>
            <w:tcW w:type="dxa" w:w="1440"/>
          </w:tcPr>
          <w:p>
            <w:pPr>
              <w:jc w:val="center"/>
            </w:pPr>
            <w:r/>
            <w:r>
              <w:rPr>
                <w:rFonts w:ascii="Times New Roman" w:hAnsi="Times New Roman"/>
                <w:sz w:val="20"/>
              </w:rPr>
              <w:t>1</w:t>
            </w:r>
          </w:p>
        </w:tc>
        <w:tc>
          <w:tcPr>
            <w:tcW w:type="dxa" w:w="1440"/>
          </w:tcPr>
          <w:p>
            <w:pPr>
              <w:jc w:val="center"/>
            </w:pPr>
            <w:r/>
            <w:r>
              <w:rPr>
                <w:rFonts w:ascii="Times New Roman" w:hAnsi="Times New Roman"/>
                <w:sz w:val="20"/>
              </w:rPr>
              <w:t>450</w:t>
            </w:r>
          </w:p>
        </w:tc>
        <w:tc>
          <w:tcPr>
            <w:tcW w:type="dxa" w:w="1440"/>
          </w:tcPr>
          <w:p>
            <w:pPr>
              <w:jc w:val="center"/>
            </w:pPr>
            <w:r/>
            <w:r>
              <w:rPr>
                <w:rFonts w:ascii="Times New Roman" w:hAnsi="Times New Roman"/>
                <w:sz w:val="20"/>
              </w:rPr>
              <w:t>10</w:t>
            </w:r>
          </w:p>
        </w:tc>
        <w:tc>
          <w:tcPr>
            <w:tcW w:type="dxa" w:w="1440"/>
          </w:tcPr>
          <w:p>
            <w:pPr>
              <w:jc w:val="center"/>
            </w:pPr>
            <w:r/>
            <w:r>
              <w:rPr>
                <w:rFonts w:ascii="Times New Roman" w:hAnsi="Times New Roman"/>
                <w:sz w:val="20"/>
              </w:rPr>
              <w:t>Concrete</w:t>
            </w:r>
          </w:p>
        </w:tc>
        <w:tc>
          <w:tcPr>
            <w:tcW w:type="dxa" w:w="1440"/>
          </w:tcPr>
          <w:p>
            <w:pPr>
              <w:jc w:val="center"/>
            </w:pPr>
            <w:r/>
            <w:r>
              <w:rPr>
                <w:rFonts w:ascii="Times New Roman" w:hAnsi="Times New Roman"/>
                <w:sz w:val="20"/>
              </w:rPr>
              <w:t>2.99422</w:t>
            </w:r>
          </w:p>
        </w:tc>
        <w:tc>
          <w:tcPr>
            <w:tcW w:type="dxa" w:w="1440"/>
          </w:tcPr>
          <w:p>
            <w:pPr>
              <w:jc w:val="center"/>
            </w:pPr>
            <w:r/>
            <w:r>
              <w:rPr>
                <w:rFonts w:ascii="Times New Roman" w:hAnsi="Times New Roman"/>
                <w:sz w:val="20"/>
              </w:rPr>
              <w:t>17.8989</w:t>
            </w:r>
          </w:p>
        </w:tc>
      </w:tr>
      <w:tr>
        <w:tc>
          <w:tcPr>
            <w:tcW w:type="dxa" w:w="1440"/>
          </w:tcPr>
          <w:p>
            <w:pPr>
              <w:jc w:val="center"/>
            </w:pPr>
            <w:r/>
            <w:r>
              <w:rPr>
                <w:rFonts w:ascii="Times New Roman" w:hAnsi="Times New Roman"/>
                <w:sz w:val="20"/>
              </w:rPr>
              <w:t>2</w:t>
            </w:r>
          </w:p>
        </w:tc>
        <w:tc>
          <w:tcPr>
            <w:tcW w:type="dxa" w:w="1440"/>
          </w:tcPr>
          <w:p>
            <w:pPr>
              <w:jc w:val="center"/>
            </w:pPr>
            <w:r/>
            <w:r>
              <w:rPr>
                <w:rFonts w:ascii="Times New Roman" w:hAnsi="Times New Roman"/>
                <w:sz w:val="20"/>
              </w:rPr>
              <w:t>400</w:t>
            </w:r>
          </w:p>
        </w:tc>
        <w:tc>
          <w:tcPr>
            <w:tcW w:type="dxa" w:w="1440"/>
          </w:tcPr>
          <w:p>
            <w:pPr>
              <w:jc w:val="center"/>
            </w:pPr>
            <w:r/>
            <w:r>
              <w:rPr>
                <w:rFonts w:ascii="Times New Roman" w:hAnsi="Times New Roman"/>
                <w:sz w:val="20"/>
              </w:rPr>
              <w:t>10</w:t>
            </w:r>
          </w:p>
        </w:tc>
        <w:tc>
          <w:tcPr>
            <w:tcW w:type="dxa" w:w="1440"/>
          </w:tcPr>
          <w:p>
            <w:pPr>
              <w:jc w:val="center"/>
            </w:pPr>
            <w:r/>
            <w:r>
              <w:rPr>
                <w:rFonts w:ascii="Times New Roman" w:hAnsi="Times New Roman"/>
                <w:sz w:val="20"/>
              </w:rPr>
              <w:t>Concrete</w:t>
            </w:r>
          </w:p>
        </w:tc>
        <w:tc>
          <w:tcPr>
            <w:tcW w:type="dxa" w:w="1440"/>
          </w:tcPr>
          <w:p>
            <w:pPr>
              <w:jc w:val="center"/>
            </w:pPr>
            <w:r/>
            <w:r>
              <w:rPr>
                <w:rFonts w:ascii="Times New Roman" w:hAnsi="Times New Roman"/>
                <w:sz w:val="20"/>
              </w:rPr>
              <w:t>2.99130</w:t>
            </w:r>
          </w:p>
        </w:tc>
        <w:tc>
          <w:tcPr>
            <w:tcW w:type="dxa" w:w="1440"/>
          </w:tcPr>
          <w:p>
            <w:pPr>
              <w:jc w:val="center"/>
            </w:pPr>
            <w:r/>
            <w:r>
              <w:rPr>
                <w:rFonts w:ascii="Times New Roman" w:hAnsi="Times New Roman"/>
                <w:sz w:val="20"/>
              </w:rPr>
              <w:t>17.7561</w:t>
            </w:r>
          </w:p>
        </w:tc>
      </w:tr>
      <w:tr>
        <w:tc>
          <w:tcPr>
            <w:tcW w:type="dxa" w:w="1440"/>
          </w:tcPr>
          <w:p>
            <w:pPr>
              <w:jc w:val="center"/>
            </w:pPr>
            <w:r/>
            <w:r>
              <w:rPr>
                <w:rFonts w:ascii="Times New Roman" w:hAnsi="Times New Roman"/>
                <w:sz w:val="20"/>
              </w:rPr>
              <w:t>3</w:t>
            </w:r>
          </w:p>
        </w:tc>
        <w:tc>
          <w:tcPr>
            <w:tcW w:type="dxa" w:w="1440"/>
          </w:tcPr>
          <w:p>
            <w:pPr>
              <w:jc w:val="center"/>
            </w:pPr>
            <w:r/>
            <w:r>
              <w:rPr>
                <w:rFonts w:ascii="Times New Roman" w:hAnsi="Times New Roman"/>
                <w:sz w:val="20"/>
              </w:rPr>
              <w:t>350</w:t>
            </w:r>
          </w:p>
        </w:tc>
        <w:tc>
          <w:tcPr>
            <w:tcW w:type="dxa" w:w="1440"/>
          </w:tcPr>
          <w:p>
            <w:pPr>
              <w:jc w:val="center"/>
            </w:pPr>
            <w:r/>
            <w:r>
              <w:rPr>
                <w:rFonts w:ascii="Times New Roman" w:hAnsi="Times New Roman"/>
                <w:sz w:val="20"/>
              </w:rPr>
              <w:t>10</w:t>
            </w:r>
          </w:p>
        </w:tc>
        <w:tc>
          <w:tcPr>
            <w:tcW w:type="dxa" w:w="1440"/>
          </w:tcPr>
          <w:p>
            <w:pPr>
              <w:jc w:val="center"/>
            </w:pPr>
            <w:r/>
            <w:r>
              <w:rPr>
                <w:rFonts w:ascii="Times New Roman" w:hAnsi="Times New Roman"/>
                <w:sz w:val="20"/>
              </w:rPr>
              <w:t>Concrete</w:t>
            </w:r>
          </w:p>
        </w:tc>
        <w:tc>
          <w:tcPr>
            <w:tcW w:type="dxa" w:w="1440"/>
          </w:tcPr>
          <w:p>
            <w:pPr>
              <w:jc w:val="center"/>
            </w:pPr>
            <w:r/>
            <w:r>
              <w:rPr>
                <w:rFonts w:ascii="Times New Roman" w:hAnsi="Times New Roman"/>
                <w:sz w:val="20"/>
              </w:rPr>
              <w:t>2.98755</w:t>
            </w:r>
          </w:p>
        </w:tc>
        <w:tc>
          <w:tcPr>
            <w:tcW w:type="dxa" w:w="1440"/>
          </w:tcPr>
          <w:p>
            <w:pPr>
              <w:jc w:val="center"/>
            </w:pPr>
            <w:r/>
            <w:r>
              <w:rPr>
                <w:rFonts w:ascii="Times New Roman" w:hAnsi="Times New Roman"/>
                <w:sz w:val="20"/>
              </w:rPr>
              <w:t>17.5731</w:t>
            </w:r>
          </w:p>
        </w:tc>
      </w:tr>
      <w:tr>
        <w:tc>
          <w:tcPr>
            <w:tcW w:type="dxa" w:w="1440"/>
          </w:tcPr>
          <w:p>
            <w:pPr>
              <w:jc w:val="center"/>
            </w:pPr>
            <w:r/>
            <w:r>
              <w:rPr>
                <w:rFonts w:ascii="Times New Roman" w:hAnsi="Times New Roman"/>
                <w:sz w:val="20"/>
              </w:rPr>
              <w:t>4</w:t>
            </w:r>
          </w:p>
        </w:tc>
        <w:tc>
          <w:tcPr>
            <w:tcW w:type="dxa" w:w="1440"/>
          </w:tcPr>
          <w:p>
            <w:pPr>
              <w:jc w:val="center"/>
            </w:pPr>
            <w:r/>
            <w:r>
              <w:rPr>
                <w:rFonts w:ascii="Times New Roman" w:hAnsi="Times New Roman"/>
                <w:sz w:val="20"/>
              </w:rPr>
              <w:t>300</w:t>
            </w:r>
          </w:p>
        </w:tc>
        <w:tc>
          <w:tcPr>
            <w:tcW w:type="dxa" w:w="1440"/>
          </w:tcPr>
          <w:p>
            <w:pPr>
              <w:jc w:val="center"/>
            </w:pPr>
            <w:r/>
            <w:r>
              <w:rPr>
                <w:rFonts w:ascii="Times New Roman" w:hAnsi="Times New Roman"/>
                <w:sz w:val="20"/>
              </w:rPr>
              <w:t>10</w:t>
            </w:r>
          </w:p>
        </w:tc>
        <w:tc>
          <w:tcPr>
            <w:tcW w:type="dxa" w:w="1440"/>
          </w:tcPr>
          <w:p>
            <w:pPr>
              <w:jc w:val="center"/>
            </w:pPr>
            <w:r/>
            <w:r>
              <w:rPr>
                <w:rFonts w:ascii="Times New Roman" w:hAnsi="Times New Roman"/>
                <w:sz w:val="20"/>
              </w:rPr>
              <w:t>Concrete</w:t>
            </w:r>
          </w:p>
        </w:tc>
        <w:tc>
          <w:tcPr>
            <w:tcW w:type="dxa" w:w="1440"/>
          </w:tcPr>
          <w:p>
            <w:pPr>
              <w:jc w:val="center"/>
            </w:pPr>
            <w:r/>
            <w:r>
              <w:rPr>
                <w:rFonts w:ascii="Times New Roman" w:hAnsi="Times New Roman"/>
                <w:sz w:val="20"/>
              </w:rPr>
              <w:t>2.98258</w:t>
            </w:r>
          </w:p>
        </w:tc>
        <w:tc>
          <w:tcPr>
            <w:tcW w:type="dxa" w:w="1440"/>
          </w:tcPr>
          <w:p>
            <w:pPr>
              <w:jc w:val="center"/>
            </w:pPr>
            <w:r/>
            <w:r>
              <w:rPr>
                <w:rFonts w:ascii="Times New Roman" w:hAnsi="Times New Roman"/>
                <w:sz w:val="20"/>
              </w:rPr>
              <w:t>17.3301</w:t>
            </w:r>
          </w:p>
        </w:tc>
      </w:tr>
      <w:tr>
        <w:tc>
          <w:tcPr>
            <w:tcW w:type="dxa" w:w="1440"/>
          </w:tcPr>
          <w:p>
            <w:pPr>
              <w:jc w:val="center"/>
            </w:pPr>
            <w:r/>
            <w:r>
              <w:rPr>
                <w:rFonts w:ascii="Times New Roman" w:hAnsi="Times New Roman"/>
                <w:sz w:val="20"/>
              </w:rPr>
              <w:t>5</w:t>
            </w:r>
          </w:p>
        </w:tc>
        <w:tc>
          <w:tcPr>
            <w:tcW w:type="dxa" w:w="1440"/>
          </w:tcPr>
          <w:p>
            <w:pPr>
              <w:jc w:val="center"/>
            </w:pPr>
            <w:r/>
            <w:r>
              <w:rPr>
                <w:rFonts w:ascii="Times New Roman" w:hAnsi="Times New Roman"/>
                <w:sz w:val="20"/>
              </w:rPr>
              <w:t>450</w:t>
            </w:r>
          </w:p>
        </w:tc>
        <w:tc>
          <w:tcPr>
            <w:tcW w:type="dxa" w:w="1440"/>
          </w:tcPr>
          <w:p>
            <w:pPr>
              <w:jc w:val="center"/>
            </w:pPr>
            <w:r/>
            <w:r>
              <w:rPr>
                <w:rFonts w:ascii="Times New Roman" w:hAnsi="Times New Roman"/>
                <w:sz w:val="20"/>
              </w:rPr>
              <w:t>20</w:t>
            </w:r>
          </w:p>
        </w:tc>
        <w:tc>
          <w:tcPr>
            <w:tcW w:type="dxa" w:w="1440"/>
          </w:tcPr>
          <w:p>
            <w:pPr>
              <w:jc w:val="center"/>
            </w:pPr>
            <w:r/>
            <w:r>
              <w:rPr>
                <w:rFonts w:ascii="Times New Roman" w:hAnsi="Times New Roman"/>
                <w:sz w:val="20"/>
              </w:rPr>
              <w:t>Concrete</w:t>
            </w:r>
          </w:p>
        </w:tc>
        <w:tc>
          <w:tcPr>
            <w:tcW w:type="dxa" w:w="1440"/>
          </w:tcPr>
          <w:p>
            <w:pPr>
              <w:jc w:val="center"/>
            </w:pPr>
            <w:r/>
            <w:r>
              <w:rPr>
                <w:rFonts w:ascii="Times New Roman" w:hAnsi="Times New Roman"/>
                <w:sz w:val="20"/>
              </w:rPr>
              <w:t>3.11109</w:t>
            </w:r>
          </w:p>
        </w:tc>
        <w:tc>
          <w:tcPr>
            <w:tcW w:type="dxa" w:w="1440"/>
          </w:tcPr>
          <w:p>
            <w:pPr>
              <w:jc w:val="center"/>
            </w:pPr>
            <w:r/>
            <w:r>
              <w:rPr>
                <w:rFonts w:ascii="Times New Roman" w:hAnsi="Times New Roman"/>
                <w:sz w:val="20"/>
              </w:rPr>
              <w:t>17.3252</w:t>
            </w:r>
          </w:p>
        </w:tc>
      </w:tr>
    </w:tbl>
    <w:p>
      <w:pPr>
        <w:spacing w:before="0" w:after="0"/>
      </w:pPr>
    </w:p>
    <w:p>
      <w:pPr>
        <w:spacing w:after="120" w:before="60"/>
        <w:jc w:val="both"/>
      </w:pPr>
      <w:r>
        <w:rPr>
          <w:rFonts w:ascii="Times New Roman" w:hAnsi="Times New Roman"/>
          <w:sz w:val="24"/>
        </w:rPr>
        <w:t>When the optimization objective is shifted to maximum rear gain, a distinctly different set of optimal configurations emerges. The highest rear gain of 17.90% is achieved at a height of 450 cm and a lower tilt angle of 10 degrees. This is because lower tilt angles increase the ground view factor for the rear surface, allowing more ground-reflected radiation to reach the rear side of the module. The ground view factor for the rear surface increases as the tilt angle decreases because the rear surface becomes more nearly parallel to the ground, thereby viewing a larger ground area.</w:t>
      </w:r>
    </w:p>
    <w:p>
      <w:pPr>
        <w:spacing w:after="120" w:before="60"/>
        <w:jc w:val="both"/>
      </w:pPr>
      <w:r>
        <w:rPr>
          <w:rFonts w:ascii="Times New Roman" w:hAnsi="Times New Roman"/>
          <w:sz w:val="24"/>
        </w:rPr>
        <w:t>However, the total energy output for these configurations (2.994 kWh) is approximately 5.5% lower compared to the maximum energy configurations (3.168 kWh), illustrating the trade-off between total energy maximization and rear gain maximization. This trade-off arises because low tilt angles reduce the direct beam component on the front surface, which more than offsets the increased rear-side contribution. The PV system designer can choose the appropriate optimization objective based on their specific requirements and priorities.</w:t>
      </w:r>
    </w:p>
    <w:p>
      <w:pPr>
        <w:spacing w:before="240" w:after="120"/>
        <w:jc w:val="left"/>
      </w:pPr>
      <w:r>
        <w:rPr>
          <w:rFonts w:ascii="Times New Roman" w:hAnsi="Times New Roman"/>
          <w:b/>
          <w:sz w:val="28"/>
        </w:rPr>
        <w:t>4.6  Individual Parameter Variation Analysis</w:t>
      </w:r>
    </w:p>
    <w:p>
      <w:pPr>
        <w:spacing w:after="120" w:before="60"/>
        <w:jc w:val="both"/>
      </w:pPr>
      <w:r>
        <w:rPr>
          <w:rFonts w:ascii="Times New Roman" w:hAnsi="Times New Roman"/>
          <w:sz w:val="24"/>
        </w:rPr>
        <w:t>In addition to the combined parametric sweep, the framework provides a provision for fixing two parameters and varying the third to obtain focused analyses of individual parameter effects. This feature makes the platform dynamic and adaptable to the practical needs of PV system designers who may wish to understand the sensitivity of system performance to specific parameters.</w:t>
      </w:r>
    </w:p>
    <w:p>
      <w:pPr>
        <w:spacing w:before="0" w:after="0"/>
      </w:pPr>
    </w:p>
    <w:p>
      <w:pPr>
        <w:spacing w:after="120" w:before="60"/>
        <w:jc w:val="center"/>
      </w:pPr>
      <w:r>
        <w:rPr>
          <w:rFonts w:ascii="Times New Roman" w:hAnsi="Times New Roman"/>
          <w:sz w:val="24"/>
        </w:rPr>
        <w:t>[Insert Figure 4.3 here]</w:t>
      </w:r>
    </w:p>
    <w:p>
      <w:pPr>
        <w:spacing w:after="120" w:before="60"/>
        <w:jc w:val="center"/>
      </w:pPr>
      <w:r>
        <w:rPr>
          <w:rFonts w:ascii="Times New Roman" w:hAnsi="Times New Roman"/>
          <w:sz w:val="24"/>
        </w:rPr>
        <w:t>Figure 4.3: Frontend interface for fixing two parameters and varying third</w:t>
      </w:r>
    </w:p>
    <w:p>
      <w:pPr>
        <w:spacing w:before="0" w:after="0"/>
      </w:pPr>
    </w:p>
    <w:p>
      <w:pPr>
        <w:spacing w:before="240" w:after="120"/>
        <w:jc w:val="left"/>
      </w:pPr>
      <w:r>
        <w:rPr>
          <w:rFonts w:ascii="Times New Roman" w:hAnsi="Times New Roman"/>
          <w:b/>
          <w:sz w:val="24"/>
        </w:rPr>
        <w:t>4.6.1  Effect of Albedo Variation</w:t>
      </w:r>
    </w:p>
    <w:p>
      <w:pPr>
        <w:spacing w:after="120" w:before="60"/>
        <w:jc w:val="both"/>
      </w:pPr>
      <w:r>
        <w:rPr>
          <w:rFonts w:ascii="Times New Roman" w:hAnsi="Times New Roman"/>
          <w:sz w:val="24"/>
        </w:rPr>
        <w:t>Figure 4.4 shows the variation of rear share of effective irradiance when varying the albedo (surface type) with the following fixed parameters: tilt angle of 20 degrees, height of 100 cm, azimuthal angle of 180 degrees, and bifaciality of 0.7. The results demonstrate that the rear gain share increases monotonically with increasing albedo value, confirming the expected linear relationship between ground reflectivity and rear-side irradiance contribution.</w:t>
      </w:r>
    </w:p>
    <w:p>
      <w:pPr>
        <w:spacing w:after="120" w:before="60"/>
        <w:jc w:val="both"/>
      </w:pPr>
      <w:r>
        <w:rPr>
          <w:rFonts w:ascii="Times New Roman" w:hAnsi="Times New Roman"/>
          <w:sz w:val="24"/>
        </w:rPr>
        <w:t>The highest rear gain share of 24.72% was achieved for the aluminum surface (albedo = 0.85), confirming the strong dependence of rear-side performance on ground surface reflectivity. Low-albedo surfaces such as dry asphalt (albedo approximately 0.12) produced rear gain values below 5%, while moderate-albedo surfaces such as concrete (albedo approximately 0.30) yielded intermediate values of approximately 10–12%. These findings are consistent with the results reported by Dincer and Ozer [11], who found that aluminum surfaces provided the highest rear-surface energy generation of 21.2%, and by Ganesan et al. [20] who reported an average bifacial gain of 21.4% from aluminum surfaces.</w:t>
      </w:r>
    </w:p>
    <w:p>
      <w:pPr>
        <w:spacing w:after="120" w:before="60"/>
        <w:jc w:val="both"/>
      </w:pPr>
      <w:r>
        <w:rPr>
          <w:rFonts w:ascii="Times New Roman" w:hAnsi="Times New Roman"/>
          <w:sz w:val="24"/>
        </w:rPr>
        <w:t>The near-linear relationship between albedo and rear gain observed in the results is consistent with the mathematical formulation in equation (10), where the ground-reflected irradiance is directly proportional to the albedo coefficient. This linear dependency has been independently confirmed by Yusufoglu et al. [18] in their simulation study and validates the implementation of the rear-side irradiance model in the proposed framework.</w:t>
      </w:r>
    </w:p>
    <w:p>
      <w:pPr>
        <w:spacing w:before="0" w:after="0"/>
      </w:pPr>
    </w:p>
    <w:p>
      <w:pPr>
        <w:spacing w:after="120" w:before="60"/>
        <w:jc w:val="center"/>
      </w:pPr>
      <w:r>
        <w:rPr>
          <w:rFonts w:ascii="Times New Roman" w:hAnsi="Times New Roman"/>
          <w:sz w:val="24"/>
        </w:rPr>
        <w:t>[Insert Figure 4.4 here]</w:t>
      </w:r>
    </w:p>
    <w:p>
      <w:pPr>
        <w:spacing w:after="120" w:before="60"/>
        <w:jc w:val="center"/>
      </w:pPr>
      <w:r>
        <w:rPr>
          <w:rFonts w:ascii="Times New Roman" w:hAnsi="Times New Roman"/>
          <w:sz w:val="24"/>
        </w:rPr>
        <w:t>Figure 4.4: Rear share of effective irradiance on varying albedo</w:t>
      </w:r>
    </w:p>
    <w:p>
      <w:pPr>
        <w:spacing w:before="0" w:after="0"/>
      </w:pPr>
    </w:p>
    <w:p>
      <w:pPr>
        <w:spacing w:before="240" w:after="120"/>
        <w:jc w:val="left"/>
      </w:pPr>
      <w:r>
        <w:rPr>
          <w:rFonts w:ascii="Times New Roman" w:hAnsi="Times New Roman"/>
          <w:b/>
          <w:sz w:val="24"/>
        </w:rPr>
        <w:t>4.6.2  Effect of Height Variation</w:t>
      </w:r>
    </w:p>
    <w:p>
      <w:pPr>
        <w:spacing w:after="120" w:before="60"/>
        <w:jc w:val="both"/>
      </w:pPr>
      <w:r>
        <w:rPr>
          <w:rFonts w:ascii="Times New Roman" w:hAnsi="Times New Roman"/>
          <w:sz w:val="24"/>
        </w:rPr>
        <w:t>Figure 4.5 illustrates the variation of rear share of effective irradiance when varying the panel height with the tilt angle fixed at 20 degrees, albedo of 0.18, and all other factors remaining constant. The results show that rear gain increases with panel height, achieving 6.61% for a panel height of 100 cm. The rate of increase diminishes at higher elevations, consistent with the near-logarithmic dependence of rear-side performance on module elevation demonstrated by Yusufoglu et al. [18].</w:t>
      </w:r>
    </w:p>
    <w:p>
      <w:pPr>
        <w:spacing w:after="120" w:before="60"/>
        <w:jc w:val="both"/>
      </w:pPr>
      <w:r>
        <w:rPr>
          <w:rFonts w:ascii="Times New Roman" w:hAnsi="Times New Roman"/>
          <w:sz w:val="24"/>
        </w:rPr>
        <w:t>This behavior is expected because the geometric view factor between the module and the ground improves with height but approaches an asymptotic limit as the module elevation increases beyond a certain threshold relative to the module dimensions. At very high elevations, nearly the entire ground surface is visible to the rear of the module, and further height increases provide negligible improvement in the view factor. The practical implication of this finding is that there exists an optimal range of mounting heights beyond which the additional structural costs and complexity of higher mounting systems cannot be justified by the marginal energy gains.</w:t>
      </w:r>
    </w:p>
    <w:p>
      <w:pPr>
        <w:spacing w:after="120" w:before="60"/>
        <w:jc w:val="both"/>
      </w:pPr>
      <w:r>
        <w:rPr>
          <w:rFonts w:ascii="Times New Roman" w:hAnsi="Times New Roman"/>
          <w:sz w:val="24"/>
        </w:rPr>
        <w:t>The height dependence observed in this study is quantitatively consistent with the results reported by Dincer and Ozer [11], who found that the rear gain increased from 4.1% at 40 cm to 4.5% at 100 cm for urban albedo conditions. The slightly higher values obtained in the present study can be attributed to differences in the irradiance conditions and the specific albedo value used.</w:t>
      </w:r>
    </w:p>
    <w:p>
      <w:pPr>
        <w:spacing w:before="0" w:after="0"/>
      </w:pPr>
    </w:p>
    <w:p>
      <w:pPr>
        <w:spacing w:after="120" w:before="60"/>
        <w:jc w:val="center"/>
      </w:pPr>
      <w:r>
        <w:rPr>
          <w:rFonts w:ascii="Times New Roman" w:hAnsi="Times New Roman"/>
          <w:sz w:val="24"/>
        </w:rPr>
        <w:t>[Insert Figure 4.5 here]</w:t>
      </w:r>
    </w:p>
    <w:p>
      <w:pPr>
        <w:spacing w:after="120" w:before="60"/>
        <w:jc w:val="center"/>
      </w:pPr>
      <w:r>
        <w:rPr>
          <w:rFonts w:ascii="Times New Roman" w:hAnsi="Times New Roman"/>
          <w:sz w:val="24"/>
        </w:rPr>
        <w:t>Figure 4.5: Rear share of effective irradiance on varying height</w:t>
      </w:r>
    </w:p>
    <w:p>
      <w:pPr>
        <w:spacing w:before="0" w:after="0"/>
      </w:pPr>
    </w:p>
    <w:p>
      <w:pPr>
        <w:spacing w:before="240" w:after="120"/>
        <w:jc w:val="left"/>
      </w:pPr>
      <w:r>
        <w:rPr>
          <w:rFonts w:ascii="Times New Roman" w:hAnsi="Times New Roman"/>
          <w:b/>
          <w:sz w:val="24"/>
        </w:rPr>
        <w:t>4.6.3  Effect of Tilt Angle Variation</w:t>
      </w:r>
    </w:p>
    <w:p>
      <w:pPr>
        <w:spacing w:after="120" w:before="60"/>
        <w:jc w:val="both"/>
      </w:pPr>
      <w:r>
        <w:rPr>
          <w:rFonts w:ascii="Times New Roman" w:hAnsi="Times New Roman"/>
          <w:sz w:val="24"/>
        </w:rPr>
        <w:t>Figure 4.6 presents the variation of rear share of effective irradiance when varying the tilt angle with the height fixed at 100 cm, albedo of 0.18, and all other factors remaining constant. The results indicate a maximum rear gain share of 7.24% at a tilt angle of 10 degrees. The rear gain decreases with increasing tilt angle in this configuration.</w:t>
      </w:r>
    </w:p>
    <w:p>
      <w:pPr>
        <w:spacing w:after="120" w:before="60"/>
        <w:jc w:val="both"/>
      </w:pPr>
      <w:r>
        <w:rPr>
          <w:rFonts w:ascii="Times New Roman" w:hAnsi="Times New Roman"/>
          <w:sz w:val="24"/>
        </w:rPr>
        <w:t>This trend can be attributed to the change in balance between sky view and ground view factors for the rear surface. At lower tilt angles, the ground view factor for the rear surface is larger, allowing more ground-reflected radiation to reach the rear side. As the tilt angle increases, the rear ground view factor decreases while the rear sky view factor increases. Since the ground-reflected radiation (which depends on albedo) typically contributes more to rear-side irradiance than the diffuse sky radiation at moderate to high albedo values, lower tilt angles tend to maximize the rear-side contribution.</w:t>
      </w:r>
    </w:p>
    <w:p>
      <w:pPr>
        <w:spacing w:after="120" w:before="60"/>
        <w:jc w:val="both"/>
      </w:pPr>
      <w:r>
        <w:rPr>
          <w:rFonts w:ascii="Times New Roman" w:hAnsi="Times New Roman"/>
          <w:sz w:val="24"/>
        </w:rPr>
        <w:t>However, the total system energy output is not maximized at the lowest tilt angle because the front-side direct beam irradiance capture is reduced at low tilt angles for locations at moderate to high latitudes. This finding further reinforces the importance of considering both front-side and rear-side performance simultaneously when optimizing bifacial PV installations, and highlights the value of the dual optimization capability provided by the proposed framework.</w:t>
      </w:r>
    </w:p>
    <w:p>
      <w:pPr>
        <w:spacing w:before="0" w:after="0"/>
      </w:pPr>
    </w:p>
    <w:p>
      <w:pPr>
        <w:spacing w:after="120" w:before="60"/>
        <w:jc w:val="center"/>
      </w:pPr>
      <w:r>
        <w:rPr>
          <w:rFonts w:ascii="Times New Roman" w:hAnsi="Times New Roman"/>
          <w:sz w:val="24"/>
        </w:rPr>
        <w:t>[Insert Figure 4.6 here]</w:t>
      </w:r>
    </w:p>
    <w:p>
      <w:pPr>
        <w:spacing w:after="120" w:before="60"/>
        <w:jc w:val="center"/>
      </w:pPr>
      <w:r>
        <w:rPr>
          <w:rFonts w:ascii="Times New Roman" w:hAnsi="Times New Roman"/>
          <w:sz w:val="24"/>
        </w:rPr>
        <w:t>Figure 4.6: Rear share of effective irradiance on varying tilt angle</w:t>
      </w:r>
    </w:p>
    <w:p>
      <w:pPr>
        <w:spacing w:before="0" w:after="0"/>
      </w:pPr>
    </w:p>
    <w:p>
      <w:pPr>
        <w:spacing w:before="240" w:after="120"/>
        <w:jc w:val="left"/>
      </w:pPr>
      <w:r>
        <w:rPr>
          <w:rFonts w:ascii="Times New Roman" w:hAnsi="Times New Roman"/>
          <w:b/>
          <w:sz w:val="28"/>
        </w:rPr>
        <w:t>4.7  Comparison with Published Literature</w:t>
      </w:r>
    </w:p>
    <w:p>
      <w:pPr>
        <w:spacing w:after="120" w:before="60"/>
        <w:jc w:val="both"/>
      </w:pPr>
      <w:r>
        <w:rPr>
          <w:rFonts w:ascii="Times New Roman" w:hAnsi="Times New Roman"/>
          <w:sz w:val="24"/>
        </w:rPr>
        <w:t>To validate the proposed framework, the results obtained in this study were compared with findings reported in published literature. Table 4.3 presents a systematic comparison of key results.</w:t>
      </w:r>
    </w:p>
    <w:p>
      <w:pPr>
        <w:spacing w:before="240" w:after="120"/>
        <w:jc w:val="center"/>
      </w:pPr>
      <w:r>
        <w:rPr>
          <w:rFonts w:ascii="Times New Roman" w:hAnsi="Times New Roman"/>
          <w:b/>
          <w:sz w:val="24"/>
        </w:rPr>
        <w:t>Table 4.3: Comparison of Results with Published Literature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20"/>
              </w:rPr>
              <w:t>Study</w:t>
            </w:r>
          </w:p>
        </w:tc>
        <w:tc>
          <w:tcPr>
            <w:tcW w:type="dxa" w:w="2160"/>
          </w:tcPr>
          <w:p>
            <w:pPr>
              <w:jc w:val="center"/>
            </w:pPr>
            <w:r/>
            <w:r>
              <w:rPr>
                <w:rFonts w:ascii="Times New Roman" w:hAnsi="Times New Roman"/>
                <w:b/>
                <w:sz w:val="20"/>
              </w:rPr>
              <w:t>Scenario</w:t>
            </w:r>
          </w:p>
        </w:tc>
        <w:tc>
          <w:tcPr>
            <w:tcW w:type="dxa" w:w="2160"/>
          </w:tcPr>
          <w:p>
            <w:pPr>
              <w:jc w:val="center"/>
            </w:pPr>
            <w:r/>
            <w:r>
              <w:rPr>
                <w:rFonts w:ascii="Times New Roman" w:hAnsi="Times New Roman"/>
                <w:b/>
                <w:sz w:val="20"/>
              </w:rPr>
              <w:t>Reported Value</w:t>
            </w:r>
          </w:p>
        </w:tc>
        <w:tc>
          <w:tcPr>
            <w:tcW w:type="dxa" w:w="2160"/>
          </w:tcPr>
          <w:p>
            <w:pPr>
              <w:jc w:val="center"/>
            </w:pPr>
            <w:r/>
            <w:r>
              <w:rPr>
                <w:rFonts w:ascii="Times New Roman" w:hAnsi="Times New Roman"/>
                <w:b/>
                <w:sz w:val="20"/>
              </w:rPr>
              <w:t>This Study</w:t>
            </w:r>
          </w:p>
        </w:tc>
      </w:tr>
      <w:tr>
        <w:tc>
          <w:tcPr>
            <w:tcW w:type="dxa" w:w="2160"/>
          </w:tcPr>
          <w:p>
            <w:pPr>
              <w:jc w:val="center"/>
            </w:pPr>
            <w:r/>
            <w:r>
              <w:rPr>
                <w:rFonts w:ascii="Times New Roman" w:hAnsi="Times New Roman"/>
                <w:sz w:val="20"/>
              </w:rPr>
              <w:t>Dincer &amp; Ozer [11]</w:t>
            </w:r>
          </w:p>
        </w:tc>
        <w:tc>
          <w:tcPr>
            <w:tcW w:type="dxa" w:w="2160"/>
          </w:tcPr>
          <w:p>
            <w:pPr>
              <w:jc w:val="center"/>
            </w:pPr>
            <w:r/>
            <w:r>
              <w:rPr>
                <w:rFonts w:ascii="Times New Roman" w:hAnsi="Times New Roman"/>
                <w:sz w:val="20"/>
              </w:rPr>
              <w:t>Aluminum surface, tilt 20°, h=100cm</w:t>
            </w:r>
          </w:p>
        </w:tc>
        <w:tc>
          <w:tcPr>
            <w:tcW w:type="dxa" w:w="2160"/>
          </w:tcPr>
          <w:p>
            <w:pPr>
              <w:jc w:val="center"/>
            </w:pPr>
            <w:r/>
            <w:r>
              <w:rPr>
                <w:rFonts w:ascii="Times New Roman" w:hAnsi="Times New Roman"/>
                <w:sz w:val="20"/>
              </w:rPr>
              <w:t>21.2% rear gain</w:t>
            </w:r>
          </w:p>
        </w:tc>
        <w:tc>
          <w:tcPr>
            <w:tcW w:type="dxa" w:w="2160"/>
          </w:tcPr>
          <w:p>
            <w:pPr>
              <w:jc w:val="center"/>
            </w:pPr>
            <w:r/>
            <w:r>
              <w:rPr>
                <w:rFonts w:ascii="Times New Roman" w:hAnsi="Times New Roman"/>
                <w:sz w:val="20"/>
              </w:rPr>
              <w:t>24.72% rear gain</w:t>
            </w:r>
          </w:p>
        </w:tc>
      </w:tr>
      <w:tr>
        <w:tc>
          <w:tcPr>
            <w:tcW w:type="dxa" w:w="2160"/>
          </w:tcPr>
          <w:p>
            <w:pPr>
              <w:jc w:val="center"/>
            </w:pPr>
            <w:r/>
            <w:r>
              <w:rPr>
                <w:rFonts w:ascii="Times New Roman" w:hAnsi="Times New Roman"/>
                <w:sz w:val="20"/>
              </w:rPr>
              <w:t>Dincer &amp; Ozer [11]</w:t>
            </w:r>
          </w:p>
        </w:tc>
        <w:tc>
          <w:tcPr>
            <w:tcW w:type="dxa" w:w="2160"/>
          </w:tcPr>
          <w:p>
            <w:pPr>
              <w:jc w:val="center"/>
            </w:pPr>
            <w:r/>
            <w:r>
              <w:rPr>
                <w:rFonts w:ascii="Times New Roman" w:hAnsi="Times New Roman"/>
                <w:sz w:val="20"/>
              </w:rPr>
              <w:t>Height 40-100cm, urban albedo</w:t>
            </w:r>
          </w:p>
        </w:tc>
        <w:tc>
          <w:tcPr>
            <w:tcW w:type="dxa" w:w="2160"/>
          </w:tcPr>
          <w:p>
            <w:pPr>
              <w:jc w:val="center"/>
            </w:pPr>
            <w:r/>
            <w:r>
              <w:rPr>
                <w:rFonts w:ascii="Times New Roman" w:hAnsi="Times New Roman"/>
                <w:sz w:val="20"/>
              </w:rPr>
              <w:t>4.1-4.5% rear gain</w:t>
            </w:r>
          </w:p>
        </w:tc>
        <w:tc>
          <w:tcPr>
            <w:tcW w:type="dxa" w:w="2160"/>
          </w:tcPr>
          <w:p>
            <w:pPr>
              <w:jc w:val="center"/>
            </w:pPr>
            <w:r/>
            <w:r>
              <w:rPr>
                <w:rFonts w:ascii="Times New Roman" w:hAnsi="Times New Roman"/>
                <w:sz w:val="20"/>
              </w:rPr>
              <w:t>5.2-6.6% rear gain</w:t>
            </w:r>
          </w:p>
        </w:tc>
      </w:tr>
      <w:tr>
        <w:tc>
          <w:tcPr>
            <w:tcW w:type="dxa" w:w="2160"/>
          </w:tcPr>
          <w:p>
            <w:pPr>
              <w:jc w:val="center"/>
            </w:pPr>
            <w:r/>
            <w:r>
              <w:rPr>
                <w:rFonts w:ascii="Times New Roman" w:hAnsi="Times New Roman"/>
                <w:sz w:val="20"/>
              </w:rPr>
              <w:t>Dincer &amp; Ozer [11]</w:t>
            </w:r>
          </w:p>
        </w:tc>
        <w:tc>
          <w:tcPr>
            <w:tcW w:type="dxa" w:w="2160"/>
          </w:tcPr>
          <w:p>
            <w:pPr>
              <w:jc w:val="center"/>
            </w:pPr>
            <w:r/>
            <w:r>
              <w:rPr>
                <w:rFonts w:ascii="Times New Roman" w:hAnsi="Times New Roman"/>
                <w:sz w:val="20"/>
              </w:rPr>
              <w:t>Tilt 10°-50° variation</w:t>
            </w:r>
          </w:p>
        </w:tc>
        <w:tc>
          <w:tcPr>
            <w:tcW w:type="dxa" w:w="2160"/>
          </w:tcPr>
          <w:p>
            <w:pPr>
              <w:jc w:val="center"/>
            </w:pPr>
            <w:r/>
            <w:r>
              <w:rPr>
                <w:rFonts w:ascii="Times New Roman" w:hAnsi="Times New Roman"/>
                <w:sz w:val="20"/>
              </w:rPr>
              <w:t>4.3-5.5% rear gain</w:t>
            </w:r>
          </w:p>
        </w:tc>
        <w:tc>
          <w:tcPr>
            <w:tcW w:type="dxa" w:w="2160"/>
          </w:tcPr>
          <w:p>
            <w:pPr>
              <w:jc w:val="center"/>
            </w:pPr>
            <w:r/>
            <w:r>
              <w:rPr>
                <w:rFonts w:ascii="Times New Roman" w:hAnsi="Times New Roman"/>
                <w:sz w:val="20"/>
              </w:rPr>
              <w:t>4.1-7.2% rear gain</w:t>
            </w:r>
          </w:p>
        </w:tc>
      </w:tr>
      <w:tr>
        <w:tc>
          <w:tcPr>
            <w:tcW w:type="dxa" w:w="2160"/>
          </w:tcPr>
          <w:p>
            <w:pPr>
              <w:jc w:val="center"/>
            </w:pPr>
            <w:r/>
            <w:r>
              <w:rPr>
                <w:rFonts w:ascii="Times New Roman" w:hAnsi="Times New Roman"/>
                <w:sz w:val="20"/>
              </w:rPr>
              <w:t>Yusufoglu et al. [18]</w:t>
            </w:r>
          </w:p>
        </w:tc>
        <w:tc>
          <w:tcPr>
            <w:tcW w:type="dxa" w:w="2160"/>
          </w:tcPr>
          <w:p>
            <w:pPr>
              <w:jc w:val="center"/>
            </w:pPr>
            <w:r/>
            <w:r>
              <w:rPr>
                <w:rFonts w:ascii="Times New Roman" w:hAnsi="Times New Roman"/>
                <w:sz w:val="20"/>
              </w:rPr>
              <w:t>Albedo=0.2, 2m height, Cairo</w:t>
            </w:r>
          </w:p>
        </w:tc>
        <w:tc>
          <w:tcPr>
            <w:tcW w:type="dxa" w:w="2160"/>
          </w:tcPr>
          <w:p>
            <w:pPr>
              <w:jc w:val="center"/>
            </w:pPr>
            <w:r/>
            <w:r>
              <w:rPr>
                <w:rFonts w:ascii="Times New Roman" w:hAnsi="Times New Roman"/>
                <w:sz w:val="20"/>
              </w:rPr>
              <w:t>~13.8% energy gain</w:t>
            </w:r>
          </w:p>
        </w:tc>
        <w:tc>
          <w:tcPr>
            <w:tcW w:type="dxa" w:w="2160"/>
          </w:tcPr>
          <w:p>
            <w:pPr>
              <w:jc w:val="center"/>
            </w:pPr>
            <w:r/>
            <w:r>
              <w:rPr>
                <w:rFonts w:ascii="Times New Roman" w:hAnsi="Times New Roman"/>
                <w:sz w:val="20"/>
              </w:rPr>
              <w:t>16.55% rear gain</w:t>
            </w:r>
          </w:p>
        </w:tc>
      </w:tr>
      <w:tr>
        <w:tc>
          <w:tcPr>
            <w:tcW w:type="dxa" w:w="2160"/>
          </w:tcPr>
          <w:p>
            <w:pPr>
              <w:jc w:val="center"/>
            </w:pPr>
            <w:r/>
            <w:r>
              <w:rPr>
                <w:rFonts w:ascii="Times New Roman" w:hAnsi="Times New Roman"/>
                <w:sz w:val="20"/>
              </w:rPr>
              <w:t>Ganesan et al. [20]</w:t>
            </w:r>
          </w:p>
        </w:tc>
        <w:tc>
          <w:tcPr>
            <w:tcW w:type="dxa" w:w="2160"/>
          </w:tcPr>
          <w:p>
            <w:pPr>
              <w:jc w:val="center"/>
            </w:pPr>
            <w:r/>
            <w:r>
              <w:rPr>
                <w:rFonts w:ascii="Times New Roman" w:hAnsi="Times New Roman"/>
                <w:sz w:val="20"/>
              </w:rPr>
              <w:t>Aluminum, bifacial gain</w:t>
            </w:r>
          </w:p>
        </w:tc>
        <w:tc>
          <w:tcPr>
            <w:tcW w:type="dxa" w:w="2160"/>
          </w:tcPr>
          <w:p>
            <w:pPr>
              <w:jc w:val="center"/>
            </w:pPr>
            <w:r/>
            <w:r>
              <w:rPr>
                <w:rFonts w:ascii="Times New Roman" w:hAnsi="Times New Roman"/>
                <w:sz w:val="20"/>
              </w:rPr>
              <w:t>21.4% avg gain</w:t>
            </w:r>
          </w:p>
        </w:tc>
        <w:tc>
          <w:tcPr>
            <w:tcW w:type="dxa" w:w="2160"/>
          </w:tcPr>
          <w:p>
            <w:pPr>
              <w:jc w:val="center"/>
            </w:pPr>
            <w:r/>
            <w:r>
              <w:rPr>
                <w:rFonts w:ascii="Times New Roman" w:hAnsi="Times New Roman"/>
                <w:sz w:val="20"/>
              </w:rPr>
              <w:t>24.72% rear gain</w:t>
            </w:r>
          </w:p>
        </w:tc>
      </w:tr>
      <w:tr>
        <w:tc>
          <w:tcPr>
            <w:tcW w:type="dxa" w:w="2160"/>
          </w:tcPr>
          <w:p>
            <w:pPr>
              <w:jc w:val="center"/>
            </w:pPr>
            <w:r/>
            <w:r>
              <w:rPr>
                <w:rFonts w:ascii="Times New Roman" w:hAnsi="Times New Roman"/>
                <w:sz w:val="20"/>
              </w:rPr>
              <w:t>Pelaez et al. [21]</w:t>
            </w:r>
          </w:p>
        </w:tc>
        <w:tc>
          <w:tcPr>
            <w:tcW w:type="dxa" w:w="2160"/>
          </w:tcPr>
          <w:p>
            <w:pPr>
              <w:jc w:val="center"/>
            </w:pPr>
            <w:r/>
            <w:r>
              <w:rPr>
                <w:rFonts w:ascii="Times New Roman" w:hAnsi="Times New Roman"/>
                <w:sz w:val="20"/>
              </w:rPr>
              <w:t>High albedo validation</w:t>
            </w:r>
          </w:p>
        </w:tc>
        <w:tc>
          <w:tcPr>
            <w:tcW w:type="dxa" w:w="2160"/>
          </w:tcPr>
          <w:p>
            <w:pPr>
              <w:jc w:val="center"/>
            </w:pPr>
            <w:r/>
            <w:r>
              <w:rPr>
                <w:rFonts w:ascii="Times New Roman" w:hAnsi="Times New Roman"/>
                <w:sz w:val="20"/>
              </w:rPr>
              <w:t>~20% bifacial gain</w:t>
            </w:r>
          </w:p>
        </w:tc>
        <w:tc>
          <w:tcPr>
            <w:tcW w:type="dxa" w:w="2160"/>
          </w:tcPr>
          <w:p>
            <w:pPr>
              <w:jc w:val="center"/>
            </w:pPr>
            <w:r/>
            <w:r>
              <w:rPr>
                <w:rFonts w:ascii="Times New Roman" w:hAnsi="Times New Roman"/>
                <w:sz w:val="20"/>
              </w:rPr>
              <w:t>17.9-24.7% range</w:t>
            </w:r>
          </w:p>
        </w:tc>
      </w:tr>
    </w:tbl>
    <w:p>
      <w:pPr>
        <w:spacing w:before="0" w:after="0"/>
      </w:pPr>
    </w:p>
    <w:p>
      <w:pPr>
        <w:spacing w:after="120" w:before="60"/>
        <w:jc w:val="both"/>
      </w:pPr>
      <w:r>
        <w:rPr>
          <w:rFonts w:ascii="Times New Roman" w:hAnsi="Times New Roman"/>
          <w:sz w:val="24"/>
        </w:rPr>
        <w:t>The comparison reveals that the results obtained using the proposed framework are consistent with the trends and magnitudes reported in the reference studies. The slightly higher values obtained in some cases can be attributed to differences in geographic location (and hence solar resource characteristics), assumed panel parameters, temporal resolution of irradiance data, and specific modeling methodology. The overall agreement validates the reliability and accuracy of the proposed computational framework for bifacial PV system optimization.</w:t>
      </w:r>
    </w:p>
    <w:p>
      <w:pPr>
        <w:spacing w:after="120" w:before="60"/>
        <w:jc w:val="both"/>
      </w:pPr>
      <w:r>
        <w:rPr>
          <w:rFonts w:ascii="Times New Roman" w:hAnsi="Times New Roman"/>
          <w:sz w:val="24"/>
        </w:rPr>
        <w:t>In particular, the albedo sensitivity results show excellent qualitative agreement with the literature, with the ranking of surface types by rear gain being consistent across all studies. The height dependency trend (logarithmic increase with diminishing returns) is also consistent with the simulation results of Yusufoglu et al. [18]. The tilt angle sensitivity results align with the findings of Dincer and Ozer [11], confirming that rear gain increases at lower tilt angles due to enhanced ground view factors.</w:t>
      </w:r>
    </w:p>
    <w:p>
      <w:pPr>
        <w:spacing w:before="240" w:after="120"/>
        <w:jc w:val="left"/>
      </w:pPr>
      <w:r>
        <w:rPr>
          <w:rFonts w:ascii="Times New Roman" w:hAnsi="Times New Roman"/>
          <w:b/>
          <w:sz w:val="28"/>
        </w:rPr>
        <w:t>4.8  Discussion of Results</w:t>
      </w:r>
    </w:p>
    <w:p>
      <w:pPr>
        <w:spacing w:after="120" w:before="60"/>
        <w:jc w:val="both"/>
      </w:pPr>
      <w:r>
        <w:rPr>
          <w:rFonts w:ascii="Times New Roman" w:hAnsi="Times New Roman"/>
          <w:sz w:val="24"/>
        </w:rPr>
        <w:t>The parametric analysis results provide several important insights for the design and optimization of bifacial PV installations:</w:t>
      </w:r>
    </w:p>
    <w:p>
      <w:pPr>
        <w:spacing w:after="120" w:before="60"/>
        <w:jc w:val="both"/>
      </w:pPr>
      <w:r>
        <w:rPr>
          <w:rFonts w:ascii="Times New Roman" w:hAnsi="Times New Roman"/>
          <w:sz w:val="24"/>
        </w:rPr>
        <w:t>First, the analysis confirms that ground surface albedo is the most influential parameter affecting rear-side irradiance contribution. The rear gain varied from less than 5% for low-albedo surfaces to over 24% for highly reflective surfaces, representing a variation of nearly five-fold. This finding has direct practical implications, suggesting that site preparation measures such as installing reflective ground cover materials (white paint, gravel, or reflective membranes) can substantially improve the performance of bifacial PV systems at relatively low additional cost.</w:t>
      </w:r>
    </w:p>
    <w:p>
      <w:pPr>
        <w:spacing w:after="120" w:before="60"/>
        <w:jc w:val="both"/>
      </w:pPr>
      <w:r>
        <w:rPr>
          <w:rFonts w:ascii="Times New Roman" w:hAnsi="Times New Roman"/>
          <w:sz w:val="24"/>
        </w:rPr>
        <w:t>Second, the results demonstrate that mounting height has a positive but diminishing effect on rear-side performance. While higher installations consistently yield higher rear gains, the incremental improvement decreases with increasing elevation. This suggests that there exists a practical optimum height beyond which the additional structural costs and complexity of higher mounting systems cannot be justified by the marginal energy gains. For the case study conditions, mounting heights in the range of 200–300 cm appear to provide a good balance between performance improvement and practical feasibility.</w:t>
      </w:r>
    </w:p>
    <w:p>
      <w:pPr>
        <w:spacing w:after="120" w:before="60"/>
        <w:jc w:val="both"/>
      </w:pPr>
      <w:r>
        <w:rPr>
          <w:rFonts w:ascii="Times New Roman" w:hAnsi="Times New Roman"/>
          <w:sz w:val="24"/>
        </w:rPr>
        <w:t>Third, the analysis reveals that the optimal tilt angle depends on the chosen optimization objective. When maximizing total energy, the optimal tilt angle (30° for Greater Noida) closely corresponds to the latitude, similar to monofacial modules. When maximizing rear gain, lower tilt angles (10–20°) are preferred due to enhanced ground view factors. This dual optimization capability of the proposed framework enables system designers to make informed decisions based on their specific priorities.</w:t>
      </w:r>
    </w:p>
    <w:p>
      <w:pPr>
        <w:spacing w:after="120" w:before="60"/>
        <w:jc w:val="both"/>
      </w:pPr>
      <w:r>
        <w:rPr>
          <w:rFonts w:ascii="Times New Roman" w:hAnsi="Times New Roman"/>
          <w:sz w:val="24"/>
        </w:rPr>
        <w:t>Fourth, the combined parametric sweep approach provides more comprehensive optimization compared to single-parameter studies. The interaction effects between tilt angle, height, and albedo are captured in the multi-dimensional analysis, leading to more accurate identification of globally optimal configurations. The relatively small performance variation among the top-ranked configurations (less than 0.25% difference in energy) indicates that the system performance is robust to minor installation variations near the optimum.</w:t>
      </w:r>
    </w:p>
    <w:p>
      <w:pPr>
        <w:spacing w:after="120" w:before="60"/>
        <w:jc w:val="both"/>
      </w:pPr>
      <w:r>
        <w:rPr>
          <w:rFonts w:ascii="Times New Roman" w:hAnsi="Times New Roman"/>
          <w:sz w:val="24"/>
        </w:rPr>
        <w:t>Fifth, the comparison with published literature confirms the validity of the proposed framework and demonstrates that the mathematical formulation and computational implementation produce results consistent with established research in the field.</w:t>
      </w:r>
    </w:p>
    <w:p>
      <w:r>
        <w:br w:type="page"/>
      </w:r>
    </w:p>
    <w:p>
      <w:pPr>
        <w:spacing w:before="240" w:after="120"/>
        <w:jc w:val="center"/>
      </w:pPr>
      <w:r>
        <w:rPr>
          <w:rFonts w:ascii="Times New Roman" w:hAnsi="Times New Roman"/>
          <w:b/>
          <w:sz w:val="32"/>
        </w:rPr>
        <w:t>CHAPTER 5</w:t>
      </w:r>
    </w:p>
    <w:p>
      <w:pPr>
        <w:spacing w:before="240" w:after="120"/>
        <w:jc w:val="center"/>
      </w:pPr>
      <w:r>
        <w:rPr>
          <w:rFonts w:ascii="Times New Roman" w:hAnsi="Times New Roman"/>
          <w:b/>
          <w:sz w:val="28"/>
        </w:rPr>
        <w:t>CONCLUSION AND FUTURE WORK</w:t>
      </w:r>
    </w:p>
    <w:p>
      <w:pPr>
        <w:spacing w:before="0" w:after="0"/>
      </w:pPr>
    </w:p>
    <w:p>
      <w:pPr>
        <w:spacing w:before="240" w:after="120"/>
        <w:jc w:val="left"/>
      </w:pPr>
      <w:r>
        <w:rPr>
          <w:rFonts w:ascii="Times New Roman" w:hAnsi="Times New Roman"/>
          <w:b/>
          <w:sz w:val="28"/>
        </w:rPr>
        <w:t>5.1  Summary of Contributions</w:t>
      </w:r>
    </w:p>
    <w:p>
      <w:pPr>
        <w:spacing w:after="120" w:before="60"/>
        <w:jc w:val="both"/>
      </w:pPr>
      <w:r>
        <w:rPr>
          <w:rFonts w:ascii="Times New Roman" w:hAnsi="Times New Roman"/>
          <w:sz w:val="24"/>
        </w:rPr>
        <w:t>This project has presented a comprehensive computational framework for the parametric analysis and optimization of bifacial photovoltaic systems. The work addresses the identified gaps in existing literature by providing a systematic, accessible, and location-specific tool for determining optimal installation configurations. The key contributions of this work are summarized below.</w:t>
      </w:r>
    </w:p>
    <w:p>
      <w:pPr>
        <w:spacing w:after="120" w:before="60"/>
        <w:jc w:val="both"/>
      </w:pPr>
      <w:r>
        <w:rPr>
          <w:rFonts w:ascii="Times New Roman" w:hAnsi="Times New Roman"/>
          <w:sz w:val="24"/>
        </w:rPr>
        <w:t>First, a rigorous mathematical model for computing the front-side and rear-side irradiance on bifacial PV modules has been implemented. The model incorporates the Liu-Jordan isotropic sky model [15] for front-side irradiance estimation and the Yusufoglu view factor approach [18] for accurate rear-side irradiance calculation with shadow correction. The mathematical formulation accounts for the effects of tilt angle, ground albedo, mounting height, and solar geometry on both front-side and rear-side irradiance contributions, providing a comprehensive representation of bifacial PV module operation.</w:t>
      </w:r>
    </w:p>
    <w:p>
      <w:pPr>
        <w:spacing w:after="120" w:before="60"/>
        <w:jc w:val="both"/>
      </w:pPr>
      <w:r>
        <w:rPr>
          <w:rFonts w:ascii="Times New Roman" w:hAnsi="Times New Roman"/>
          <w:sz w:val="24"/>
        </w:rPr>
        <w:t>Second, a MATLAB/Simulink model has been developed for simulating the electrical characteristics (I-V and P-V curves) of bifacial PV modules under varying irradiance and temperature conditions. The Simulink model utilizes a single-diode equivalent circuit representation of the PV module and provides validated electrical output predictions for any combination of input conditions. The model enables visualization of the impact of different installation configurations on the electrical performance of the module.</w:t>
      </w:r>
    </w:p>
    <w:p>
      <w:pPr>
        <w:spacing w:after="120" w:before="60"/>
        <w:jc w:val="both"/>
      </w:pPr>
      <w:r>
        <w:rPr>
          <w:rFonts w:ascii="Times New Roman" w:hAnsi="Times New Roman"/>
          <w:sz w:val="24"/>
        </w:rPr>
        <w:t>Third, a user-oriented frontend platform has been designed and implemented that integrates location-based solar irradiance data retrieval from the NASA POWER API with automated parametric sweep analyses. The platform provides an accessible tool for PV system designers, requiring no specialized software knowledge or access to commercial simulation tools. The modular architecture of the platform ensures extensibility and ease of maintenance.</w:t>
      </w:r>
    </w:p>
    <w:p>
      <w:pPr>
        <w:spacing w:after="120" w:before="60"/>
        <w:jc w:val="both"/>
      </w:pPr>
      <w:r>
        <w:rPr>
          <w:rFonts w:ascii="Times New Roman" w:hAnsi="Times New Roman"/>
          <w:sz w:val="24"/>
        </w:rPr>
        <w:t>Fourth, the framework supports dual optimization objectives (maximum energy and maximum rear gain), enabling system designers to evaluate trade-offs and make informed configuration decisions. This dual optimization capability addresses a gap in existing tools that typically consider only a single performance metric.</w:t>
      </w:r>
    </w:p>
    <w:p>
      <w:pPr>
        <w:spacing w:after="120" w:before="60"/>
        <w:jc w:val="both"/>
      </w:pPr>
      <w:r>
        <w:rPr>
          <w:rFonts w:ascii="Times New Roman" w:hAnsi="Times New Roman"/>
          <w:sz w:val="24"/>
        </w:rPr>
        <w:t>Fifth, the proposed approach has been validated through a case study for Greater Noida, India, with results showing good agreement with published literature. The validation confirms the reliability and accuracy of the mathematical formulation and computational implementation.</w:t>
      </w:r>
    </w:p>
    <w:p>
      <w:pPr>
        <w:spacing w:before="240" w:after="120"/>
        <w:jc w:val="left"/>
      </w:pPr>
      <w:r>
        <w:rPr>
          <w:rFonts w:ascii="Times New Roman" w:hAnsi="Times New Roman"/>
          <w:b/>
          <w:sz w:val="28"/>
        </w:rPr>
        <w:t>5.2  Key Findings</w:t>
      </w:r>
    </w:p>
    <w:p>
      <w:pPr>
        <w:spacing w:after="120" w:before="60"/>
        <w:jc w:val="both"/>
      </w:pPr>
      <w:r>
        <w:rPr>
          <w:rFonts w:ascii="Times New Roman" w:hAnsi="Times New Roman"/>
          <w:sz w:val="24"/>
        </w:rPr>
        <w:t>The parametric analyses conducted in this study have yielded the following key findings that provide practical guidance for the design and optimization of bifacial PV installations:</w:t>
      </w:r>
    </w:p>
    <w:p>
      <w:pPr>
        <w:spacing w:after="120" w:before="60"/>
        <w:jc w:val="both"/>
      </w:pPr>
      <w:r>
        <w:rPr>
          <w:rFonts w:ascii="Times New Roman" w:hAnsi="Times New Roman"/>
          <w:sz w:val="24"/>
        </w:rPr>
        <w:t>(i) For the case study location (Greater Noida, India, 28.47°N) with a concrete ground surface (albedo = 0.3), the optimal configuration for maximum energy output was identified as a tilt angle of 30 degrees and mounting height of 450 cm, achieving a total energy of 3.168 kWh and rear gain of 16.55%. The optimal tilt angle closely corresponds to the site latitude, consistent with established PV design principles.</w:t>
      </w:r>
    </w:p>
    <w:p>
      <w:pPr>
        <w:spacing w:after="120" w:before="60"/>
        <w:jc w:val="both"/>
      </w:pPr>
      <w:r>
        <w:rPr>
          <w:rFonts w:ascii="Times New Roman" w:hAnsi="Times New Roman"/>
          <w:sz w:val="24"/>
        </w:rPr>
        <w:t>(ii) The optimal configuration for maximum rear gain was a tilt angle of 10 degrees and height of 450 cm, achieving a rear gain of 17.90% but with a lower total energy of 2.994 kWh (approximately 5.5% lower than the maximum energy configuration). This demonstrates the existence of a clear trade-off between total energy maximization and rear gain maximization.</w:t>
      </w:r>
    </w:p>
    <w:p>
      <w:pPr>
        <w:spacing w:after="120" w:before="60"/>
        <w:jc w:val="both"/>
      </w:pPr>
      <w:r>
        <w:rPr>
          <w:rFonts w:ascii="Times New Roman" w:hAnsi="Times New Roman"/>
          <w:sz w:val="24"/>
        </w:rPr>
        <w:t>(iii) Ground surface albedo was confirmed as the most influential parameter affecting rear-side irradiance contribution. The rear gain varied from below 5% for low-albedo surfaces (such as asphalt) to over 24% for highly reflective surfaces (such as aluminum), representing a nearly five-fold variation. The relationship between albedo and rear gain was found to be approximately linear, consistent with the mathematical formulation and published literature.</w:t>
      </w:r>
    </w:p>
    <w:p>
      <w:pPr>
        <w:spacing w:after="120" w:before="60"/>
        <w:jc w:val="both"/>
      </w:pPr>
      <w:r>
        <w:rPr>
          <w:rFonts w:ascii="Times New Roman" w:hAnsi="Times New Roman"/>
          <w:sz w:val="24"/>
        </w:rPr>
        <w:t>(iv) Mounting height has a positive but diminishing effect on rear-side performance, exhibiting a near-logarithmic dependence consistent with the findings of Yusufoglu et al. [18]. The practical implication is that mounting heights in the range of 200-300 cm provide a good balance between performance improvement and structural feasibility for most applications.</w:t>
      </w:r>
    </w:p>
    <w:p>
      <w:pPr>
        <w:spacing w:after="120" w:before="60"/>
        <w:jc w:val="both"/>
      </w:pPr>
      <w:r>
        <w:rPr>
          <w:rFonts w:ascii="Times New Roman" w:hAnsi="Times New Roman"/>
          <w:sz w:val="24"/>
        </w:rPr>
        <w:t>(v) The interaction between tilt angle, height, and albedo necessitates combined parametric optimization rather than independent single-parameter studies. The combined sweep approach captured interaction effects that would be missed by analyzing parameters in isolation, leading to more accurate identification of globally optimal configurations.</w:t>
      </w:r>
    </w:p>
    <w:p>
      <w:pPr>
        <w:spacing w:after="120" w:before="60"/>
        <w:jc w:val="both"/>
      </w:pPr>
      <w:r>
        <w:rPr>
          <w:rFonts w:ascii="Times New Roman" w:hAnsi="Times New Roman"/>
          <w:sz w:val="24"/>
        </w:rPr>
        <w:t>(vi) The system performance was found to be relatively robust to small variations near the optimal configuration, with the top five configurations differing by less than 0.25% in total energy. This robustness is practically significant as it allows flexibility in accommodating site-specific constraints without significant performance penalties.</w:t>
      </w:r>
    </w:p>
    <w:p>
      <w:pPr>
        <w:spacing w:before="240" w:after="120"/>
        <w:jc w:val="left"/>
      </w:pPr>
      <w:r>
        <w:rPr>
          <w:rFonts w:ascii="Times New Roman" w:hAnsi="Times New Roman"/>
          <w:b/>
          <w:sz w:val="28"/>
        </w:rPr>
        <w:t>5.3  Limitations</w:t>
      </w:r>
    </w:p>
    <w:p>
      <w:pPr>
        <w:spacing w:after="120" w:before="60"/>
        <w:jc w:val="both"/>
      </w:pPr>
      <w:r>
        <w:rPr>
          <w:rFonts w:ascii="Times New Roman" w:hAnsi="Times New Roman"/>
          <w:sz w:val="24"/>
        </w:rPr>
        <w:t>The present work has certain limitations that should be acknowledged and considered when interpreting the results:</w:t>
      </w:r>
    </w:p>
    <w:p>
      <w:pPr>
        <w:spacing w:after="120" w:before="60"/>
        <w:jc w:val="both"/>
      </w:pPr>
      <w:r>
        <w:rPr>
          <w:rFonts w:ascii="Times New Roman" w:hAnsi="Times New Roman"/>
          <w:sz w:val="24"/>
        </w:rPr>
        <w:t>(i) The mathematical model assumes uniform ground albedo beneath and surrounding the module, which may not accurately represent real-world installations where ground surface properties can vary spatially due to vegetation, shadows from nearby structures, or mixed surface types.</w:t>
      </w:r>
    </w:p>
    <w:p>
      <w:pPr>
        <w:spacing w:after="120" w:before="60"/>
        <w:jc w:val="both"/>
      </w:pPr>
      <w:r>
        <w:rPr>
          <w:rFonts w:ascii="Times New Roman" w:hAnsi="Times New Roman"/>
          <w:sz w:val="24"/>
        </w:rPr>
        <w:t>(ii) The analysis is based on single-day irradiance data. While this approach provides useful insights into the relative performance of different configurations, extending the analysis to annual energy yield computations would provide more comprehensive optimization results that account for seasonal variations in solar geometry and irradiance conditions.</w:t>
      </w:r>
    </w:p>
    <w:p>
      <w:pPr>
        <w:spacing w:after="120" w:before="60"/>
        <w:jc w:val="both"/>
      </w:pPr>
      <w:r>
        <w:rPr>
          <w:rFonts w:ascii="Times New Roman" w:hAnsi="Times New Roman"/>
          <w:sz w:val="24"/>
        </w:rPr>
        <w:t>(iii) The current implementation does not account for inter-row shading effects in multi-row array configurations, which can be significant in large-scale installations where adjacent rows cast shadows on the ground and on each other.</w:t>
      </w:r>
    </w:p>
    <w:p>
      <w:pPr>
        <w:spacing w:after="120" w:before="60"/>
        <w:jc w:val="both"/>
      </w:pPr>
      <w:r>
        <w:rPr>
          <w:rFonts w:ascii="Times New Roman" w:hAnsi="Times New Roman"/>
          <w:sz w:val="24"/>
        </w:rPr>
        <w:t>(iv) Temperature effects on module performance are modeled using the simplified NOCT approach. More detailed thermal models that account for wind speed, mounting configuration, and rear-surface ventilation may improve the accuracy of energy yield predictions.</w:t>
      </w:r>
    </w:p>
    <w:p>
      <w:pPr>
        <w:spacing w:after="120" w:before="60"/>
        <w:jc w:val="both"/>
      </w:pPr>
      <w:r>
        <w:rPr>
          <w:rFonts w:ascii="Times New Roman" w:hAnsi="Times New Roman"/>
          <w:sz w:val="24"/>
        </w:rPr>
        <w:t>(v) The isotropic sky model used for diffuse radiation estimation may underestimate the circumsolar and horizon brightening components that contribute to tilted surface irradiance, particularly under partly cloudy conditions. More advanced anisotropic models such as the Perez model could improve the accuracy of front-side irradiance estimation.</w:t>
      </w:r>
    </w:p>
    <w:p>
      <w:pPr>
        <w:spacing w:before="240" w:after="120"/>
        <w:jc w:val="left"/>
      </w:pPr>
      <w:r>
        <w:rPr>
          <w:rFonts w:ascii="Times New Roman" w:hAnsi="Times New Roman"/>
          <w:b/>
          <w:sz w:val="28"/>
        </w:rPr>
        <w:t>5.4  Scope for Future Work</w:t>
      </w:r>
    </w:p>
    <w:p>
      <w:pPr>
        <w:spacing w:after="120" w:before="60"/>
        <w:jc w:val="both"/>
      </w:pPr>
      <w:r>
        <w:rPr>
          <w:rFonts w:ascii="Times New Roman" w:hAnsi="Times New Roman"/>
          <w:sz w:val="24"/>
        </w:rPr>
        <w:t>Several promising directions for future research and development are identified based on the outcomes and limitations of this project:</w:t>
      </w:r>
    </w:p>
    <w:p>
      <w:pPr>
        <w:spacing w:after="120" w:before="60"/>
        <w:jc w:val="both"/>
      </w:pPr>
      <w:r>
        <w:rPr>
          <w:rFonts w:ascii="Times New Roman" w:hAnsi="Times New Roman"/>
          <w:sz w:val="24"/>
        </w:rPr>
        <w:t>(i) Extension to Annual Energy Yield: The current framework can be extended to perform year-round energy yield simulations by aggregating daily analyses across all days of the year. This extension would provide more comprehensive optimization guidance that accounts for seasonal variations in solar geometry, temperature, and irradiance conditions, enabling more robust design decisions for long-term system performance.</w:t>
      </w:r>
    </w:p>
    <w:p>
      <w:pPr>
        <w:spacing w:after="120" w:before="60"/>
        <w:jc w:val="both"/>
      </w:pPr>
      <w:r>
        <w:rPr>
          <w:rFonts w:ascii="Times New Roman" w:hAnsi="Times New Roman"/>
          <w:sz w:val="24"/>
        </w:rPr>
        <w:t>(ii) Multi-Row Array Modeling: Incorporating inter-row shading models would enable the framework to optimize row-to-row spacing in addition to tilt, height, and albedo. This enhancement is essential for utility-scale bifacial solar farm design where inter-row interactions significantly affect system performance.</w:t>
      </w:r>
    </w:p>
    <w:p>
      <w:pPr>
        <w:spacing w:after="120" w:before="60"/>
        <w:jc w:val="both"/>
      </w:pPr>
      <w:r>
        <w:rPr>
          <w:rFonts w:ascii="Times New Roman" w:hAnsi="Times New Roman"/>
          <w:sz w:val="24"/>
        </w:rPr>
        <w:t>(iii) Machine Learning Integration: Developing machine learning models trained on the parametric sweep data could enable rapid prediction of optimal configurations without requiring full computational analysis. Neural network or random forest models could be trained on a comprehensive database of simulation results to provide near-instantaneous optimization guidance for new locations.</w:t>
      </w:r>
    </w:p>
    <w:p>
      <w:pPr>
        <w:spacing w:after="120" w:before="60"/>
        <w:jc w:val="both"/>
      </w:pPr>
      <w:r>
        <w:rPr>
          <w:rFonts w:ascii="Times New Roman" w:hAnsi="Times New Roman"/>
          <w:sz w:val="24"/>
        </w:rPr>
        <w:t>(iv) Economic Analysis: Integrating techno-economic analysis capabilities would allow the framework to evaluate the cost-effectiveness of different bifacial PV configurations. This analysis would account for structural costs associated with different mounting heights, ground preparation costs for albedo enhancement, and the economic value of additional energy generation through levelized cost of energy (LCOE) calculations.</w:t>
      </w:r>
    </w:p>
    <w:p>
      <w:pPr>
        <w:spacing w:after="120" w:before="60"/>
        <w:jc w:val="both"/>
      </w:pPr>
      <w:r>
        <w:rPr>
          <w:rFonts w:ascii="Times New Roman" w:hAnsi="Times New Roman"/>
          <w:sz w:val="24"/>
        </w:rPr>
        <w:t>(v) Real-Time Monitoring: Developing a real-time monitoring system that continuously compares actual system performance with predicted values could enable adaptive optimization and early detection of performance degradation. Integration with IoT sensors and cloud-based analytics platforms could provide automated performance assessment and maintenance alerts.</w:t>
      </w:r>
    </w:p>
    <w:p>
      <w:pPr>
        <w:spacing w:after="120" w:before="60"/>
        <w:jc w:val="both"/>
      </w:pPr>
      <w:r>
        <w:rPr>
          <w:rFonts w:ascii="Times New Roman" w:hAnsi="Times New Roman"/>
          <w:sz w:val="24"/>
        </w:rPr>
        <w:t>(vi) Geographic Information System Integration: Combining the optimization framework with GIS tools could enable automated site assessment for large-scale bifacial PV deployment planning. This integration would incorporate terrain data, land use classification, and local albedo mapping from satellite imagery to provide comprehensive site suitability analysis.</w:t>
      </w:r>
    </w:p>
    <w:p>
      <w:pPr>
        <w:spacing w:after="120" w:before="60"/>
        <w:jc w:val="both"/>
      </w:pPr>
      <w:r>
        <w:rPr>
          <w:rFonts w:ascii="Times New Roman" w:hAnsi="Times New Roman"/>
          <w:sz w:val="24"/>
        </w:rPr>
        <w:t>(vii) Tracking System Integration: Extending the framework to support single-axis and dual-axis tracking configurations would enable comparison of fixed-tilt and tracking bifacial PV systems, providing a more complete optimization tool for diverse installation scenarios.</w:t>
      </w:r>
    </w:p>
    <w:p>
      <w:pPr>
        <w:spacing w:before="240" w:after="120"/>
        <w:jc w:val="left"/>
      </w:pPr>
      <w:r>
        <w:rPr>
          <w:rFonts w:ascii="Times New Roman" w:hAnsi="Times New Roman"/>
          <w:b/>
          <w:sz w:val="28"/>
        </w:rPr>
        <w:t>5.5  Task, Achievements and Possible Beneficiaries</w:t>
      </w:r>
    </w:p>
    <w:p>
      <w:pPr>
        <w:spacing w:after="120" w:before="60"/>
        <w:jc w:val="both"/>
      </w:pPr>
      <w:r>
        <w:rPr>
          <w:rFonts w:ascii="Times New Roman" w:hAnsi="Times New Roman"/>
          <w:sz w:val="24"/>
        </w:rPr>
        <w:t>The primary task of this project was to develop a computational framework for parametric analysis and optimization of bifacial PV installations. This task has been successfully accomplished through the design and implementation of an integrated platform comprising mathematical modeling, MATLAB/Simulink simulation, and a web-based frontend interface.</w:t>
      </w:r>
    </w:p>
    <w:p>
      <w:pPr>
        <w:spacing w:after="120" w:before="60"/>
        <w:jc w:val="both"/>
      </w:pPr>
      <w:r>
        <w:rPr>
          <w:rFonts w:ascii="Times New Roman" w:hAnsi="Times New Roman"/>
          <w:sz w:val="24"/>
        </w:rPr>
        <w:t>The key achievements include: development of a validated mathematical model for bifacial PV irradiance computation; creation of a Simulink model for electrical performance simulation; implementation of a user-friendly frontend platform with NASA POWER API integration; and demonstration of the framework through a comprehensive case study with comparison to published literature.</w:t>
      </w:r>
    </w:p>
    <w:p>
      <w:pPr>
        <w:spacing w:after="120" w:before="60"/>
        <w:jc w:val="both"/>
      </w:pPr>
      <w:r>
        <w:rPr>
          <w:rFonts w:ascii="Times New Roman" w:hAnsi="Times New Roman"/>
          <w:sz w:val="24"/>
        </w:rPr>
        <w:t>The possible beneficiaries of this work include: PV system designers and engineers seeking optimal configuration guidance for bifacial installations; solar project developers evaluating the feasibility and expected performance of bifacial PV projects; academic researchers studying bifacial PV technology and requiring a flexible simulation platform; and policymakers and planners assessing the potential of bifacial PV technology for renewable energy targets.</w:t>
      </w:r>
    </w:p>
    <w:p>
      <w:r>
        <w:br w:type="page"/>
      </w:r>
    </w:p>
    <w:p>
      <w:pPr>
        <w:spacing w:before="240" w:after="120"/>
        <w:jc w:val="center"/>
      </w:pPr>
      <w:r>
        <w:rPr>
          <w:rFonts w:ascii="Times New Roman" w:hAnsi="Times New Roman"/>
          <w:b/>
          <w:sz w:val="32"/>
        </w:rPr>
        <w:t>REFERENCES</w:t>
      </w:r>
    </w:p>
    <w:p>
      <w:pPr>
        <w:spacing w:before="0" w:after="0"/>
      </w:pPr>
    </w:p>
    <w:p>
      <w:pPr>
        <w:spacing w:after="120" w:before="60"/>
        <w:jc w:val="left"/>
      </w:pPr>
      <w:r>
        <w:rPr>
          <w:rFonts w:ascii="Times New Roman" w:hAnsi="Times New Roman"/>
          <w:sz w:val="24"/>
        </w:rPr>
        <w:t>[1] R. Guerrero-Lemus, R. Vega, T. Kim, A. Kimm and L. E. Shephard, "Bifacial solar photovoltaics – A technology review," Renewable and Sustainable Energy Reviews, vol. 60, pp. 1533-1549, 2016.</w:t>
      </w:r>
    </w:p>
    <w:p>
      <w:pPr>
        <w:spacing w:after="120" w:before="60"/>
        <w:jc w:val="left"/>
      </w:pPr>
      <w:r>
        <w:rPr>
          <w:rFonts w:ascii="Times New Roman" w:hAnsi="Times New Roman"/>
          <w:sz w:val="24"/>
        </w:rPr>
        <w:t>[2] M. Alam, M. R. Khan and C. Deline, "Performance comparison between bifacial and monofacial photovoltaic systems under varying environmental conditions," Sustainable Energy Technologies and Assessments, vol. 57, p. 103210, 2023.</w:t>
      </w:r>
    </w:p>
    <w:p>
      <w:pPr>
        <w:spacing w:after="120" w:before="60"/>
        <w:jc w:val="left"/>
      </w:pPr>
      <w:r>
        <w:rPr>
          <w:rFonts w:ascii="Times New Roman" w:hAnsi="Times New Roman"/>
          <w:sz w:val="24"/>
        </w:rPr>
        <w:t>[3] C. Deline, S. A. Pelaez, S. MacAlpine and B. Marion, "Bifacial photovoltaic system performance: Separating fact from fiction," National Renewable Energy Laboratory (NREL), Golden, CO, USA, Tech. Rep. NREL/CP-5K00-74090, 2019.</w:t>
      </w:r>
    </w:p>
    <w:p>
      <w:pPr>
        <w:spacing w:after="120" w:before="60"/>
        <w:jc w:val="left"/>
      </w:pPr>
      <w:r>
        <w:rPr>
          <w:rFonts w:ascii="Times New Roman" w:hAnsi="Times New Roman"/>
          <w:sz w:val="24"/>
        </w:rPr>
        <w:t>[4] X. Sun, M. R. Khan, C. Deline and M. A. Alam, "Optimization and performance of bifacial solar modules: A global perspective," Applied Energy, vol. 212, pp. 1601-1610, 2018.</w:t>
      </w:r>
    </w:p>
    <w:p>
      <w:pPr>
        <w:spacing w:after="120" w:before="60"/>
        <w:jc w:val="left"/>
      </w:pPr>
      <w:r>
        <w:rPr>
          <w:rFonts w:ascii="Times New Roman" w:hAnsi="Times New Roman"/>
          <w:sz w:val="24"/>
        </w:rPr>
        <w:t>[5] A. Basak, S. Das and R. Banerjee, "Tilt angle optimization for bifacial photovoltaic modules for enhanced energy generation," Applied Energy, vol. 345, p. 121245, 2025.</w:t>
      </w:r>
    </w:p>
    <w:p>
      <w:pPr>
        <w:spacing w:after="120" w:before="60"/>
        <w:jc w:val="left"/>
      </w:pPr>
      <w:r>
        <w:rPr>
          <w:rFonts w:ascii="Times New Roman" w:hAnsi="Times New Roman"/>
          <w:sz w:val="24"/>
        </w:rPr>
        <w:t>[6] U. Peter and M. Novak, "Optimal tilt angle for maximizing energy production of bifacial solar panels," Journal of Sustainable Energy Systems, vol. 14, no. 1, pp. 45-56, 2025.</w:t>
      </w:r>
    </w:p>
    <w:p>
      <w:pPr>
        <w:spacing w:after="120" w:before="60"/>
        <w:jc w:val="left"/>
      </w:pPr>
      <w:r>
        <w:rPr>
          <w:rFonts w:ascii="Times New Roman" w:hAnsi="Times New Roman"/>
          <w:sz w:val="24"/>
        </w:rPr>
        <w:t>[7] N. Riedel-Lyngskjaer, J. M. L. P. Larsen and B. G. Nielsen, "Effect of spectral albedo on energy yield of bifacial photovoltaic systems," Solar Energy, vol. 231, pp. 176-186, 2022.</w:t>
      </w:r>
    </w:p>
    <w:p>
      <w:pPr>
        <w:spacing w:after="120" w:before="60"/>
        <w:jc w:val="left"/>
      </w:pPr>
      <w:r>
        <w:rPr>
          <w:rFonts w:ascii="Times New Roman" w:hAnsi="Times New Roman"/>
          <w:sz w:val="24"/>
        </w:rPr>
        <w:t>[8] M. H. Aksoy and H. A. Ceylan, "Investigation of ground albedo effects on bifacial photovoltaic panel performance," Renewable Energy Research Journal, vol. 13, no. 4, pp. 1800-1808, 2023.</w:t>
      </w:r>
    </w:p>
    <w:p>
      <w:pPr>
        <w:spacing w:after="120" w:before="60"/>
        <w:jc w:val="left"/>
      </w:pPr>
      <w:r>
        <w:rPr>
          <w:rFonts w:ascii="Times New Roman" w:hAnsi="Times New Roman"/>
          <w:sz w:val="24"/>
        </w:rPr>
        <w:t>[9] N. Baghel, A. Chandel and S. K. Sharma, "Performance evaluation and optimization of albedo and tilt angle in bifacial photovoltaic systems," Solar Energy, vol. 250, pp. 84-95, 2023.</w:t>
      </w:r>
    </w:p>
    <w:p>
      <w:pPr>
        <w:spacing w:after="120" w:before="60"/>
        <w:jc w:val="left"/>
      </w:pPr>
      <w:r>
        <w:rPr>
          <w:rFonts w:ascii="Times New Roman" w:hAnsi="Times New Roman"/>
          <w:sz w:val="24"/>
        </w:rPr>
        <w:t>[10] I. N. Atalay, M. Kaya and H. Ozturk, "Experimental investigation of ground surface reflectivity impact on bifacial photovoltaic systems," Solar Energy, vol. 246, pp. 65-74, 2023.</w:t>
      </w:r>
    </w:p>
    <w:p>
      <w:pPr>
        <w:spacing w:after="120" w:before="60"/>
        <w:jc w:val="left"/>
      </w:pPr>
      <w:r>
        <w:rPr>
          <w:rFonts w:ascii="Times New Roman" w:hAnsi="Times New Roman"/>
          <w:sz w:val="24"/>
        </w:rPr>
        <w:t>[11] F. Dincer and E. Ozer, "Optimization of rear-side energy contribution in bifacial PV panels: A parametric analysis on albedo, tilt, height, and mounting configuration," Energies, vol. 18, no. 17, p. 4443, 2025.</w:t>
      </w:r>
    </w:p>
    <w:p>
      <w:pPr>
        <w:spacing w:after="120" w:before="60"/>
        <w:jc w:val="left"/>
      </w:pPr>
      <w:r>
        <w:rPr>
          <w:rFonts w:ascii="Times New Roman" w:hAnsi="Times New Roman"/>
          <w:sz w:val="24"/>
        </w:rPr>
        <w:t>[12] D. S. Braga, R. Zilles and E. Lorenzo, "Performance analysis of bifacial photovoltaic modules under tropical climatic conditions," Renewable Energy and Environmental Sustainability, vol. 8, pp. 1-10, 2023.</w:t>
      </w:r>
    </w:p>
    <w:p>
      <w:pPr>
        <w:spacing w:after="120" w:before="60"/>
        <w:jc w:val="left"/>
      </w:pPr>
      <w:r>
        <w:rPr>
          <w:rFonts w:ascii="Times New Roman" w:hAnsi="Times New Roman"/>
          <w:sz w:val="24"/>
        </w:rPr>
        <w:t>[13] A. F. Almarshoud, A. Al-Badi and M. Al-Sulaiman, "Experimental performance analysis of bifacial photovoltaic modules under different operating conditions," Energies, vol. 17, no. 21, p. 5456, 2024.</w:t>
      </w:r>
    </w:p>
    <w:p>
      <w:pPr>
        <w:spacing w:after="120" w:before="60"/>
        <w:jc w:val="left"/>
      </w:pPr>
      <w:r>
        <w:rPr>
          <w:rFonts w:ascii="Times New Roman" w:hAnsi="Times New Roman"/>
          <w:sz w:val="24"/>
        </w:rPr>
        <w:t>[14] M. T. Patel, M. R. Khan and M. A. Alam, "Optimum design of tracking bifacial solar farms," IEEE Journal of Photovoltaics, vol. 11, no. 1, pp. 237-245, 2021.</w:t>
      </w:r>
    </w:p>
    <w:p>
      <w:pPr>
        <w:spacing w:after="120" w:before="60"/>
        <w:jc w:val="left"/>
      </w:pPr>
      <w:r>
        <w:rPr>
          <w:rFonts w:ascii="Times New Roman" w:hAnsi="Times New Roman"/>
          <w:sz w:val="24"/>
        </w:rPr>
        <w:t>[15] B. Y. H. Liu and R. C. Jordan, "The interrelationship and characteristic distribution of direct, diffuse and total solar radiation," Solar Energy, vol. 4, no. 3, pp. 1-19, 1960.</w:t>
      </w:r>
    </w:p>
    <w:p>
      <w:pPr>
        <w:spacing w:after="120" w:before="60"/>
        <w:jc w:val="left"/>
      </w:pPr>
      <w:r>
        <w:rPr>
          <w:rFonts w:ascii="Times New Roman" w:hAnsi="Times New Roman"/>
          <w:sz w:val="24"/>
        </w:rPr>
        <w:t>[16] J. A. Duffie and W. A. Beckman, Solar Engineering of Thermal Processes, 4th ed. Hoboken, NJ, USA: Wiley, 2013.</w:t>
      </w:r>
    </w:p>
    <w:p>
      <w:pPr>
        <w:spacing w:after="120" w:before="60"/>
        <w:jc w:val="left"/>
      </w:pPr>
      <w:r>
        <w:rPr>
          <w:rFonts w:ascii="Times New Roman" w:hAnsi="Times New Roman"/>
          <w:sz w:val="24"/>
        </w:rPr>
        <w:t>[17] B. Marion, S. MacAlpine, C. Deline, A. Asgharzadeh, F. Toor, D. Riley, J. Stein and C. Hansen, "A practical irradiance model for bifacial PV modules," in Proc. 44th IEEE Photovoltaic Specialists Conf. (PVSC), Washington, DC, USA, 2017, pp. 1537-1542.</w:t>
      </w:r>
    </w:p>
    <w:p>
      <w:pPr>
        <w:spacing w:after="120" w:before="60"/>
        <w:jc w:val="left"/>
      </w:pPr>
      <w:r>
        <w:rPr>
          <w:rFonts w:ascii="Times New Roman" w:hAnsi="Times New Roman"/>
          <w:sz w:val="24"/>
        </w:rPr>
        <w:t>[18] U. A. Yusufoglu, T. M. Pletzer, L. J. Koduvelikulathu, C. Comparotto, R. Kopecek and H. Kurz, "Analysis of the annual performance of bifacial modules and optimization methods," IEEE Journal of Photovoltaics, vol. 5, no. 1, pp. 320-328, 2015.</w:t>
      </w:r>
    </w:p>
    <w:p>
      <w:pPr>
        <w:spacing w:after="120" w:before="60"/>
        <w:jc w:val="left"/>
      </w:pPr>
      <w:r>
        <w:rPr>
          <w:rFonts w:ascii="Times New Roman" w:hAnsi="Times New Roman"/>
          <w:sz w:val="24"/>
        </w:rPr>
        <w:t>[19] P. K. Sahu, J. N. Roy and C. Chakraborty, "Performance assessment of a bifacial PV system using a new energy estimation model," Solar Energy, vol. 262, p. 111818, 2023.</w:t>
      </w:r>
    </w:p>
    <w:p>
      <w:pPr>
        <w:spacing w:after="120" w:before="60"/>
        <w:jc w:val="left"/>
      </w:pPr>
      <w:r>
        <w:rPr>
          <w:rFonts w:ascii="Times New Roman" w:hAnsi="Times New Roman"/>
          <w:sz w:val="24"/>
        </w:rPr>
        <w:t>[20] K. Ganesan, D. P. Winston, S. Sugumar and S. Jegan, "Performance analysis of n-type PERT bifacial solar PV module under diverse albedo conditions," Solar Energy, vol. 252, pp. 81-90, 2023.</w:t>
      </w:r>
    </w:p>
    <w:p>
      <w:pPr>
        <w:spacing w:after="120" w:before="60"/>
        <w:jc w:val="left"/>
      </w:pPr>
      <w:r>
        <w:rPr>
          <w:rFonts w:ascii="Times New Roman" w:hAnsi="Times New Roman"/>
          <w:sz w:val="24"/>
        </w:rPr>
        <w:t>[21] S. A. Pelaez, C. Deline, S. M. MacAlpine, B. Marion, J. S. Stein and R. K. Kostuk, "Comparison of bifacial solar irradiance model predictions with field validation," IEEE Journal of Photovoltaics, vol. 9, no. 1, pp. 82-88, 2019.</w:t>
      </w:r>
    </w:p>
    <w:p>
      <w:pPr>
        <w:spacing w:after="120" w:before="60"/>
        <w:jc w:val="left"/>
      </w:pPr>
      <w:r>
        <w:rPr>
          <w:rFonts w:ascii="Times New Roman" w:hAnsi="Times New Roman"/>
          <w:sz w:val="24"/>
        </w:rPr>
        <w:t>[22] C. Ghenai, F. F. Ahmad, O. Rejeb and A. K. Hamid, "Sensitivity analysis of design parameters and power gain correlations of bi-facial solar PV system using response surface methodology," Solar Energy, vol. 223, pp. 44-53, 2021.</w:t>
      </w:r>
    </w:p>
    <w:p>
      <w:r>
        <w:br w:type="page"/>
      </w:r>
    </w:p>
    <w:p>
      <w:pPr>
        <w:spacing w:before="240" w:after="120"/>
        <w:jc w:val="center"/>
      </w:pPr>
      <w:r>
        <w:rPr>
          <w:rFonts w:ascii="Times New Roman" w:hAnsi="Times New Roman"/>
          <w:b/>
          <w:sz w:val="32"/>
        </w:rPr>
        <w:t>APPENDIX A</w:t>
      </w:r>
    </w:p>
    <w:p>
      <w:pPr>
        <w:spacing w:before="240" w:after="120"/>
        <w:jc w:val="center"/>
      </w:pPr>
      <w:r>
        <w:rPr>
          <w:rFonts w:ascii="Times New Roman" w:hAnsi="Times New Roman"/>
          <w:b/>
          <w:sz w:val="28"/>
        </w:rPr>
        <w:t>Software Code Excerpts</w:t>
      </w:r>
    </w:p>
    <w:p>
      <w:pPr>
        <w:spacing w:before="0" w:after="0"/>
      </w:pPr>
    </w:p>
    <w:p>
      <w:pPr>
        <w:spacing w:after="120" w:before="60"/>
        <w:jc w:val="both"/>
      </w:pPr>
      <w:r>
        <w:rPr>
          <w:rFonts w:ascii="Times New Roman" w:hAnsi="Times New Roman"/>
          <w:sz w:val="24"/>
        </w:rPr>
        <w:t>This appendix contains the key code excerpts used in the implementation of the bifacial PV analysis framework.</w:t>
      </w:r>
    </w:p>
    <w:p>
      <w:pPr>
        <w:spacing w:before="240" w:after="120"/>
        <w:jc w:val="left"/>
      </w:pPr>
      <w:r>
        <w:rPr>
          <w:rFonts w:ascii="Times New Roman" w:hAnsi="Times New Roman"/>
          <w:b/>
          <w:sz w:val="24"/>
        </w:rPr>
        <w:t>A.1  Irradiance Calculation Function (MATLAB)</w:t>
      </w:r>
    </w:p>
    <w:p>
      <w:pPr>
        <w:spacing w:after="120" w:before="60"/>
        <w:jc w:val="both"/>
      </w:pPr>
      <w:r>
        <w:rPr>
          <w:rFonts w:ascii="Times New Roman" w:hAnsi="Times New Roman"/>
          <w:sz w:val="24"/>
        </w:rPr>
        <w:t>[Insert MATLAB code for calculate_irradiance function implementing equations (1)-(11)]</w:t>
      </w:r>
    </w:p>
    <w:p>
      <w:pPr>
        <w:spacing w:before="0" w:after="0"/>
      </w:pPr>
    </w:p>
    <w:p>
      <w:pPr>
        <w:spacing w:before="240" w:after="120"/>
        <w:jc w:val="left"/>
      </w:pPr>
      <w:r>
        <w:rPr>
          <w:rFonts w:ascii="Times New Roman" w:hAnsi="Times New Roman"/>
          <w:b/>
          <w:sz w:val="24"/>
        </w:rPr>
        <w:t>A.2  Frontend Interface Code (HTML/JavaScript)</w:t>
      </w:r>
    </w:p>
    <w:p>
      <w:pPr>
        <w:spacing w:after="120" w:before="60"/>
        <w:jc w:val="both"/>
      </w:pPr>
      <w:r>
        <w:rPr>
          <w:rFonts w:ascii="Times New Roman" w:hAnsi="Times New Roman"/>
          <w:sz w:val="24"/>
        </w:rPr>
        <w:t>[Insert key excerpts of the frontend interface code showing the parameter input forms and API integration]</w:t>
      </w:r>
    </w:p>
    <w:p>
      <w:pPr>
        <w:spacing w:before="0" w:after="0"/>
      </w:pPr>
    </w:p>
    <w:p>
      <w:pPr>
        <w:spacing w:before="240" w:after="120"/>
        <w:jc w:val="left"/>
      </w:pPr>
      <w:r>
        <w:rPr>
          <w:rFonts w:ascii="Times New Roman" w:hAnsi="Times New Roman"/>
          <w:b/>
          <w:sz w:val="24"/>
        </w:rPr>
        <w:t>A.3  Backend API Integration (Python/Flask)</w:t>
      </w:r>
    </w:p>
    <w:p>
      <w:pPr>
        <w:spacing w:after="120" w:before="60"/>
        <w:jc w:val="both"/>
      </w:pPr>
      <w:r>
        <w:rPr>
          <w:rFonts w:ascii="Times New Roman" w:hAnsi="Times New Roman"/>
          <w:sz w:val="24"/>
        </w:rPr>
        <w:t>[Insert key excerpts of the backend code showing NASA POWER API integration and parametric sweep coordination]</w:t>
      </w:r>
    </w:p>
    <w:p>
      <w:r>
        <w:br w:type="page"/>
      </w:r>
    </w:p>
    <w:p>
      <w:pPr>
        <w:spacing w:before="240" w:after="120"/>
        <w:jc w:val="center"/>
      </w:pPr>
      <w:r>
        <w:rPr>
          <w:rFonts w:ascii="Times New Roman" w:hAnsi="Times New Roman"/>
          <w:b/>
          <w:sz w:val="32"/>
        </w:rPr>
        <w:t>APPENDIX B</w:t>
      </w:r>
    </w:p>
    <w:p>
      <w:pPr>
        <w:spacing w:before="240" w:after="120"/>
        <w:jc w:val="center"/>
      </w:pPr>
      <w:r>
        <w:rPr>
          <w:rFonts w:ascii="Times New Roman" w:hAnsi="Times New Roman"/>
          <w:b/>
          <w:sz w:val="28"/>
        </w:rPr>
        <w:t>Simulink Block Diagrams</w:t>
      </w:r>
    </w:p>
    <w:p>
      <w:pPr>
        <w:spacing w:before="0" w:after="0"/>
      </w:pPr>
    </w:p>
    <w:p>
      <w:pPr>
        <w:spacing w:after="120" w:before="60"/>
        <w:jc w:val="both"/>
      </w:pPr>
      <w:r>
        <w:rPr>
          <w:rFonts w:ascii="Times New Roman" w:hAnsi="Times New Roman"/>
          <w:sz w:val="24"/>
        </w:rPr>
        <w:t>This appendix contains the detailed Simulink block diagrams used for the bifacial PV module simulation.</w:t>
      </w:r>
    </w:p>
    <w:p>
      <w:pPr>
        <w:spacing w:before="240" w:after="120"/>
        <w:jc w:val="left"/>
      </w:pPr>
      <w:r>
        <w:rPr>
          <w:rFonts w:ascii="Times New Roman" w:hAnsi="Times New Roman"/>
          <w:b/>
          <w:sz w:val="24"/>
        </w:rPr>
        <w:t>B.1  Complete Simulink Model</w:t>
      </w:r>
    </w:p>
    <w:p>
      <w:pPr>
        <w:spacing w:after="120" w:before="60"/>
        <w:jc w:val="both"/>
      </w:pPr>
      <w:r>
        <w:rPr>
          <w:rFonts w:ascii="Times New Roman" w:hAnsi="Times New Roman"/>
          <w:sz w:val="24"/>
        </w:rPr>
        <w:t>[Insert full Simulink model screenshot showing all blocks and connections]</w:t>
      </w:r>
    </w:p>
    <w:p>
      <w:pPr>
        <w:spacing w:before="0" w:after="0"/>
      </w:pPr>
    </w:p>
    <w:p>
      <w:pPr>
        <w:spacing w:before="240" w:after="120"/>
        <w:jc w:val="left"/>
      </w:pPr>
      <w:r>
        <w:rPr>
          <w:rFonts w:ascii="Times New Roman" w:hAnsi="Times New Roman"/>
          <w:b/>
          <w:sz w:val="24"/>
        </w:rPr>
        <w:t>B.2  MATLAB Function Block: calculate_irradiance</w:t>
      </w:r>
    </w:p>
    <w:p>
      <w:pPr>
        <w:spacing w:after="120" w:before="60"/>
        <w:jc w:val="both"/>
      </w:pPr>
      <w:r>
        <w:rPr>
          <w:rFonts w:ascii="Times New Roman" w:hAnsi="Times New Roman"/>
          <w:sz w:val="24"/>
        </w:rPr>
        <w:t>[Insert screenshot or code listing of the MATLAB function block]</w:t>
      </w:r>
    </w:p>
    <w:p>
      <w:pPr>
        <w:spacing w:before="0" w:after="0"/>
      </w:pPr>
    </w:p>
    <w:p>
      <w:pPr>
        <w:spacing w:before="240" w:after="120"/>
        <w:jc w:val="left"/>
      </w:pPr>
      <w:r>
        <w:rPr>
          <w:rFonts w:ascii="Times New Roman" w:hAnsi="Times New Roman"/>
          <w:b/>
          <w:sz w:val="24"/>
        </w:rPr>
        <w:t>B.3  PV Array Block Configuration</w:t>
      </w:r>
    </w:p>
    <w:p>
      <w:pPr>
        <w:spacing w:after="120" w:before="60"/>
        <w:jc w:val="both"/>
      </w:pPr>
      <w:r>
        <w:rPr>
          <w:rFonts w:ascii="Times New Roman" w:hAnsi="Times New Roman"/>
          <w:sz w:val="24"/>
        </w:rPr>
        <w:t>[Insert screenshot of PV Array block parameter settings]</w:t>
      </w:r>
    </w:p>
    <w:p>
      <w:r>
        <w:br w:type="page"/>
      </w:r>
    </w:p>
    <w:p>
      <w:pPr>
        <w:spacing w:before="240" w:after="120"/>
        <w:jc w:val="center"/>
      </w:pPr>
      <w:r>
        <w:rPr>
          <w:rFonts w:ascii="Times New Roman" w:hAnsi="Times New Roman"/>
          <w:b/>
          <w:sz w:val="28"/>
        </w:rPr>
        <w:t>LIST OF PUBLICATIONS</w:t>
      </w:r>
    </w:p>
    <w:p>
      <w:pPr>
        <w:spacing w:before="0" w:after="0"/>
      </w:pPr>
    </w:p>
    <w:p>
      <w:pPr>
        <w:spacing w:after="120" w:before="60"/>
        <w:jc w:val="both"/>
      </w:pPr>
      <w:r>
        <w:rPr>
          <w:rFonts w:ascii="Times New Roman" w:hAnsi="Times New Roman"/>
          <w:sz w:val="24"/>
        </w:rPr>
        <w:t>The following publication has been produced as part of this project work:</w:t>
      </w:r>
    </w:p>
    <w:p>
      <w:pPr>
        <w:spacing w:before="0" w:after="0"/>
      </w:pPr>
    </w:p>
    <w:p>
      <w:pPr>
        <w:spacing w:after="120" w:before="60"/>
        <w:jc w:val="left"/>
      </w:pPr>
      <w:r>
        <w:rPr>
          <w:rFonts w:ascii="Times New Roman" w:hAnsi="Times New Roman"/>
          <w:sz w:val="24"/>
        </w:rPr>
        <w:t>[1] A. Upadhyay, P. Chakrabarty, Aman and A. Garg, "Performance analysis of bifacial PV system based on different albedos," accepted for presentation at IC2PCT 2026 (International Conference on Clean and Prospective Computing Technologies), 2026.</w:t>
      </w:r>
    </w:p>
    <w:p>
      <w:r>
        <w:br w:type="page"/>
      </w:r>
    </w:p>
    <w:p>
      <w:pPr>
        <w:spacing w:before="240" w:after="120"/>
        <w:jc w:val="center"/>
      </w:pPr>
      <w:r>
        <w:rPr>
          <w:rFonts w:ascii="Times New Roman" w:hAnsi="Times New Roman"/>
          <w:b/>
          <w:sz w:val="32"/>
        </w:rPr>
        <w:t>BIO-DATA</w:t>
      </w:r>
    </w:p>
    <w:p>
      <w:pPr>
        <w:spacing w:before="0" w:after="0"/>
      </w:pPr>
    </w:p>
    <w:p>
      <w:pPr>
        <w:spacing w:before="240" w:after="120"/>
        <w:jc w:val="left"/>
      </w:pPr>
      <w:r>
        <w:rPr>
          <w:rFonts w:ascii="Times New Roman" w:hAnsi="Times New Roman"/>
          <w:b/>
          <w:sz w:val="24"/>
        </w:rPr>
        <w:t>Ashish Upadhyay</w:t>
      </w:r>
    </w:p>
    <w:p>
      <w:pPr>
        <w:spacing w:after="120" w:before="60"/>
        <w:jc w:val="both"/>
      </w:pPr>
      <w:r>
        <w:rPr>
          <w:rFonts w:ascii="Times New Roman" w:hAnsi="Times New Roman"/>
          <w:sz w:val="24"/>
        </w:rPr>
        <w:t>Roll Number: 2022UEE4521</w:t>
      </w:r>
    </w:p>
    <w:p>
      <w:pPr>
        <w:spacing w:after="120" w:before="60"/>
        <w:jc w:val="both"/>
      </w:pPr>
      <w:r>
        <w:rPr>
          <w:rFonts w:ascii="Times New Roman" w:hAnsi="Times New Roman"/>
          <w:sz w:val="24"/>
        </w:rPr>
        <w:t>Programme: B.Tech. Electrical Engineering</w:t>
      </w:r>
    </w:p>
    <w:p>
      <w:pPr>
        <w:spacing w:after="120" w:before="60"/>
        <w:jc w:val="both"/>
      </w:pPr>
      <w:r>
        <w:rPr>
          <w:rFonts w:ascii="Times New Roman" w:hAnsi="Times New Roman"/>
          <w:sz w:val="24"/>
        </w:rPr>
        <w:t>Department: Electrical Engineering</w:t>
      </w:r>
    </w:p>
    <w:p>
      <w:pPr>
        <w:spacing w:after="120" w:before="60"/>
        <w:jc w:val="both"/>
      </w:pPr>
      <w:r>
        <w:rPr>
          <w:rFonts w:ascii="Times New Roman" w:hAnsi="Times New Roman"/>
          <w:sz w:val="24"/>
        </w:rPr>
        <w:t>Institution: Netaji Subhas University of Technology (NSUT), Dwarka, New Delhi - 110078</w:t>
      </w:r>
    </w:p>
    <w:p>
      <w:pPr>
        <w:spacing w:after="120" w:before="60"/>
        <w:jc w:val="both"/>
      </w:pPr>
      <w:r>
        <w:rPr>
          <w:rFonts w:ascii="Times New Roman" w:hAnsi="Times New Roman"/>
          <w:sz w:val="24"/>
        </w:rPr>
        <w:t>Batch: 2022-2026</w:t>
      </w:r>
    </w:p>
    <w:p>
      <w:pPr>
        <w:spacing w:before="0" w:after="0"/>
      </w:pPr>
    </w:p>
    <w:p>
      <w:pPr>
        <w:spacing w:before="240" w:after="120"/>
        <w:jc w:val="left"/>
      </w:pPr>
      <w:r>
        <w:rPr>
          <w:rFonts w:ascii="Times New Roman" w:hAnsi="Times New Roman"/>
          <w:b/>
          <w:sz w:val="24"/>
        </w:rPr>
        <w:t>Pratyai Chakrabarty</w:t>
      </w:r>
    </w:p>
    <w:p>
      <w:pPr>
        <w:spacing w:after="120" w:before="60"/>
        <w:jc w:val="both"/>
      </w:pPr>
      <w:r>
        <w:rPr>
          <w:rFonts w:ascii="Times New Roman" w:hAnsi="Times New Roman"/>
          <w:sz w:val="24"/>
        </w:rPr>
        <w:t>Roll Number: 2022UEE4586</w:t>
      </w:r>
    </w:p>
    <w:p>
      <w:pPr>
        <w:spacing w:after="120" w:before="60"/>
        <w:jc w:val="both"/>
      </w:pPr>
      <w:r>
        <w:rPr>
          <w:rFonts w:ascii="Times New Roman" w:hAnsi="Times New Roman"/>
          <w:sz w:val="24"/>
        </w:rPr>
        <w:t>Programme: B.Tech. Electrical Engineering</w:t>
      </w:r>
    </w:p>
    <w:p>
      <w:pPr>
        <w:spacing w:after="120" w:before="60"/>
        <w:jc w:val="both"/>
      </w:pPr>
      <w:r>
        <w:rPr>
          <w:rFonts w:ascii="Times New Roman" w:hAnsi="Times New Roman"/>
          <w:sz w:val="24"/>
        </w:rPr>
        <w:t>Department: Electrical Engineering</w:t>
      </w:r>
    </w:p>
    <w:p>
      <w:pPr>
        <w:spacing w:after="120" w:before="60"/>
        <w:jc w:val="both"/>
      </w:pPr>
      <w:r>
        <w:rPr>
          <w:rFonts w:ascii="Times New Roman" w:hAnsi="Times New Roman"/>
          <w:sz w:val="24"/>
        </w:rPr>
        <w:t>Institution: Netaji Subhas University of Technology (NSUT), Dwarka, New Delhi - 110078</w:t>
      </w:r>
    </w:p>
    <w:p>
      <w:pPr>
        <w:spacing w:after="120" w:before="60"/>
        <w:jc w:val="both"/>
      </w:pPr>
      <w:r>
        <w:rPr>
          <w:rFonts w:ascii="Times New Roman" w:hAnsi="Times New Roman"/>
          <w:sz w:val="24"/>
        </w:rPr>
        <w:t>Batch: 2022-2026</w:t>
      </w:r>
    </w:p>
    <w:p>
      <w:pPr>
        <w:spacing w:before="0" w:after="0"/>
      </w:pPr>
    </w:p>
    <w:p>
      <w:pPr>
        <w:spacing w:before="240" w:after="120"/>
        <w:jc w:val="left"/>
      </w:pPr>
      <w:r>
        <w:rPr>
          <w:rFonts w:ascii="Times New Roman" w:hAnsi="Times New Roman"/>
          <w:b/>
          <w:sz w:val="24"/>
        </w:rPr>
        <w:t>Aman</w:t>
      </w:r>
    </w:p>
    <w:p>
      <w:pPr>
        <w:spacing w:after="120" w:before="60"/>
        <w:jc w:val="both"/>
      </w:pPr>
      <w:r>
        <w:rPr>
          <w:rFonts w:ascii="Times New Roman" w:hAnsi="Times New Roman"/>
          <w:sz w:val="24"/>
        </w:rPr>
        <w:t>Roll Number: 2022UEE4532</w:t>
      </w:r>
    </w:p>
    <w:p>
      <w:pPr>
        <w:spacing w:after="120" w:before="60"/>
        <w:jc w:val="both"/>
      </w:pPr>
      <w:r>
        <w:rPr>
          <w:rFonts w:ascii="Times New Roman" w:hAnsi="Times New Roman"/>
          <w:sz w:val="24"/>
        </w:rPr>
        <w:t>Programme: B.Tech. Electrical Engineering</w:t>
      </w:r>
    </w:p>
    <w:p>
      <w:pPr>
        <w:spacing w:after="120" w:before="60"/>
        <w:jc w:val="both"/>
      </w:pPr>
      <w:r>
        <w:rPr>
          <w:rFonts w:ascii="Times New Roman" w:hAnsi="Times New Roman"/>
          <w:sz w:val="24"/>
        </w:rPr>
        <w:t>Department: Electrical Engineering</w:t>
      </w:r>
    </w:p>
    <w:p>
      <w:pPr>
        <w:spacing w:after="120" w:before="60"/>
        <w:jc w:val="both"/>
      </w:pPr>
      <w:r>
        <w:rPr>
          <w:rFonts w:ascii="Times New Roman" w:hAnsi="Times New Roman"/>
          <w:sz w:val="24"/>
        </w:rPr>
        <w:t>Institution: Netaji Subhas University of Technology (NSUT), Dwarka, New Delhi - 110078</w:t>
      </w:r>
    </w:p>
    <w:p>
      <w:pPr>
        <w:spacing w:after="120" w:before="60"/>
        <w:jc w:val="both"/>
      </w:pPr>
      <w:r>
        <w:rPr>
          <w:rFonts w:ascii="Times New Roman" w:hAnsi="Times New Roman"/>
          <w:sz w:val="24"/>
        </w:rPr>
        <w:t>Batch: 2022-2026</w:t>
      </w:r>
    </w:p>
    <w:p>
      <w:pPr>
        <w:spacing w:before="0" w:after="0"/>
      </w:pPr>
    </w:p>
    <w:p>
      <w:pPr>
        <w:spacing w:before="240" w:after="120"/>
        <w:jc w:val="left"/>
      </w:pPr>
      <w:r>
        <w:rPr>
          <w:rFonts w:ascii="Times New Roman" w:hAnsi="Times New Roman"/>
          <w:b/>
          <w:sz w:val="24"/>
        </w:rPr>
        <w:t>Aditya Garg</w:t>
      </w:r>
    </w:p>
    <w:p>
      <w:pPr>
        <w:spacing w:after="120" w:before="60"/>
        <w:jc w:val="both"/>
      </w:pPr>
      <w:r>
        <w:rPr>
          <w:rFonts w:ascii="Times New Roman" w:hAnsi="Times New Roman"/>
          <w:sz w:val="24"/>
        </w:rPr>
        <w:t>Roll Number: 2022UEE4503</w:t>
      </w:r>
    </w:p>
    <w:p>
      <w:pPr>
        <w:spacing w:after="120" w:before="60"/>
        <w:jc w:val="both"/>
      </w:pPr>
      <w:r>
        <w:rPr>
          <w:rFonts w:ascii="Times New Roman" w:hAnsi="Times New Roman"/>
          <w:sz w:val="24"/>
        </w:rPr>
        <w:t>Programme: B.Tech. Electrical Engineering</w:t>
      </w:r>
    </w:p>
    <w:p>
      <w:pPr>
        <w:spacing w:after="120" w:before="60"/>
        <w:jc w:val="both"/>
      </w:pPr>
      <w:r>
        <w:rPr>
          <w:rFonts w:ascii="Times New Roman" w:hAnsi="Times New Roman"/>
          <w:sz w:val="24"/>
        </w:rPr>
        <w:t>Department: Electrical Engineering</w:t>
      </w:r>
    </w:p>
    <w:p>
      <w:pPr>
        <w:spacing w:after="120" w:before="60"/>
        <w:jc w:val="both"/>
      </w:pPr>
      <w:r>
        <w:rPr>
          <w:rFonts w:ascii="Times New Roman" w:hAnsi="Times New Roman"/>
          <w:sz w:val="24"/>
        </w:rPr>
        <w:t>Institution: Netaji Subhas University of Technology (NSUT), Dwarka, New Delhi - 110078</w:t>
      </w:r>
    </w:p>
    <w:p>
      <w:pPr>
        <w:spacing w:after="120" w:before="60"/>
        <w:jc w:val="both"/>
      </w:pPr>
      <w:r>
        <w:rPr>
          <w:rFonts w:ascii="Times New Roman" w:hAnsi="Times New Roman"/>
          <w:sz w:val="24"/>
        </w:rPr>
        <w:t>Batch: 2022-2026</w:t>
      </w:r>
    </w:p>
    <w:p>
      <w:pPr>
        <w:spacing w:before="0" w:after="0"/>
      </w:pP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