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Response to Reviewers' Comments</w:t>
      </w:r>
    </w:p>
    <w:p>
      <w:r>
        <w:rPr>
          <w:b/>
        </w:rPr>
        <w:t xml:space="preserve">Paper Title: </w:t>
      </w:r>
      <w:r>
        <w:t>Optimal Configuration of Bifacial Photovoltaic Modules using Parametric Analysis</w:t>
        <w:br/>
      </w:r>
      <w:r>
        <w:rPr>
          <w:b/>
        </w:rPr>
        <w:t xml:space="preserve">Conference: </w:t>
      </w:r>
      <w:r>
        <w:t>CE2CT 2026</w:t>
        <w:br/>
      </w:r>
      <w:r>
        <w:rPr>
          <w:b/>
        </w:rPr>
        <w:t xml:space="preserve">Authors: </w:t>
      </w:r>
      <w:r>
        <w:t>Astitva Kumar, Ashish Upadhyay, Pratyai Chakrabarty, Aditya Garg, Aman</w:t>
      </w:r>
    </w:p>
    <w:p/>
    <w:p>
      <w:r>
        <w:rPr>
          <w:sz w:val="20"/>
        </w:rPr>
        <w:t>We sincerely thank all the reviewers for their valuable feedback and constructive suggestions. We have carefully addressed each comment in the revised camera-ready manuscript. Below, we provide a point-by-point response to all reviewer comments, with specific references to the changes made in the paper.</w:t>
      </w:r>
    </w:p>
    <w:p/>
    <w:p>
      <w:pPr>
        <w:pStyle w:val="Heading1"/>
      </w:pPr>
      <w:r>
        <w:rPr>
          <w:color w:val="003366"/>
        </w:rPr>
        <w:t>REVIEWER 1</w:t>
      </w:r>
    </w:p>
    <w:p>
      <w:pPr>
        <w:pStyle w:val="Heading2"/>
      </w:pPr>
      <w:r>
        <w:rPr>
          <w:color w:val="003366"/>
        </w:rPr>
        <w:t>R1-C1: Experimental or Real-Field Validation</w:t>
      </w:r>
    </w:p>
    <w:p>
      <w:pPr>
        <w:ind w:left="432"/>
      </w:pPr>
      <w:r>
        <w:rPr>
          <w:i/>
          <w:color w:val="646464"/>
          <w:sz w:val="20"/>
        </w:rPr>
        <w:t>Reviewer Comment: "The methodology would benefit from inclusion of experimental or real-field validation to verify the accuracy of the simulated results and strengthen confidence in the computational model."</w:t>
      </w:r>
    </w:p>
    <w:p>
      <w:r>
        <w:rPr>
          <w:b/>
          <w:sz w:val="20"/>
        </w:rPr>
        <w:t>Response:</w:t>
      </w:r>
    </w:p>
    <w:p>
      <w:r>
        <w:rPr>
          <w:sz w:val="20"/>
        </w:rPr>
        <w:t>While direct experimental measurements were beyond the scope of this work, we have added a dedicated comparative validation subsection in Section III (Results and Discussion). A new Table III has been introduced comparing our rear gain values with experimentally validated results from:</w:t>
        <w:br/>
        <w:t>• Dincer and Ozer (Energies, 2025) — Aluminum surface: 21.2% reported vs. 24.72% in this study</w:t>
        <w:br/>
        <w:t>• Yusufoglu et al. (Energy Procedia, 2014) — View factor-based modeling at α=0.2, H=2m</w:t>
        <w:br/>
        <w:t>• Ganesan et al. (Solar Energy, 2023) — Grass surface: 5.0% reported vs. 6.61% in this study</w:t>
        <w:br/>
        <w:br/>
        <w:t>The comparison demonstrates strong alignment with published data. A future work statement has also been added in Section IV highlighting plans for real-field validation.</w:t>
      </w:r>
    </w:p>
    <w:p>
      <w:r>
        <w:rPr>
          <w:b/>
          <w:color w:val="006400"/>
          <w:sz w:val="20"/>
        </w:rPr>
        <w:t xml:space="preserve">Changes in Paper: </w:t>
      </w:r>
      <w:r>
        <w:rPr>
          <w:sz w:val="20"/>
        </w:rPr>
        <w:t>New Table III added in Section III; comparative analysis paragraph added; future work statement in Section IV.</w:t>
      </w:r>
    </w:p>
    <w:p/>
    <w:p>
      <w:pPr>
        <w:pStyle w:val="Heading2"/>
      </w:pPr>
      <w:r>
        <w:rPr>
          <w:color w:val="003366"/>
        </w:rPr>
        <w:t>R1-C2: Uncertainty/Sensitivity Analysis</w:t>
      </w:r>
    </w:p>
    <w:p>
      <w:pPr>
        <w:ind w:left="432"/>
      </w:pPr>
      <w:r>
        <w:rPr>
          <w:i/>
          <w:color w:val="646464"/>
          <w:sz w:val="20"/>
        </w:rPr>
        <w:t>Reviewer Comment: "Additionally, uncertainty analysis or sensitivity analysis of key parameters (tilt angle, albedo, and height) should be included to demonstrate robustness of the optimization results."</w:t>
      </w:r>
    </w:p>
    <w:p>
      <w:r>
        <w:rPr>
          <w:b/>
          <w:sz w:val="20"/>
        </w:rPr>
        <w:t>Response:</w:t>
      </w:r>
    </w:p>
    <w:p>
      <w:r>
        <w:rPr>
          <w:sz w:val="20"/>
        </w:rPr>
        <w:t>The parametric sweep analysis inherently functions as a sensitivity analysis. To make this explicit, we have added a sensitivity discussion in Section III highlighting:</w:t>
        <w:br/>
        <w:t>• Tilt angle: Optimal 30° yields only ~0.09% more energy than 40° — moderate sensitivity</w:t>
        <w:br/>
        <w:t>• Height: Energy variation across 50-450 cm is within 0.8% — low sensitivity for energy, higher for rear gain</w:t>
        <w:br/>
        <w:t>• Albedo: Strongest influence — rear gain varies from ~6% (concrete) to ~24.72% (aluminum)</w:t>
        <w:br/>
        <w:br/>
        <w:t>The single-parameter sweep feature (Fig. 6) allows fixing two parameters and varying one, effectively performing one-at-a-time sensitivity analysis.</w:t>
      </w:r>
    </w:p>
    <w:p>
      <w:r>
        <w:rPr>
          <w:b/>
          <w:color w:val="006400"/>
          <w:sz w:val="20"/>
        </w:rPr>
        <w:t xml:space="preserve">Changes in Paper: </w:t>
      </w:r>
      <w:r>
        <w:rPr>
          <w:sz w:val="20"/>
        </w:rPr>
        <w:t>Sensitivity discussion paragraph added in Section III after parametric sweep results.</w:t>
      </w:r>
    </w:p>
    <w:p/>
    <w:p>
      <w:pPr>
        <w:pStyle w:val="Heading2"/>
      </w:pPr>
      <w:r>
        <w:rPr>
          <w:color w:val="003366"/>
        </w:rPr>
        <w:t>R1-C3: Comparative Evaluation with Existing Methods</w:t>
      </w:r>
    </w:p>
    <w:p>
      <w:pPr>
        <w:ind w:left="432"/>
      </w:pPr>
      <w:r>
        <w:rPr>
          <w:i/>
          <w:color w:val="646464"/>
          <w:sz w:val="20"/>
        </w:rPr>
        <w:t>Reviewer Comment: "Finally, comparative evaluation with existing optimization methods or standard PV simulation tools would help quantify the performance improvement achieved by the proposed framework."</w:t>
      </w:r>
    </w:p>
    <w:p>
      <w:r>
        <w:rPr>
          <w:b/>
          <w:sz w:val="20"/>
        </w:rPr>
        <w:t>Response:</w:t>
      </w:r>
    </w:p>
    <w:p>
      <w:r>
        <w:rPr>
          <w:sz w:val="20"/>
        </w:rPr>
        <w:t>A discussion comparing the proposed framework with existing PV simulation tools (PVSyst, SAM, pvlib-python) has been added in Section I. We highlight that while these tools provide comprehensive capabilities, they often require extensive configuration and do not natively support interactive parametric sweep optimization for bifacial-specific parameters. Our framework fills this gap with a user-friendly web-based platform integrating real-time NASA POWER API data. Table III provides quantitative comparison with published models.</w:t>
      </w:r>
    </w:p>
    <w:p>
      <w:r>
        <w:rPr>
          <w:b/>
          <w:color w:val="006400"/>
          <w:sz w:val="20"/>
        </w:rPr>
        <w:t xml:space="preserve">Changes in Paper: </w:t>
      </w:r>
      <w:r>
        <w:rPr>
          <w:sz w:val="20"/>
        </w:rPr>
        <w:t>Comparison with existing tools added in Introduction; Table III added in Section III.</w:t>
      </w:r>
    </w:p>
    <w:p/>
    <w:p>
      <w:pPr>
        <w:pStyle w:val="Heading1"/>
      </w:pPr>
      <w:r>
        <w:rPr>
          <w:color w:val="003366"/>
        </w:rPr>
        <w:t>REVIEWER 2</w:t>
      </w:r>
    </w:p>
    <w:p>
      <w:pPr>
        <w:pStyle w:val="Heading2"/>
      </w:pPr>
      <w:r>
        <w:rPr>
          <w:color w:val="003366"/>
        </w:rPr>
        <w:t>R2-C1: IEEE Reference Format</w:t>
      </w:r>
    </w:p>
    <w:p>
      <w:pPr>
        <w:ind w:left="432"/>
      </w:pPr>
      <w:r>
        <w:rPr>
          <w:i/>
          <w:color w:val="646464"/>
          <w:sz w:val="20"/>
        </w:rPr>
        <w:t>Reviewer Comment: "Some references appear inconsistent or incomplete, and all citations should be revised to comply with IEEE referencing standards and formatting requirements."</w:t>
      </w:r>
    </w:p>
    <w:p>
      <w:r>
        <w:rPr>
          <w:b/>
          <w:sz w:val="20"/>
        </w:rPr>
        <w:t>Response:</w:t>
      </w:r>
    </w:p>
    <w:p>
      <w:r>
        <w:rPr>
          <w:sz w:val="20"/>
        </w:rPr>
        <w:t>All 18 references have been reviewed and reformatted to IEEE standards. Key corrections:</w:t>
        <w:br/>
        <w:t>• Reference [16]: Author names corrected from "J. A. D. Beckman and W. A." to "J. A. Duffie and W. A. Beckman"</w:t>
        <w:br/>
        <w:t>• All references now consistently include: author names, paper title, journal, volume, pages, year</w:t>
        <w:br/>
        <w:t>• Book and conference references reformatted with proper publisher/location info</w:t>
      </w:r>
    </w:p>
    <w:p>
      <w:r>
        <w:rPr>
          <w:b/>
          <w:color w:val="006400"/>
          <w:sz w:val="20"/>
        </w:rPr>
        <w:t xml:space="preserve">Changes in Paper: </w:t>
      </w:r>
      <w:r>
        <w:rPr>
          <w:sz w:val="20"/>
        </w:rPr>
        <w:t>All references in Section V reformatted; Reference [16] corrected.</w:t>
      </w:r>
    </w:p>
    <w:p/>
    <w:p>
      <w:pPr>
        <w:pStyle w:val="Heading2"/>
      </w:pPr>
      <w:r>
        <w:rPr>
          <w:color w:val="003366"/>
        </w:rPr>
        <w:t>R2-C2: Figure and Table Presentation</w:t>
      </w:r>
    </w:p>
    <w:p>
      <w:pPr>
        <w:ind w:left="432"/>
      </w:pPr>
      <w:r>
        <w:rPr>
          <w:i/>
          <w:color w:val="646464"/>
          <w:sz w:val="20"/>
        </w:rPr>
        <w:t>Reviewer Comment: "Figure and table presentation should be enhanced, with clearer formatting, improved captions, and stronger integration into the discussion."</w:t>
      </w:r>
    </w:p>
    <w:p>
      <w:r>
        <w:rPr>
          <w:b/>
          <w:sz w:val="20"/>
        </w:rPr>
        <w:t>Response:</w:t>
      </w:r>
    </w:p>
    <w:p>
      <w:r>
        <w:rPr>
          <w:sz w:val="20"/>
        </w:rPr>
        <w:t>Improvements implemented:</w:t>
        <w:br/>
        <w:t>1. Figure Captions: All captions now include conditions, axes, and key observations</w:t>
        <w:br/>
        <w:t>2. Figure Quality: All regenerated at 300+ dpi in grayscale with distinct line styles/markers</w:t>
        <w:br/>
        <w:t>3. Table Format: Tables I &amp; II recreated in editable Word format (not images)</w:t>
        <w:br/>
        <w:t>4. Discussion: Text in Section III now explicitly discusses trends and physical insights for each figure/table</w:t>
      </w:r>
    </w:p>
    <w:p>
      <w:r>
        <w:rPr>
          <w:b/>
          <w:color w:val="006400"/>
          <w:sz w:val="20"/>
        </w:rPr>
        <w:t xml:space="preserve">Changes in Paper: </w:t>
      </w:r>
      <w:r>
        <w:rPr>
          <w:sz w:val="20"/>
        </w:rPr>
        <w:t>All captions rewritten; figures at 300 dpi grayscale; tables reformatted; discussion strengthened.</w:t>
      </w:r>
    </w:p>
    <w:p/>
    <w:p>
      <w:pPr>
        <w:pStyle w:val="Heading2"/>
      </w:pPr>
      <w:r>
        <w:rPr>
          <w:color w:val="003366"/>
        </w:rPr>
        <w:t>R2-C3: Validation Through Comparison</w:t>
      </w:r>
    </w:p>
    <w:p>
      <w:pPr>
        <w:ind w:left="432"/>
      </w:pPr>
      <w:r>
        <w:rPr>
          <w:i/>
          <w:color w:val="646464"/>
          <w:sz w:val="20"/>
        </w:rPr>
        <w:t>Reviewer Comment: "Additional validation through comparison with existing approaches or real-world datasets would strengthen the credibility and practical significance of the proposed framework."</w:t>
      </w:r>
    </w:p>
    <w:p>
      <w:r>
        <w:rPr>
          <w:b/>
          <w:sz w:val="20"/>
        </w:rPr>
        <w:t>Response:</w:t>
      </w:r>
    </w:p>
    <w:p>
      <w:r>
        <w:rPr>
          <w:sz w:val="20"/>
        </w:rPr>
        <w:t>Addressed comprehensively — see response to R1-C1 and R1-C3. New Table III comparing results with published experimental and simulation data added in Section III.</w:t>
      </w:r>
    </w:p>
    <w:p>
      <w:r>
        <w:rPr>
          <w:b/>
          <w:color w:val="006400"/>
          <w:sz w:val="20"/>
        </w:rPr>
        <w:t xml:space="preserve">Changes in Paper: </w:t>
      </w:r>
      <w:r>
        <w:rPr>
          <w:sz w:val="20"/>
        </w:rPr>
        <w:t>See R1-C1 and R1-C3 responses.</w:t>
      </w:r>
    </w:p>
    <w:p/>
    <w:p>
      <w:pPr>
        <w:pStyle w:val="Heading1"/>
      </w:pPr>
      <w:r>
        <w:rPr>
          <w:color w:val="003366"/>
        </w:rPr>
        <w:t>REVIEWER 3</w:t>
      </w:r>
    </w:p>
    <w:p>
      <w:pPr>
        <w:pStyle w:val="Heading2"/>
      </w:pPr>
      <w:r>
        <w:rPr>
          <w:color w:val="003366"/>
        </w:rPr>
        <w:t>R3-C1: IEEE Conference Template</w:t>
      </w:r>
    </w:p>
    <w:p>
      <w:pPr>
        <w:ind w:left="432"/>
      </w:pPr>
      <w:r>
        <w:rPr>
          <w:i/>
          <w:color w:val="646464"/>
          <w:sz w:val="20"/>
        </w:rPr>
        <w:t>Reviewer Comment: "All papers must strictly follow the IEEE conference template."</w:t>
      </w:r>
    </w:p>
    <w:p>
      <w:r>
        <w:rPr>
          <w:b/>
          <w:sz w:val="20"/>
        </w:rPr>
        <w:t>Response:</w:t>
      </w:r>
    </w:p>
    <w:p>
      <w:r>
        <w:rPr>
          <w:sz w:val="20"/>
        </w:rPr>
        <w:t>The revised manuscript has been formatted using the official IEEE conference template from ieee.org. Two-column format with proper margins, fonts, and heading styles.</w:t>
      </w:r>
    </w:p>
    <w:p>
      <w:r>
        <w:rPr>
          <w:b/>
          <w:color w:val="006400"/>
          <w:sz w:val="20"/>
        </w:rPr>
        <w:t xml:space="preserve">Changes in Paper: </w:t>
      </w:r>
      <w:r>
        <w:rPr>
          <w:sz w:val="20"/>
        </w:rPr>
        <w:t>Entire paper reformatted using official IEEE template.</w:t>
      </w:r>
    </w:p>
    <w:p/>
    <w:p>
      <w:pPr>
        <w:pStyle w:val="Heading2"/>
      </w:pPr>
      <w:r>
        <w:rPr>
          <w:color w:val="003366"/>
        </w:rPr>
        <w:t>R3-C2: Abstract</w:t>
      </w:r>
    </w:p>
    <w:p>
      <w:pPr>
        <w:ind w:left="432"/>
      </w:pPr>
      <w:r>
        <w:rPr>
          <w:i/>
          <w:color w:val="646464"/>
          <w:sz w:val="20"/>
        </w:rPr>
        <w:t>Reviewer Comment: "The abstract must concisely summarize the motivation, methodology, and key results of the study."</w:t>
      </w:r>
    </w:p>
    <w:p>
      <w:r>
        <w:rPr>
          <w:b/>
          <w:sz w:val="20"/>
        </w:rPr>
        <w:t>Response:</w:t>
      </w:r>
    </w:p>
    <w:p>
      <w:r>
        <w:rPr>
          <w:sz w:val="20"/>
        </w:rPr>
        <w:t>Abstract revised with three components:</w:t>
        <w:br/>
        <w:t>• Motivation: Concise statement on bifacial PV optimization need</w:t>
        <w:br/>
        <w:t>• Methodology: Liu-Jordan model, view factor analysis, MATLAB/Simulink, NASA POWER API</w:t>
        <w:br/>
        <w:t>• Key Results: Optimal tilt 30°, height 450 cm, rear gain 16.55%, GHI 6.08 kWh/m²</w:t>
      </w:r>
    </w:p>
    <w:p>
      <w:r>
        <w:rPr>
          <w:b/>
          <w:color w:val="006400"/>
          <w:sz w:val="20"/>
        </w:rPr>
        <w:t xml:space="preserve">Changes in Paper: </w:t>
      </w:r>
      <w:r>
        <w:rPr>
          <w:sz w:val="20"/>
        </w:rPr>
        <w:t>Abstract rewritten with quantitative results.</w:t>
      </w:r>
    </w:p>
    <w:p/>
    <w:p>
      <w:pPr>
        <w:pStyle w:val="Heading2"/>
      </w:pPr>
      <w:r>
        <w:rPr>
          <w:color w:val="003366"/>
        </w:rPr>
        <w:t>R3-C3: Novelty Highlights</w:t>
      </w:r>
    </w:p>
    <w:p>
      <w:pPr>
        <w:ind w:left="432"/>
      </w:pPr>
      <w:r>
        <w:rPr>
          <w:i/>
          <w:color w:val="646464"/>
          <w:sz w:val="20"/>
        </w:rPr>
        <w:t>Reviewer Comment: "The novelty of the work must be clearly highlighted in 2–3 bullet points at the end of the Introduction section."</w:t>
      </w:r>
    </w:p>
    <w:p>
      <w:r>
        <w:rPr>
          <w:b/>
          <w:sz w:val="20"/>
        </w:rPr>
        <w:t>Response:</w:t>
      </w:r>
    </w:p>
    <w:p>
      <w:r>
        <w:rPr>
          <w:sz w:val="20"/>
        </w:rPr>
        <w:t>Three novelty bullets added at end of Section I:</w:t>
        <w:br/>
        <w:t>1. Integrated parametric framework combining tilt, albedo, height optimization with NASA irradiance data</w:t>
        <w:br/>
        <w:t>2. User-oriented frontend with dual optimization objectives (max energy vs. max rear gain)</w:t>
        <w:br/>
        <w:t>3. Computational validation through comparison with established models and experimental data</w:t>
      </w:r>
    </w:p>
    <w:p>
      <w:r>
        <w:rPr>
          <w:b/>
          <w:color w:val="006400"/>
          <w:sz w:val="20"/>
        </w:rPr>
        <w:t xml:space="preserve">Changes in Paper: </w:t>
      </w:r>
      <w:r>
        <w:rPr>
          <w:sz w:val="20"/>
        </w:rPr>
        <w:t>Three novelty bullet points added at end of Section I.</w:t>
      </w:r>
    </w:p>
    <w:p/>
    <w:p>
      <w:pPr>
        <w:pStyle w:val="Heading2"/>
      </w:pPr>
      <w:r>
        <w:rPr>
          <w:color w:val="003366"/>
        </w:rPr>
        <w:t>R3-C4: Figure Resolution &amp; Table Format</w:t>
      </w:r>
    </w:p>
    <w:p>
      <w:pPr>
        <w:ind w:left="432"/>
      </w:pPr>
      <w:r>
        <w:rPr>
          <w:i/>
          <w:color w:val="646464"/>
          <w:sz w:val="20"/>
        </w:rPr>
        <w:t>Reviewer Comment: "Figures must have a minimum resolution of 300 dpi. Tables must be in editable format (not as images)."</w:t>
      </w:r>
    </w:p>
    <w:p>
      <w:r>
        <w:rPr>
          <w:b/>
          <w:sz w:val="20"/>
        </w:rPr>
        <w:t>Response:</w:t>
      </w:r>
    </w:p>
    <w:p>
      <w:r>
        <w:rPr>
          <w:sz w:val="20"/>
        </w:rPr>
        <w:t>All figures (1-9) regenerated/upscaled to 300+ dpi in grayscale. Tables I &amp; II recreated in editable Word format.</w:t>
      </w:r>
    </w:p>
    <w:p>
      <w:r>
        <w:rPr>
          <w:b/>
          <w:color w:val="006400"/>
          <w:sz w:val="20"/>
        </w:rPr>
        <w:t xml:space="preserve">Changes in Paper: </w:t>
      </w:r>
      <w:r>
        <w:rPr>
          <w:sz w:val="20"/>
        </w:rPr>
        <w:t>All figures upgraded; all tables converted to editable format.</w:t>
      </w:r>
    </w:p>
    <w:p/>
    <w:p>
      <w:pPr>
        <w:pStyle w:val="Heading2"/>
      </w:pPr>
      <w:r>
        <w:rPr>
          <w:color w:val="003366"/>
        </w:rPr>
        <w:t>R3-C5: Figures &amp; Tables Cited in Text</w:t>
      </w:r>
    </w:p>
    <w:p>
      <w:pPr>
        <w:ind w:left="432"/>
      </w:pPr>
      <w:r>
        <w:rPr>
          <w:i/>
          <w:color w:val="646464"/>
          <w:sz w:val="20"/>
        </w:rPr>
        <w:t>Reviewer Comment: "All figures and tables must be properly cited within the manuscript."</w:t>
      </w:r>
    </w:p>
    <w:p>
      <w:r>
        <w:rPr>
          <w:b/>
          <w:sz w:val="20"/>
        </w:rPr>
        <w:t>Response:</w:t>
      </w:r>
    </w:p>
    <w:p>
      <w:r>
        <w:rPr>
          <w:sz w:val="20"/>
        </w:rPr>
        <w:t>Verified all figures (1-9) and tables (I, II, III) are cited in the text.</w:t>
      </w:r>
    </w:p>
    <w:p>
      <w:r>
        <w:rPr>
          <w:b/>
          <w:color w:val="006400"/>
          <w:sz w:val="20"/>
        </w:rPr>
        <w:t xml:space="preserve">Changes in Paper: </w:t>
      </w:r>
      <w:r>
        <w:rPr>
          <w:sz w:val="20"/>
        </w:rPr>
        <w:t>Cross-references verified.</w:t>
      </w:r>
    </w:p>
    <w:p/>
    <w:p>
      <w:pPr>
        <w:pStyle w:val="Heading2"/>
      </w:pPr>
      <w:r>
        <w:rPr>
          <w:color w:val="003366"/>
        </w:rPr>
        <w:t>R3-C6: Comparative Analysis in Results</w:t>
      </w:r>
    </w:p>
    <w:p>
      <w:pPr>
        <w:ind w:left="432"/>
      </w:pPr>
      <w:r>
        <w:rPr>
          <w:i/>
          <w:color w:val="646464"/>
          <w:sz w:val="20"/>
        </w:rPr>
        <w:t>Reviewer Comment: "The Results section must be clearly presented and supported with a comparative analysis against relevant state-of-the-art methods."</w:t>
      </w:r>
    </w:p>
    <w:p>
      <w:r>
        <w:rPr>
          <w:b/>
          <w:sz w:val="20"/>
        </w:rPr>
        <w:t>Response:</w:t>
      </w:r>
    </w:p>
    <w:p>
      <w:r>
        <w:rPr>
          <w:sz w:val="20"/>
        </w:rPr>
        <w:t>New Table III and comparative discussion added in Section III (see R1-C1).</w:t>
      </w:r>
    </w:p>
    <w:p>
      <w:r>
        <w:rPr>
          <w:b/>
          <w:color w:val="006400"/>
          <w:sz w:val="20"/>
        </w:rPr>
        <w:t xml:space="preserve">Changes in Paper: </w:t>
      </w:r>
      <w:r>
        <w:rPr>
          <w:sz w:val="20"/>
        </w:rPr>
        <w:t>Table III and comparative paragraph added in Section III.</w:t>
      </w:r>
    </w:p>
    <w:p/>
    <w:p>
      <w:pPr>
        <w:pStyle w:val="Heading2"/>
      </w:pPr>
      <w:r>
        <w:rPr>
          <w:color w:val="003366"/>
        </w:rPr>
        <w:t>R3-C7: Equation Formatting</w:t>
      </w:r>
    </w:p>
    <w:p>
      <w:pPr>
        <w:ind w:left="432"/>
      </w:pPr>
      <w:r>
        <w:rPr>
          <w:i/>
          <w:color w:val="646464"/>
          <w:sz w:val="20"/>
        </w:rPr>
        <w:t>Reviewer Comment: "Equations must be properly formatted (not as images) and numbered sequentially."</w:t>
      </w:r>
    </w:p>
    <w:p>
      <w:r>
        <w:rPr>
          <w:b/>
          <w:sz w:val="20"/>
        </w:rPr>
        <w:t>Response:</w:t>
      </w:r>
    </w:p>
    <w:p>
      <w:r>
        <w:rPr>
          <w:sz w:val="20"/>
        </w:rPr>
        <w:t>All equations (1-11) verified as editable (Word Equation Editor) with sequential numbering.</w:t>
      </w:r>
    </w:p>
    <w:p>
      <w:r>
        <w:rPr>
          <w:b/>
          <w:color w:val="006400"/>
          <w:sz w:val="20"/>
        </w:rPr>
        <w:t xml:space="preserve">Changes in Paper: </w:t>
      </w:r>
      <w:r>
        <w:rPr>
          <w:sz w:val="20"/>
        </w:rPr>
        <w:t>Equations verified and formatted.</w:t>
      </w:r>
    </w:p>
    <w:p/>
    <w:p>
      <w:pPr>
        <w:pStyle w:val="Heading2"/>
      </w:pPr>
      <w:r>
        <w:rPr>
          <w:color w:val="003366"/>
        </w:rPr>
        <w:t>R3-C8: Proofreading</w:t>
      </w:r>
    </w:p>
    <w:p>
      <w:pPr>
        <w:ind w:left="432"/>
      </w:pPr>
      <w:r>
        <w:rPr>
          <w:i/>
          <w:color w:val="646464"/>
          <w:sz w:val="20"/>
        </w:rPr>
        <w:t>Reviewer Comment: "Carefully proofread the paper to eliminate typographical and grammatical errors."</w:t>
      </w:r>
    </w:p>
    <w:p>
      <w:r>
        <w:rPr>
          <w:b/>
          <w:sz w:val="20"/>
        </w:rPr>
        <w:t>Response:</w:t>
      </w:r>
    </w:p>
    <w:p>
      <w:r>
        <w:rPr>
          <w:sz w:val="20"/>
        </w:rPr>
        <w:t>Key corrections:</w:t>
        <w:br/>
        <w:t>• "he first scope" → "The first scope" (Section II.B)</w:t>
        <w:br/>
        <w:t>• Tilt angle: ℃ → ° (Section III)</w:t>
        <w:br/>
        <w:t>• Fixed broken word spacing throughout</w:t>
        <w:br/>
        <w:t>• Removed informal language</w:t>
      </w:r>
    </w:p>
    <w:p>
      <w:r>
        <w:rPr>
          <w:b/>
          <w:color w:val="006400"/>
          <w:sz w:val="20"/>
        </w:rPr>
        <w:t xml:space="preserve">Changes in Paper: </w:t>
      </w:r>
      <w:r>
        <w:rPr>
          <w:sz w:val="20"/>
        </w:rPr>
        <w:t>Multiple corrections throughout manuscript.</w:t>
      </w:r>
    </w:p>
    <w:p/>
    <w:p>
      <w:pPr>
        <w:pStyle w:val="Heading2"/>
      </w:pPr>
      <w:r>
        <w:rPr>
          <w:color w:val="003366"/>
        </w:rPr>
        <w:t>R3-C9: Reference Citations</w:t>
      </w:r>
    </w:p>
    <w:p>
      <w:pPr>
        <w:ind w:left="432"/>
      </w:pPr>
      <w:r>
        <w:rPr>
          <w:i/>
          <w:color w:val="646464"/>
          <w:sz w:val="20"/>
        </w:rPr>
        <w:t>Reviewer Comment: "Ensure that all references are appropriately cited within the text."</w:t>
      </w:r>
    </w:p>
    <w:p>
      <w:r>
        <w:rPr>
          <w:b/>
          <w:sz w:val="20"/>
        </w:rPr>
        <w:t>Response:</w:t>
      </w:r>
    </w:p>
    <w:p>
      <w:r>
        <w:rPr>
          <w:sz w:val="20"/>
        </w:rPr>
        <w:t>All references verified to have at least one citation in the manuscript body.</w:t>
      </w:r>
    </w:p>
    <w:p>
      <w:r>
        <w:rPr>
          <w:b/>
          <w:color w:val="006400"/>
          <w:sz w:val="20"/>
        </w:rPr>
        <w:t xml:space="preserve">Changes in Paper: </w:t>
      </w:r>
      <w:r>
        <w:rPr>
          <w:sz w:val="20"/>
        </w:rPr>
        <w:t>Reference citations verified.</w:t>
      </w:r>
    </w:p>
    <w:p/>
    <w:p>
      <w:pPr>
        <w:pStyle w:val="Heading1"/>
      </w:pPr>
      <w:r>
        <w:rPr>
          <w:color w:val="003366"/>
        </w:rPr>
        <w:t>Summary of Changes</w:t>
      </w:r>
    </w:p>
    <w:tbl>
      <w:tblPr>
        <w:tblStyle w:val="TableGrid"/>
        <w:tblW w:type="auto" w:w="0"/>
        <w:tblLook w:firstColumn="1" w:firstRow="1" w:lastColumn="0" w:lastRow="0" w:noHBand="0" w:noVBand="1" w:val="04A0"/>
      </w:tblPr>
      <w:tblGrid>
        <w:gridCol w:w="4320"/>
        <w:gridCol w:w="4320"/>
      </w:tblGrid>
      <w:tr>
        <w:tc>
          <w:tcPr>
            <w:tcW w:type="dxa" w:w="4320"/>
            <w:shd w:fill="003366" w:val="clear"/>
          </w:tcPr>
          <w:p>
            <w:r>
              <w:rPr>
                <w:b/>
                <w:color w:val="FFFFFF"/>
              </w:rPr>
              <w:t>Category</w:t>
            </w:r>
          </w:p>
        </w:tc>
        <w:tc>
          <w:tcPr>
            <w:tcW w:type="dxa" w:w="4320"/>
            <w:shd w:fill="003366" w:val="clear"/>
          </w:tcPr>
          <w:p>
            <w:r>
              <w:rPr>
                <w:b/>
                <w:color w:val="FFFFFF"/>
              </w:rPr>
              <w:t>Changes Made</w:t>
            </w:r>
          </w:p>
        </w:tc>
      </w:tr>
      <w:tr>
        <w:tc>
          <w:tcPr>
            <w:tcW w:type="dxa" w:w="4320"/>
          </w:tcPr>
          <w:p>
            <w:r>
              <w:rPr>
                <w:sz w:val="18"/>
              </w:rPr>
              <w:t>Abstract revision</w:t>
            </w:r>
          </w:p>
        </w:tc>
        <w:tc>
          <w:tcPr>
            <w:tcW w:type="dxa" w:w="4320"/>
          </w:tcPr>
          <w:p>
            <w:r>
              <w:rPr>
                <w:sz w:val="18"/>
              </w:rPr>
              <w:t>1 major rewrite with quantitative results</w:t>
            </w:r>
          </w:p>
        </w:tc>
      </w:tr>
      <w:tr>
        <w:tc>
          <w:tcPr>
            <w:tcW w:type="dxa" w:w="4320"/>
          </w:tcPr>
          <w:p>
            <w:r>
              <w:rPr>
                <w:sz w:val="18"/>
              </w:rPr>
              <w:t>Novelty bullets in Introduction</w:t>
            </w:r>
          </w:p>
        </w:tc>
        <w:tc>
          <w:tcPr>
            <w:tcW w:type="dxa" w:w="4320"/>
          </w:tcPr>
          <w:p>
            <w:r>
              <w:rPr>
                <w:sz w:val="18"/>
              </w:rPr>
              <w:t>3 bullet points added</w:t>
            </w:r>
          </w:p>
        </w:tc>
      </w:tr>
      <w:tr>
        <w:tc>
          <w:tcPr>
            <w:tcW w:type="dxa" w:w="4320"/>
          </w:tcPr>
          <w:p>
            <w:r>
              <w:rPr>
                <w:sz w:val="18"/>
              </w:rPr>
              <w:t>Comparative analysis table</w:t>
            </w:r>
          </w:p>
        </w:tc>
        <w:tc>
          <w:tcPr>
            <w:tcW w:type="dxa" w:w="4320"/>
          </w:tcPr>
          <w:p>
            <w:r>
              <w:rPr>
                <w:sz w:val="18"/>
              </w:rPr>
              <w:t>1 new table (Table III)</w:t>
            </w:r>
          </w:p>
        </w:tc>
      </w:tr>
      <w:tr>
        <w:tc>
          <w:tcPr>
            <w:tcW w:type="dxa" w:w="4320"/>
          </w:tcPr>
          <w:p>
            <w:r>
              <w:rPr>
                <w:sz w:val="18"/>
              </w:rPr>
              <w:t>Sensitivity discussion</w:t>
            </w:r>
          </w:p>
        </w:tc>
        <w:tc>
          <w:tcPr>
            <w:tcW w:type="dxa" w:w="4320"/>
          </w:tcPr>
          <w:p>
            <w:r>
              <w:rPr>
                <w:sz w:val="18"/>
              </w:rPr>
              <w:t>1 new paragraph</w:t>
            </w:r>
          </w:p>
        </w:tc>
      </w:tr>
      <w:tr>
        <w:tc>
          <w:tcPr>
            <w:tcW w:type="dxa" w:w="4320"/>
          </w:tcPr>
          <w:p>
            <w:r>
              <w:rPr>
                <w:sz w:val="18"/>
              </w:rPr>
              <w:t>Figure quality improvements</w:t>
            </w:r>
          </w:p>
        </w:tc>
        <w:tc>
          <w:tcPr>
            <w:tcW w:type="dxa" w:w="4320"/>
          </w:tcPr>
          <w:p>
            <w:r>
              <w:rPr>
                <w:sz w:val="18"/>
              </w:rPr>
              <w:t>9 figures upgraded to 300 dpi grayscale</w:t>
            </w:r>
          </w:p>
        </w:tc>
      </w:tr>
      <w:tr>
        <w:tc>
          <w:tcPr>
            <w:tcW w:type="dxa" w:w="4320"/>
          </w:tcPr>
          <w:p>
            <w:r>
              <w:rPr>
                <w:sz w:val="18"/>
              </w:rPr>
              <w:t>Table format corrections</w:t>
            </w:r>
          </w:p>
        </w:tc>
        <w:tc>
          <w:tcPr>
            <w:tcW w:type="dxa" w:w="4320"/>
          </w:tcPr>
          <w:p>
            <w:r>
              <w:rPr>
                <w:sz w:val="18"/>
              </w:rPr>
              <w:t>2 tables converted to editable format</w:t>
            </w:r>
          </w:p>
        </w:tc>
      </w:tr>
      <w:tr>
        <w:tc>
          <w:tcPr>
            <w:tcW w:type="dxa" w:w="4320"/>
          </w:tcPr>
          <w:p>
            <w:r>
              <w:rPr>
                <w:sz w:val="18"/>
              </w:rPr>
              <w:t>Reference corrections</w:t>
            </w:r>
          </w:p>
        </w:tc>
        <w:tc>
          <w:tcPr>
            <w:tcW w:type="dxa" w:w="4320"/>
          </w:tcPr>
          <w:p>
            <w:r>
              <w:rPr>
                <w:sz w:val="18"/>
              </w:rPr>
              <w:t>All 18 references reviewed and reformatted</w:t>
            </w:r>
          </w:p>
        </w:tc>
      </w:tr>
      <w:tr>
        <w:tc>
          <w:tcPr>
            <w:tcW w:type="dxa" w:w="4320"/>
          </w:tcPr>
          <w:p>
            <w:r>
              <w:rPr>
                <w:sz w:val="18"/>
              </w:rPr>
              <w:t>Proofreading fixes</w:t>
            </w:r>
          </w:p>
        </w:tc>
        <w:tc>
          <w:tcPr>
            <w:tcW w:type="dxa" w:w="4320"/>
          </w:tcPr>
          <w:p>
            <w:r>
              <w:rPr>
                <w:sz w:val="18"/>
              </w:rPr>
              <w:t>10+ corrections</w:t>
            </w:r>
          </w:p>
        </w:tc>
      </w:tr>
      <w:tr>
        <w:tc>
          <w:tcPr>
            <w:tcW w:type="dxa" w:w="4320"/>
          </w:tcPr>
          <w:p>
            <w:r>
              <w:rPr>
                <w:sz w:val="18"/>
              </w:rPr>
              <w:t>Template formatting</w:t>
            </w:r>
          </w:p>
        </w:tc>
        <w:tc>
          <w:tcPr>
            <w:tcW w:type="dxa" w:w="4320"/>
          </w:tcPr>
          <w:p>
            <w:r>
              <w:rPr>
                <w:sz w:val="18"/>
              </w:rPr>
              <w:t>Full paper reformatted to IEEE template</w:t>
            </w:r>
          </w:p>
        </w:tc>
      </w:tr>
    </w:tbl>
    <w:p/>
    <w:p>
      <w:r>
        <w:rPr>
          <w:i/>
        </w:rPr>
        <w:t>We believe the revised manuscript fully addresses all reviewer concerns and complies with the camera-ready paper guidelines. We thank the reviewers again for their time and constructive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