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2"/>
        </w:rPr>
        <w:t>CHAPTER 3</w:t>
      </w:r>
    </w:p>
    <w:p>
      <w:pPr>
        <w:spacing w:before="240" w:after="120"/>
        <w:jc w:val="center"/>
      </w:pPr>
      <w:r>
        <w:rPr>
          <w:rFonts w:ascii="Times New Roman" w:hAnsi="Times New Roman"/>
          <w:b/>
          <w:sz w:val="28"/>
        </w:rPr>
        <w:t>METHODOLOGY</w:t>
      </w:r>
    </w:p>
    <w:p>
      <w:pPr>
        <w:spacing w:before="0" w:after="0"/>
      </w:pPr>
    </w:p>
    <w:p>
      <w:pPr>
        <w:spacing w:before="240" w:after="120"/>
        <w:jc w:val="left"/>
      </w:pPr>
      <w:r>
        <w:rPr>
          <w:rFonts w:ascii="Times New Roman" w:hAnsi="Times New Roman"/>
          <w:b/>
          <w:sz w:val="28"/>
        </w:rPr>
        <w:t>3.1  Overview of the Proposed Framework</w:t>
      </w:r>
    </w:p>
    <w:p>
      <w:pPr>
        <w:spacing w:after="120" w:before="60"/>
        <w:jc w:val="both"/>
      </w:pPr>
      <w:r>
        <w:rPr>
          <w:rFonts w:ascii="Times New Roman" w:hAnsi="Times New Roman"/>
          <w:sz w:val="24"/>
        </w:rPr>
        <w:t>This chapter details the methodology developed for the parametric analysis and performance optimisation of bifacial photovoltaic systems. The framework rests on three interlocking pillars: a physics-based irradiance model that resolves both front- and rear-surface contributions; a MATLAB/Simulink electrical model that translates the computed irradiance into current-voltage and power-voltage characteristics; and a web-based frontend platform that automates data retrieval and parametric sweep execution for any user-specified location and date range. Together, these components form an end-to-end pipeline through which a practitioner can determine the installation geometry—tilt angle, ground albedo, and mounting height—that maximises energy harvest at a chosen site without requiring proprietary software or specialist modelling knowledge.</w:t>
      </w:r>
    </w:p>
    <w:p>
      <w:pPr>
        <w:spacing w:after="120" w:before="60"/>
        <w:jc w:val="both"/>
      </w:pPr>
      <w:r>
        <w:rPr>
          <w:rFonts w:ascii="Times New Roman" w:hAnsi="Times New Roman"/>
          <w:sz w:val="24"/>
        </w:rPr>
        <w:t>The computational sequence begins when the user specifies a geographic location, date range, and sweep bounds through the browser interface. The backend service converts the city name to geographic co-ordinates, fetches hourly irradiance data from the NASA POWER API, and feeds this dataset into the analysis engine. The engine evaluates every combination of the swept parameters using the mathematical formulation described in Sections 3.2 and 3.3, ranks the resulting configurations according to the chosen objective—maximum cumulative energy or maximum rear-side gain—and passes the ranked table together with I-V/P-V curves to the results dashboard. The overall framework architecture is illustrated in Fig. 3.4.</w:t>
      </w:r>
    </w:p>
    <w:p>
      <w:pPr>
        <w:spacing w:before="240" w:after="120"/>
        <w:jc w:val="left"/>
      </w:pPr>
      <w:r>
        <w:rPr>
          <w:rFonts w:ascii="Times New Roman" w:hAnsi="Times New Roman"/>
          <w:b/>
          <w:sz w:val="28"/>
        </w:rPr>
        <w:t>3.2  Mathematical Formulation of Bifacial PV Operation</w:t>
      </w:r>
    </w:p>
    <w:p>
      <w:pPr>
        <w:spacing w:after="120" w:before="60"/>
        <w:jc w:val="both"/>
      </w:pPr>
      <w:r>
        <w:rPr>
          <w:rFonts w:ascii="Times New Roman" w:hAnsi="Times New Roman"/>
          <w:sz w:val="24"/>
        </w:rPr>
        <w:t>A monofacial module converts only the radiation striking its glazed front surface. Bifacial modules, by contrast, employ transparent or semi-transparent rear encapsulants and bifacially active cells so that ground-reflected and diffuse radiation reaching the rear surface also contribute to power generation [1], [4]. The total effective irradiance received by the module is accordingly the sum of the two surface contributions:</w:t>
      </w:r>
    </w:p>
    <w:p>
      <w:pPr>
        <w:spacing w:before="160" w:after="160"/>
        <w:jc w:val="center"/>
      </w:pPr>
      <m:oMathPara>
        <m:oMathParaPr>
          <m:jc m:val="center"/>
        </m:oMathParaPr>
        <m:oMath>
          <m:sSub>
            <m:e>
              <m:r>
                <w:rPr>
                  <w:rFonts w:ascii="Cambria Math" w:hAnsi="Cambria Math"/>
                </w:rPr>
                <m:t xml:space="preserve">G</m:t>
              </m:r>
            </m:e>
            <m:sub>
              <m:r>
                <w:rPr>
                  <w:rFonts w:ascii="Cambria Math" w:hAnsi="Cambria Math"/>
                </w:rPr>
                <m:t xml:space="preserve">tot</m:t>
              </m:r>
            </m:sub>
          </m:sSub>
          <m:r>
            <w:rPr>
              <w:rFonts w:ascii="Cambria Math" w:hAnsi="Cambria Math"/>
            </w:rPr>
            <m:t xml:space="preserve">  =  </m:t>
          </m:r>
          <m:sSub>
            <m:e>
              <m:r>
                <w:rPr>
                  <w:rFonts w:ascii="Cambria Math" w:hAnsi="Cambria Math"/>
                </w:rPr>
                <m:t xml:space="preserve">G</m:t>
              </m:r>
            </m:e>
            <m:sub>
              <m:r>
                <w:rPr>
                  <w:rFonts w:ascii="Cambria Math" w:hAnsi="Cambria Math"/>
                </w:rPr>
                <m:t xml:space="preserve">front</m:t>
              </m:r>
            </m:sub>
          </m:sSub>
          <m:r>
            <w:rPr>
              <w:rFonts w:ascii="Cambria Math" w:hAnsi="Cambria Math"/>
            </w:rPr>
            <m:t xml:space="preserve">  +  </m:t>
          </m:r>
          <m:sSub>
            <m:e>
              <m:r>
                <w:rPr>
                  <w:rFonts w:ascii="Cambria Math" w:hAnsi="Cambria Math"/>
                </w:rPr>
                <m:t xml:space="preserve">G</m:t>
              </m:r>
            </m:e>
            <m:sub>
              <m:r>
                <w:rPr>
                  <w:rFonts w:ascii="Cambria Math" w:hAnsi="Cambria Math"/>
                </w:rPr>
                <m:t xml:space="preserve">rear</m:t>
              </m:r>
            </m:sub>
          </m:sSub>
        </m:oMath>
      </m:oMathPara>
      <w:r>
        <w:rPr>
          <w:rFonts w:ascii="Times New Roman" w:hAnsi="Times New Roman"/>
          <w:sz w:val="24"/>
        </w:rPr>
        <w:t xml:space="preserve">          (1)</w:t>
      </w:r>
    </w:p>
    <w:p>
      <w:pPr>
        <w:spacing w:after="120" w:before="60"/>
        <w:jc w:val="both"/>
      </w:pPr>
      <w:r>
        <w:rPr>
          <w:rFonts w:ascii="Times New Roman" w:hAnsi="Times New Roman"/>
          <w:sz w:val="24"/>
        </w:rPr>
        <w:t>where Gₜₒₜ is the total effective irradiance incident on the bifacial module (W m⁻²), Gᶠᵣₒⁿₜ is the irradiance received on the front surface, and Gᵣᵉᵃᴿ is the irradiance received on the rear surface. Both components are functions of solar position, module geometry, and ground reflectivity, and are determined through the sub-models presented below.</w:t>
      </w:r>
    </w:p>
    <w:p>
      <w:pPr>
        <w:spacing w:before="240" w:after="120"/>
        <w:jc w:val="left"/>
      </w:pPr>
      <w:r>
        <w:rPr>
          <w:rFonts w:ascii="Times New Roman" w:hAnsi="Times New Roman"/>
          <w:b/>
          <w:sz w:val="24"/>
        </w:rPr>
        <w:t>3.2.1  Front-Side Irradiance Model</w:t>
      </w:r>
    </w:p>
    <w:p>
      <w:pPr>
        <w:spacing w:after="120" w:before="60"/>
        <w:jc w:val="both"/>
      </w:pPr>
      <w:r>
        <w:rPr>
          <w:rFonts w:ascii="Times New Roman" w:hAnsi="Times New Roman"/>
          <w:sz w:val="24"/>
        </w:rPr>
        <w:t>Front-surface irradiance is resolved using the Liu–Jordan isotropic sky model [15], which decomposes global horizontal irradiance (GHI) into three physically distinct components: the direct beam, the isotropic diffuse sky, and diffuse ground reflection. Each component responds differently to module orientation and must therefore be treated separately.</w:t>
      </w:r>
    </w:p>
    <w:p>
      <w:pPr>
        <w:spacing w:after="120" w:before="60"/>
        <w:jc w:val="both"/>
      </w:pPr>
      <w:r>
        <w:rPr>
          <w:rFonts w:ascii="Times New Roman" w:hAnsi="Times New Roman"/>
          <w:sz w:val="24"/>
        </w:rPr>
        <w:t>The beam component incident on the tilted surface is found by projecting the direct normal irradiance (DNI) onto the module plane. A floor function prevents negative contributions when the sun dips below the effective module horizon:</w:t>
      </w:r>
    </w:p>
    <w:p>
      <w:pPr>
        <w:spacing w:before="160" w:after="160"/>
        <w:jc w:val="center"/>
      </w:pPr>
      <m:oMathPara>
        <m:oMathParaPr>
          <m:jc m:val="center"/>
        </m:oMathParaPr>
        <m:oMath>
          <m:r>
            <w:rPr>
              <w:rFonts w:ascii="Cambria Math" w:hAnsi="Cambria Math"/>
            </w:rPr>
            <m:t xml:space="preserve">beam</m:t>
          </m:r>
          <m:sSub>
            <m:e>
              <m:r>
                <w:rPr>
                  <w:rFonts w:ascii="Cambria Math" w:hAnsi="Cambria Math"/>
                </w:rPr>
                <m:t xml:space="preserve"/>
              </m:r>
            </m:e>
            <m:sub>
              <m:r>
                <w:rPr>
                  <w:rFonts w:ascii="Cambria Math" w:hAnsi="Cambria Math"/>
                </w:rPr>
                <m:t xml:space="preserve">tilted</m:t>
              </m:r>
            </m:sub>
          </m:sSub>
          <m:r>
            <w:rPr>
              <w:rFonts w:ascii="Cambria Math" w:hAnsi="Cambria Math"/>
            </w:rPr>
            <m:t xml:space="preserve">  =  DNI</m:t>
          </m:r>
          <m:r>
            <w:rPr>
              <w:rFonts w:ascii="Cambria Math" w:hAnsi="Cambria Math"/>
            </w:rPr>
            <m:t xml:space="preserve"> × max(0, cos </m:t>
          </m:r>
          <m:r>
            <w:rPr>
              <w:rFonts w:ascii="Cambria Math" w:hAnsi="Cambria Math"/>
            </w:rPr>
            <m:t xml:space="preserve">I</m:t>
          </m:r>
          <m:r>
            <w:rPr>
              <w:rFonts w:ascii="Cambria Math" w:hAnsi="Cambria Math"/>
            </w:rPr>
            <m:t xml:space="preserve">)</m:t>
          </m:r>
        </m:oMath>
      </m:oMathPara>
      <w:r>
        <w:rPr>
          <w:rFonts w:ascii="Times New Roman" w:hAnsi="Times New Roman"/>
          <w:sz w:val="24"/>
        </w:rPr>
        <w:t xml:space="preserve">          (2)</w:t>
      </w:r>
    </w:p>
    <w:p>
      <w:pPr>
        <w:spacing w:after="120" w:before="60"/>
        <w:jc w:val="both"/>
      </w:pPr>
      <w:r>
        <w:rPr>
          <w:rFonts w:ascii="Times New Roman" w:hAnsi="Times New Roman"/>
          <w:sz w:val="24"/>
        </w:rPr>
        <w:t>Here DNI is the direct normal irradiance (W m⁻²) and I is the angle of incidence between the incoming beam and the module surface normal. The max(0, cos I) clipping eliminates physically unrealisable negative values when I &gt; 90°.</w:t>
      </w:r>
    </w:p>
    <w:p>
      <w:pPr>
        <w:spacing w:after="120" w:before="60"/>
        <w:jc w:val="both"/>
      </w:pPr>
      <w:r>
        <w:rPr>
          <w:rFonts w:ascii="Times New Roman" w:hAnsi="Times New Roman"/>
          <w:sz w:val="24"/>
        </w:rPr>
        <w:t>For a tilted surface, the fraction of the isotropic sky dome visible from above is characterised by the sky view factor, while the fraction of the ground visible from below defines the ground view factor [15]. Their expressions are:</w:t>
      </w:r>
    </w:p>
    <w:p>
      <w:pPr>
        <w:spacing w:before="160" w:after="160"/>
        <w:jc w:val="center"/>
      </w:pPr>
      <m:oMathPara>
        <m:oMathParaPr>
          <m:jc m:val="center"/>
        </m:oMathParaPr>
        <m:oMath>
          <m:r>
            <w:rPr>
              <w:rFonts w:ascii="Cambria Math" w:hAnsi="Cambria Math"/>
            </w:rPr>
            <m:t xml:space="preserve">sky</m:t>
          </m:r>
          <m:sSub>
            <m:e>
              <m:r>
                <w:rPr>
                  <w:rFonts w:ascii="Cambria Math" w:hAnsi="Cambria Math"/>
                </w:rPr>
                <m:t xml:space="preserve"/>
              </m:r>
            </m:e>
            <m:sub>
              <m:r>
                <w:rPr>
                  <w:rFonts w:ascii="Cambria Math" w:hAnsi="Cambria Math"/>
                </w:rPr>
                <m:t xml:space="preserve">vf</m:t>
              </m:r>
            </m:sub>
          </m:sSub>
          <m:r>
            <w:rPr>
              <w:rFonts w:ascii="Cambria Math" w:hAnsi="Cambria Math"/>
            </w:rPr>
            <m:t xml:space="preserve">  =  </m:t>
          </m:r>
          <m:f>
            <m:fPr/>
            <m:num>
              <m:r>
                <w:rPr>
                  <w:rFonts w:ascii="Cambria Math" w:hAnsi="Cambria Math"/>
                </w:rPr>
                <m:t xml:space="preserve">1 + cosβ</m:t>
              </m:r>
            </m:num>
            <m:den>
              <m:r>
                <w:rPr>
                  <w:rFonts w:ascii="Cambria Math" w:hAnsi="Cambria Math"/>
                </w:rPr>
                <m:t xml:space="preserve">2</m:t>
              </m:r>
            </m:den>
          </m:f>
        </m:oMath>
      </m:oMathPara>
      <w:r>
        <w:rPr>
          <w:rFonts w:ascii="Times New Roman" w:hAnsi="Times New Roman"/>
          <w:sz w:val="24"/>
        </w:rPr>
        <w:t xml:space="preserve">          (3)</w:t>
      </w:r>
    </w:p>
    <w:p>
      <w:pPr>
        <w:spacing w:before="160" w:after="160"/>
        <w:jc w:val="center"/>
      </w:pPr>
      <m:oMathPara>
        <m:oMathParaPr>
          <m:jc m:val="center"/>
        </m:oMathParaPr>
        <m:oMath>
          <m:r>
            <w:rPr>
              <w:rFonts w:ascii="Cambria Math" w:hAnsi="Cambria Math"/>
            </w:rPr>
            <m:t xml:space="preserve">gnd</m:t>
          </m:r>
          <m:sSub>
            <m:e>
              <m:r>
                <w:rPr>
                  <w:rFonts w:ascii="Cambria Math" w:hAnsi="Cambria Math"/>
                </w:rPr>
                <m:t xml:space="preserve"/>
              </m:r>
            </m:e>
            <m:sub>
              <m:r>
                <w:rPr>
                  <w:rFonts w:ascii="Cambria Math" w:hAnsi="Cambria Math"/>
                </w:rPr>
                <m:t xml:space="preserve">vf</m:t>
              </m:r>
            </m:sub>
          </m:sSub>
          <m:r>
            <w:rPr>
              <w:rFonts w:ascii="Cambria Math" w:hAnsi="Cambria Math"/>
            </w:rPr>
            <m:t xml:space="preserve">  =  </m:t>
          </m:r>
          <m:f>
            <m:fPr/>
            <m:num>
              <m:r>
                <w:rPr>
                  <w:rFonts w:ascii="Cambria Math" w:hAnsi="Cambria Math"/>
                </w:rPr>
                <m:t xml:space="preserve">1 − cosβ</m:t>
              </m:r>
            </m:num>
            <m:den>
              <m:r>
                <w:rPr>
                  <w:rFonts w:ascii="Cambria Math" w:hAnsi="Cambria Math"/>
                </w:rPr>
                <m:t xml:space="preserve">2</m:t>
              </m:r>
            </m:den>
          </m:f>
        </m:oMath>
      </m:oMathPara>
      <w:r>
        <w:rPr>
          <w:rFonts w:ascii="Times New Roman" w:hAnsi="Times New Roman"/>
          <w:sz w:val="24"/>
        </w:rPr>
        <w:t xml:space="preserve">          (4)</w:t>
      </w:r>
    </w:p>
    <w:p>
      <w:pPr>
        <w:spacing w:after="120" w:before="60"/>
        <w:jc w:val="both"/>
      </w:pPr>
      <w:r>
        <w:rPr>
          <w:rFonts w:ascii="Times New Roman" w:hAnsi="Times New Roman"/>
          <w:sz w:val="24"/>
        </w:rPr>
        <w:t>where β is the module tilt angle measured from the horizontal plane. As β increases toward vertical, skyᵥᶠ decreases and gndᵥᶠ increases, which shifts the balance between sky-diffuse and ground-reflected contributions to the front surface. Combining the three components, the total front-surface irradiance is [15]:</w:t>
      </w:r>
    </w:p>
    <w:p>
      <w:pPr>
        <w:spacing w:before="160" w:after="160"/>
        <w:jc w:val="center"/>
      </w:pPr>
      <m:oMathPara>
        <m:oMathParaPr>
          <m:jc m:val="center"/>
        </m:oMathParaPr>
        <m:oMath>
          <m:sSub>
            <m:e>
              <m:r>
                <w:rPr>
                  <w:rFonts w:ascii="Cambria Math" w:hAnsi="Cambria Math"/>
                </w:rPr>
                <m:t xml:space="preserve">G</m:t>
              </m:r>
            </m:e>
            <m:sub>
              <m:r>
                <w:rPr>
                  <w:rFonts w:ascii="Cambria Math" w:hAnsi="Cambria Math"/>
                </w:rPr>
                <m:t xml:space="preserve">front</m:t>
              </m:r>
            </m:sub>
          </m:sSub>
          <m:r>
            <w:rPr>
              <w:rFonts w:ascii="Cambria Math" w:hAnsi="Cambria Math"/>
            </w:rPr>
            <m:t xml:space="preserve">  =  beam</m:t>
          </m:r>
          <m:sSub>
            <m:e>
              <m:r>
                <w:rPr>
                  <w:rFonts w:ascii="Cambria Math" w:hAnsi="Cambria Math"/>
                </w:rPr>
                <m:t xml:space="preserve"/>
              </m:r>
            </m:e>
            <m:sub>
              <m:r>
                <w:rPr>
                  <w:rFonts w:ascii="Cambria Math" w:hAnsi="Cambria Math"/>
                </w:rPr>
                <m:t xml:space="preserve">tilted</m:t>
              </m:r>
            </m:sub>
          </m:sSub>
          <m:r>
            <w:rPr>
              <w:rFonts w:ascii="Cambria Math" w:hAnsi="Cambria Math"/>
            </w:rPr>
            <m:t xml:space="preserve">  +  (DHI × sky</m:t>
          </m:r>
          <m:sSub>
            <m:e>
              <m:r>
                <w:rPr>
                  <w:rFonts w:ascii="Cambria Math" w:hAnsi="Cambria Math"/>
                </w:rPr>
                <m:t xml:space="preserve"/>
              </m:r>
            </m:e>
            <m:sub>
              <m:r>
                <w:rPr>
                  <w:rFonts w:ascii="Cambria Math" w:hAnsi="Cambria Math"/>
                </w:rPr>
                <m:t xml:space="preserve">vf</m:t>
              </m:r>
            </m:sub>
          </m:sSub>
          <m:r>
            <w:rPr>
              <w:rFonts w:ascii="Cambria Math" w:hAnsi="Cambria Math"/>
            </w:rPr>
            <m:t xml:space="preserve">)  +  (GHI × ρ × gnd</m:t>
          </m:r>
          <m:sSub>
            <m:e>
              <m:r>
                <w:rPr>
                  <w:rFonts w:ascii="Cambria Math" w:hAnsi="Cambria Math"/>
                </w:rPr>
                <m:t xml:space="preserve"/>
              </m:r>
            </m:e>
            <m:sub>
              <m:r>
                <w:rPr>
                  <w:rFonts w:ascii="Cambria Math" w:hAnsi="Cambria Math"/>
                </w:rPr>
                <m:t xml:space="preserve">vf</m:t>
              </m:r>
            </m:sub>
          </m:sSub>
          <m:r>
            <w:rPr>
              <w:rFonts w:ascii="Cambria Math" w:hAnsi="Cambria Math"/>
            </w:rPr>
            <m:t xml:space="preserve">)</m:t>
          </m:r>
        </m:oMath>
      </m:oMathPara>
      <w:r>
        <w:rPr>
          <w:rFonts w:ascii="Times New Roman" w:hAnsi="Times New Roman"/>
          <w:sz w:val="24"/>
        </w:rPr>
        <w:t xml:space="preserve">          (5)</w:t>
      </w:r>
    </w:p>
    <w:p>
      <w:pPr>
        <w:spacing w:after="120" w:before="60"/>
        <w:jc w:val="both"/>
      </w:pPr>
      <w:r>
        <w:rPr>
          <w:rFonts w:ascii="Times New Roman" w:hAnsi="Times New Roman"/>
          <w:sz w:val="24"/>
        </w:rPr>
        <w:t>DHI (W m⁻²) is the diffuse horizontal irradiance, GHI (W m⁻²) is the global horizontal irradiance, and ρ is the dimensionless ground surface albedo coefficient whose values for common installation surfaces are listed in Table 2.1.</w:t>
      </w:r>
    </w:p>
    <w:p>
      <w:pPr>
        <w:spacing w:before="240" w:after="120"/>
        <w:jc w:val="left"/>
      </w:pPr>
      <w:r>
        <w:rPr>
          <w:rFonts w:ascii="Times New Roman" w:hAnsi="Times New Roman"/>
          <w:b/>
          <w:sz w:val="24"/>
        </w:rPr>
        <w:t>3.2.2  Rear-Side Irradiance Model</w:t>
      </w:r>
    </w:p>
    <w:p>
      <w:pPr>
        <w:spacing w:after="120" w:before="60"/>
        <w:jc w:val="both"/>
      </w:pPr>
      <w:r>
        <w:rPr>
          <w:rFonts w:ascii="Times New Roman" w:hAnsi="Times New Roman"/>
          <w:sz w:val="24"/>
        </w:rPr>
        <w:t>Computing rear irradiance is more involved than the front-side calculation because the module's own shadow reduces the effective ground area from which reflected radiation can reach the rear surface. The computation therefore requires knowledge of the solar profile angle, which governs shadow geometry, followed by explicit evaluation of the shadow view factor Fᵥ.</w:t>
      </w:r>
    </w:p>
    <w:p>
      <w:pPr>
        <w:spacing w:after="120" w:before="60"/>
        <w:jc w:val="both"/>
      </w:pPr>
      <w:r>
        <w:rPr>
          <w:rFonts w:ascii="Times New Roman" w:hAnsi="Times New Roman"/>
          <w:sz w:val="24"/>
        </w:rPr>
        <w:t>The solar profile angle γₚᵣₒᶠᵢℓᵉ captures how steeply the sun appears to climb in the vertical plane perpendicular to the module's long axis. It is computed from the solar elevation angle and the relative azimuth between sun and panel [16], [17]:</w:t>
      </w:r>
    </w:p>
    <w:p>
      <w:pPr>
        <w:spacing w:before="160" w:after="160"/>
        <w:jc w:val="center"/>
      </w:pPr>
      <m:oMathPara>
        <m:oMathParaPr>
          <m:jc m:val="center"/>
        </m:oMathParaPr>
        <m:oMath>
          <m:sSub>
            <m:e>
              <m:r>
                <w:rPr>
                  <w:rFonts w:ascii="Cambria Math" w:hAnsi="Cambria Math"/>
                </w:rPr>
                <m:t xml:space="preserve">γ</m:t>
              </m:r>
            </m:e>
            <m:sub>
              <m:r>
                <w:rPr>
                  <w:rFonts w:ascii="Cambria Math" w:hAnsi="Cambria Math"/>
                </w:rPr>
                <m:t xml:space="preserve">profile</m:t>
              </m:r>
            </m:sub>
          </m:sSub>
          <m:r>
            <w:rPr>
              <w:rFonts w:ascii="Cambria Math" w:hAnsi="Cambria Math"/>
            </w:rPr>
            <m:t xml:space="preserve">  =  tan⁻¹</m:t>
          </m:r>
          <m:r>
            <w:rPr>
              <w:rFonts w:ascii="Cambria Math" w:hAnsi="Cambria Math"/>
            </w:rPr>
            <m:t xml:space="preserve">⁡(</m:t>
          </m:r>
          <m:f>
            <m:fPr/>
            <m:num>
              <m:r>
                <w:rPr>
                  <w:rFonts w:ascii="Cambria Math" w:hAnsi="Cambria Math"/>
                </w:rPr>
                <m:t xml:space="preserve">tan(sunᵉℓᵉᵥ)</m:t>
              </m:r>
            </m:num>
            <m:den>
              <m:r>
                <w:rPr>
                  <w:rFonts w:ascii="Cambria Math" w:hAnsi="Cambria Math"/>
                </w:rPr>
                <m:t xml:space="preserve">cos(sunᵃᵣ − panelᵃᵣ)</m:t>
              </m:r>
            </m:den>
          </m:f>
          <m:r>
            <w:rPr>
              <w:rFonts w:ascii="Cambria Math" w:hAnsi="Cambria Math"/>
            </w:rPr>
            <m:t xml:space="preserve">)</m:t>
          </m:r>
        </m:oMath>
      </m:oMathPara>
      <w:r>
        <w:rPr>
          <w:rFonts w:ascii="Times New Roman" w:hAnsi="Times New Roman"/>
          <w:sz w:val="24"/>
        </w:rPr>
        <w:t xml:space="preserve">          (6)</w:t>
      </w:r>
    </w:p>
    <w:p>
      <w:pPr>
        <w:spacing w:after="120" w:before="60"/>
        <w:jc w:val="both"/>
      </w:pPr>
      <w:r>
        <w:rPr>
          <w:rFonts w:ascii="Times New Roman" w:hAnsi="Times New Roman"/>
          <w:sz w:val="24"/>
        </w:rPr>
        <w:t>sunᵉℓᵉᵥ is the solar elevation angle, sunᵃᵣ is the solar azimuth angle, and panelᵃᵣ is the panel azimuth angle (180° for south-facing installations in the northern hemisphere). The profile angle effectively collapses the three-dimensional sun position into a single angle relevant to the transverse cross-section of the module row.</w:t>
      </w:r>
    </w:p>
    <w:p>
      <w:pPr>
        <w:spacing w:before="240" w:after="120"/>
        <w:jc w:val="left"/>
      </w:pPr>
      <w:r>
        <w:rPr>
          <w:rFonts w:ascii="Times New Roman" w:hAnsi="Times New Roman"/>
          <w:b/>
          <w:sz w:val="24"/>
        </w:rPr>
        <w:t>3.2.3  Shadow and View Factor Computation</w:t>
      </w:r>
    </w:p>
    <w:p>
      <w:pPr>
        <w:spacing w:after="120" w:before="60"/>
        <w:jc w:val="both"/>
      </w:pPr>
      <w:r>
        <w:rPr>
          <w:rFonts w:ascii="Times New Roman" w:hAnsi="Times New Roman"/>
          <w:sz w:val="24"/>
        </w:rPr>
        <w:t>Using the profile angle, the lower and upper edges of the shadow cast by the module onto the ground behind it can be located geometrically [16], [17]. If the module lower edge is at height h above the ground and the module has width W, then:</w:t>
      </w:r>
    </w:p>
    <w:p>
      <w:pPr>
        <w:spacing w:before="160" w:after="160"/>
        <w:jc w:val="center"/>
      </w:pPr>
      <m:oMathPara>
        <m:oMathParaPr>
          <m:jc m:val="center"/>
        </m:oMathParaPr>
        <m:oMath>
          <m:r>
            <w:rPr>
              <w:rFonts w:ascii="Cambria Math" w:hAnsi="Cambria Math"/>
            </w:rPr>
            <m:t xml:space="preserve">shadow</m:t>
          </m:r>
          <m:sSub>
            <m:e>
              <m:r>
                <w:rPr>
                  <w:rFonts w:ascii="Cambria Math" w:hAnsi="Cambria Math"/>
                </w:rPr>
                <m:t xml:space="preserve"/>
              </m:r>
            </m:e>
            <m:sub>
              <m:r>
                <w:rPr>
                  <w:rFonts w:ascii="Cambria Math" w:hAnsi="Cambria Math"/>
                </w:rPr>
                <m:t xml:space="preserve">lower</m:t>
              </m:r>
            </m:sub>
          </m:sSub>
          <m:r>
            <w:rPr>
              <w:rFonts w:ascii="Cambria Math" w:hAnsi="Cambria Math"/>
            </w:rPr>
            <m:t xml:space="preserve">  =  </m:t>
          </m:r>
          <m:f>
            <m:fPr/>
            <m:num>
              <m:r>
                <w:rPr>
                  <w:rFonts w:ascii="Cambria Math" w:hAnsi="Cambria Math"/>
                </w:rPr>
                <m:t xml:space="preserve">h</m:t>
              </m:r>
            </m:num>
            <m:den>
              <m:r>
                <w:rPr>
                  <w:rFonts w:ascii="Cambria Math" w:hAnsi="Cambria Math"/>
                </w:rPr>
                <m:t xml:space="preserve">tan(γₚᵣₒᶠᵢℓᵉ)</m:t>
              </m:r>
            </m:den>
          </m:f>
        </m:oMath>
      </m:oMathPara>
      <w:r>
        <w:rPr>
          <w:rFonts w:ascii="Times New Roman" w:hAnsi="Times New Roman"/>
          <w:sz w:val="24"/>
        </w:rPr>
        <w:t xml:space="preserve">          (7)</w:t>
      </w:r>
    </w:p>
    <w:p>
      <w:pPr>
        <w:spacing w:before="160" w:after="160"/>
        <w:jc w:val="center"/>
      </w:pPr>
      <m:oMathPara>
        <m:oMathParaPr>
          <m:jc m:val="center"/>
        </m:oMathParaPr>
        <m:oMath>
          <m:r>
            <w:rPr>
              <w:rFonts w:ascii="Cambria Math" w:hAnsi="Cambria Math"/>
            </w:rPr>
            <m:t xml:space="preserve">shadow</m:t>
          </m:r>
          <m:sSub>
            <m:e>
              <m:r>
                <w:rPr>
                  <w:rFonts w:ascii="Cambria Math" w:hAnsi="Cambria Math"/>
                </w:rPr>
                <m:t xml:space="preserve"/>
              </m:r>
            </m:e>
            <m:sub>
              <m:r>
                <w:rPr>
                  <w:rFonts w:ascii="Cambria Math" w:hAnsi="Cambria Math"/>
                </w:rPr>
                <m:t xml:space="preserve">upper</m:t>
              </m:r>
            </m:sub>
          </m:sSub>
          <m:r>
            <w:rPr>
              <w:rFonts w:ascii="Cambria Math" w:hAnsi="Cambria Math"/>
            </w:rPr>
            <m:t xml:space="preserve">  =  </m:t>
          </m:r>
          <m:f>
            <m:fPr/>
            <m:num>
              <m:r>
                <w:rPr>
                  <w:rFonts w:ascii="Cambria Math" w:hAnsi="Cambria Math"/>
                </w:rPr>
                <m:t xml:space="preserve">h + W sinβ</m:t>
              </m:r>
            </m:num>
            <m:den>
              <m:r>
                <w:rPr>
                  <w:rFonts w:ascii="Cambria Math" w:hAnsi="Cambria Math"/>
                </w:rPr>
                <m:t xml:space="preserve">tan(γₚᵣₒᶠᵢℓᵉ)</m:t>
              </m:r>
            </m:den>
          </m:f>
        </m:oMath>
      </m:oMathPara>
      <w:r>
        <w:rPr>
          <w:rFonts w:ascii="Times New Roman" w:hAnsi="Times New Roman"/>
          <w:sz w:val="24"/>
        </w:rPr>
        <w:t xml:space="preserve">          (8)</w:t>
      </w:r>
    </w:p>
    <w:p>
      <w:pPr>
        <w:spacing w:after="120" w:before="60"/>
        <w:jc w:val="both"/>
      </w:pPr>
      <w:r>
        <w:rPr>
          <w:rFonts w:ascii="Times New Roman" w:hAnsi="Times New Roman"/>
          <w:sz w:val="24"/>
        </w:rPr>
        <w:t>h (m) is the mounting height of the module lower edge, W (m) is the module width along the tilt direction, and β is the tilt angle. The ground strip between shadowₗₒᵤᵉᵣ and shadowᵤₚₚᵉᵣ receives no direct beam irradiance; only diffuse sky radiation is reflected from it. The rear sky view factor (rearᵥᶠ) is geometrically identical to equation (3) with β replaced by (180° − β).</w:t>
      </w:r>
    </w:p>
    <w:p>
      <w:pPr>
        <w:spacing w:after="120" w:before="60"/>
        <w:jc w:val="both"/>
      </w:pPr>
      <w:r>
        <w:rPr>
          <w:rFonts w:ascii="Times New Roman" w:hAnsi="Times New Roman"/>
          <w:sz w:val="24"/>
        </w:rPr>
        <w:t>The shadow view factor Fᵥ, introduced by Yusufoglu et al. [18], quantifies the reduction in rear irradiance attributable to the module shadow. It is expressed as a surface-integral over the shadow region [18]:</w:t>
      </w:r>
    </w:p>
    <w:p>
      <w:pPr>
        <w:spacing w:before="160" w:after="160"/>
        <w:jc w:val="center"/>
      </w:pPr>
      <m:oMathPara>
        <m:oMathParaPr>
          <m:jc m:val="center"/>
        </m:oMathParaPr>
        <m:oMath>
          <m:sSub>
            <m:e>
              <m:r>
                <w:rPr>
                  <w:rFonts w:ascii="Cambria Math" w:hAnsi="Cambria Math"/>
                </w:rPr>
                <m:t xml:space="preserve">F</m:t>
              </m:r>
            </m:e>
            <m:sub>
              <m:r>
                <w:rPr>
                  <w:rFonts w:ascii="Cambria Math" w:hAnsi="Cambria Math"/>
                </w:rPr>
                <m:t xml:space="preserve">V</m:t>
              </m:r>
            </m:sub>
          </m:sSub>
          <m:r>
            <w:rPr>
              <w:rFonts w:ascii="Cambria Math" w:hAnsi="Cambria Math"/>
            </w:rPr>
            <m:t xml:space="preserve">  =  rear</m:t>
          </m:r>
          <m:sSub>
            <m:e>
              <m:r>
                <w:rPr>
                  <w:rFonts w:ascii="Cambria Math" w:hAnsi="Cambria Math"/>
                </w:rPr>
                <m:t xml:space="preserve"/>
              </m:r>
            </m:e>
            <m:sub>
              <m:r>
                <w:rPr>
                  <w:rFonts w:ascii="Cambria Math" w:hAnsi="Cambria Math"/>
                </w:rPr>
                <m:t xml:space="preserve">vf</m:t>
              </m:r>
            </m:sub>
          </m:sSub>
          <m:r>
            <w:rPr>
              <w:rFonts w:ascii="Cambria Math" w:hAnsi="Cambria Math"/>
            </w:rPr>
            <m:t xml:space="preserve">  −  ∫</m:t>
          </m:r>
          <m:f>
            <m:fPr/>
            <m:num>
              <m:r>
                <w:rPr>
                  <w:rFonts w:ascii="Cambria Math" w:hAnsi="Cambria Math"/>
                </w:rPr>
                <m:t xml:space="preserve">cosθ₁ · cosθ₂</m:t>
              </m:r>
            </m:num>
            <m:den>
              <m:r>
                <w:rPr>
                  <w:rFonts w:ascii="Cambria Math" w:hAnsi="Cambria Math"/>
                </w:rPr>
                <m:t xml:space="preserve">2rₛʰᵃᵈₒᵤ</m:t>
              </m:r>
            </m:den>
          </m:f>
          <m:r>
            <w:rPr>
              <w:rFonts w:ascii="Cambria Math" w:hAnsi="Cambria Math"/>
            </w:rPr>
            <m:t xml:space="preserve"> dx</m:t>
          </m:r>
        </m:oMath>
      </m:oMathPara>
      <w:r>
        <w:rPr>
          <w:rFonts w:ascii="Times New Roman" w:hAnsi="Times New Roman"/>
          <w:sz w:val="24"/>
        </w:rPr>
        <w:t xml:space="preserve">          (9)</w:t>
      </w:r>
    </w:p>
    <w:p>
      <w:pPr>
        <w:spacing w:after="120" w:before="60"/>
        <w:jc w:val="both"/>
      </w:pPr>
      <w:r>
        <w:rPr>
          <w:rFonts w:ascii="Times New Roman" w:hAnsi="Times New Roman"/>
          <w:sz w:val="24"/>
        </w:rPr>
        <w:t>θ₁ and θ₂ are the angles between the respective surface normals (ground and module rear face) and the line connecting the differential area elements; rₛʰᵃᵈₒᵤ is the distance between those elements, as shown in Fig. 3.2. Incorporating Fᵥ into the rear irradiance balance separates the ground-reflected radiation into a diffuse component (originating from the entire underlying surface) and a direct component (originating only from the unshaded strip). The net rear irradiance before bifaciality scaling is [18]:</w:t>
      </w:r>
    </w:p>
    <w:p>
      <w:pPr>
        <w:spacing w:before="160" w:after="160"/>
        <w:jc w:val="center"/>
      </w:pPr>
      <m:oMathPara>
        <m:oMathParaPr>
          <m:jc m:val="center"/>
        </m:oMathParaPr>
        <m:oMath>
          <m:sSub>
            <m:e>
              <m:r>
                <w:rPr>
                  <w:rFonts w:ascii="Cambria Math" w:hAnsi="Cambria Math"/>
                </w:rPr>
                <m:t xml:space="preserve">G</m:t>
              </m:r>
            </m:e>
            <m:sub>
              <m:r>
                <w:rPr>
                  <w:rFonts w:ascii="Cambria Math" w:hAnsi="Cambria Math"/>
                </w:rPr>
                <m:t xml:space="preserve">r0</m:t>
              </m:r>
            </m:sub>
          </m:sSub>
          <m:r>
            <w:rPr>
              <w:rFonts w:ascii="Cambria Math" w:hAnsi="Cambria Math"/>
            </w:rPr>
            <m:t xml:space="preserve">  =  ρ · DHI · rear</m:t>
          </m:r>
          <m:sSub>
            <m:e>
              <m:r>
                <w:rPr>
                  <w:rFonts w:ascii="Cambria Math" w:hAnsi="Cambria Math"/>
                </w:rPr>
                <m:t xml:space="preserve"/>
              </m:r>
            </m:e>
            <m:sub>
              <m:r>
                <w:rPr>
                  <w:rFonts w:ascii="Cambria Math" w:hAnsi="Cambria Math"/>
                </w:rPr>
                <m:t xml:space="preserve">vf</m:t>
              </m:r>
            </m:sub>
          </m:sSub>
          <m:r>
            <w:rPr>
              <w:rFonts w:ascii="Cambria Math" w:hAnsi="Cambria Math"/>
            </w:rPr>
            <m:t xml:space="preserve">  +  ρ · (GHI − DHI) · (rear</m:t>
          </m:r>
          <m:sSub>
            <m:e>
              <m:r>
                <w:rPr>
                  <w:rFonts w:ascii="Cambria Math" w:hAnsi="Cambria Math"/>
                </w:rPr>
                <m:t xml:space="preserve"/>
              </m:r>
            </m:e>
            <m:sub>
              <m:r>
                <w:rPr>
                  <w:rFonts w:ascii="Cambria Math" w:hAnsi="Cambria Math"/>
                </w:rPr>
                <m:t xml:space="preserve">vf</m:t>
              </m:r>
            </m:sub>
          </m:sSub>
          <m:r>
            <w:rPr>
              <w:rFonts w:ascii="Cambria Math" w:hAnsi="Cambria Math"/>
            </w:rPr>
            <m:t xml:space="preserve">  −  </m:t>
          </m:r>
          <m:sSub>
            <m:e>
              <m:r>
                <w:rPr>
                  <w:rFonts w:ascii="Cambria Math" w:hAnsi="Cambria Math"/>
                </w:rPr>
                <m:t xml:space="preserve">F</m:t>
              </m:r>
            </m:e>
            <m:sub>
              <m:r>
                <w:rPr>
                  <w:rFonts w:ascii="Cambria Math" w:hAnsi="Cambria Math"/>
                </w:rPr>
                <m:t xml:space="preserve">V</m:t>
              </m:r>
            </m:sub>
          </m:sSub>
          <m:r>
            <w:rPr>
              <w:rFonts w:ascii="Cambria Math" w:hAnsi="Cambria Math"/>
            </w:rPr>
            <m:t xml:space="preserve">)</m:t>
          </m:r>
        </m:oMath>
      </m:oMathPara>
      <w:r>
        <w:rPr>
          <w:rFonts w:ascii="Times New Roman" w:hAnsi="Times New Roman"/>
          <w:sz w:val="24"/>
        </w:rPr>
        <w:t xml:space="preserve">          (10)</w:t>
      </w:r>
    </w:p>
    <w:p>
      <w:pPr>
        <w:spacing w:after="120" w:before="60"/>
        <w:jc w:val="both"/>
      </w:pPr>
      <w:r>
        <w:rPr>
          <w:rFonts w:ascii="Times New Roman" w:hAnsi="Times New Roman"/>
          <w:sz w:val="24"/>
        </w:rPr>
        <w:t>The first term accounts for diffuse-sky-reflected radiation reaching the full rear surface area; the second term accounts for direct-beam-reflected radiation that can reach only the unshaded portion. Finally, the effective rear irradiance is scaled by the module's bifaciality factor φ to convert rear-surface irradiance into an equivalent front-surface value for electrical modelling [18]:</w:t>
      </w:r>
    </w:p>
    <w:p>
      <w:pPr>
        <w:spacing w:before="160" w:after="160"/>
        <w:jc w:val="center"/>
      </w:pPr>
      <m:oMathPara>
        <m:oMathParaPr>
          <m:jc m:val="center"/>
        </m:oMathParaPr>
        <m:oMath>
          <m:sSub>
            <m:e>
              <m:r>
                <w:rPr>
                  <w:rFonts w:ascii="Cambria Math" w:hAnsi="Cambria Math"/>
                </w:rPr>
                <m:t xml:space="preserve">G</m:t>
              </m:r>
            </m:e>
            <m:sub>
              <m:r>
                <w:rPr>
                  <w:rFonts w:ascii="Cambria Math" w:hAnsi="Cambria Math"/>
                </w:rPr>
                <m:t xml:space="preserve">rear</m:t>
              </m:r>
            </m:sub>
          </m:sSub>
          <m:r>
            <w:rPr>
              <w:rFonts w:ascii="Cambria Math" w:hAnsi="Cambria Math"/>
            </w:rPr>
            <m:t xml:space="preserve">  =  </m:t>
          </m:r>
          <m:sSub>
            <m:e>
              <m:r>
                <w:rPr>
                  <w:rFonts w:ascii="Cambria Math" w:hAnsi="Cambria Math"/>
                </w:rPr>
                <m:t xml:space="preserve">G</m:t>
              </m:r>
            </m:e>
            <m:sub>
              <m:r>
                <w:rPr>
                  <w:rFonts w:ascii="Cambria Math" w:hAnsi="Cambria Math"/>
                </w:rPr>
                <m:t xml:space="preserve">r0</m:t>
              </m:r>
            </m:sub>
          </m:sSub>
          <m:r>
            <w:rPr>
              <w:rFonts w:ascii="Cambria Math" w:hAnsi="Cambria Math"/>
            </w:rPr>
            <m:t xml:space="preserve">  ×  φ</m:t>
          </m:r>
        </m:oMath>
      </m:oMathPara>
      <w:r>
        <w:rPr>
          <w:rFonts w:ascii="Times New Roman" w:hAnsi="Times New Roman"/>
          <w:sz w:val="24"/>
        </w:rPr>
        <w:t xml:space="preserve">          (11)</w:t>
      </w:r>
    </w:p>
    <w:p>
      <w:pPr>
        <w:spacing w:after="120" w:before="60"/>
        <w:jc w:val="both"/>
      </w:pPr>
      <w:r>
        <w:rPr>
          <w:rFonts w:ascii="Times New Roman" w:hAnsi="Times New Roman"/>
          <w:sz w:val="24"/>
        </w:rPr>
        <w:t>The bifaciality factor φ is the ratio of rear-side to front-side conversion efficiency measured under standard test conditions (IEC TS 60904-1-2). Commercial bifacial modules typically exhibit φ in the range 0.70 to 0.90. A value of φ = 0.70 is adopted throughout this work, consistent with conservative field practice for monocrystalline silicon bifacial modules.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