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E091" w14:textId="77777777" w:rsidR="006F3AA9" w:rsidRDefault="00000000">
      <w:pPr>
        <w:spacing w:before="240" w:after="120"/>
        <w:jc w:val="center"/>
      </w:pPr>
      <w:r>
        <w:rPr>
          <w:b/>
          <w:sz w:val="32"/>
        </w:rPr>
        <w:t>CHAPTER 3</w:t>
      </w:r>
    </w:p>
    <w:p w14:paraId="546EE4C7" w14:textId="77777777" w:rsidR="006F3AA9" w:rsidRDefault="00000000">
      <w:pPr>
        <w:spacing w:before="240" w:after="120"/>
        <w:jc w:val="center"/>
      </w:pPr>
      <w:r>
        <w:rPr>
          <w:b/>
          <w:sz w:val="28"/>
        </w:rPr>
        <w:t>METHODOLOGY</w:t>
      </w:r>
    </w:p>
    <w:p w14:paraId="3D4B98C9" w14:textId="77777777" w:rsidR="006F3AA9" w:rsidRDefault="006F3AA9">
      <w:pPr>
        <w:spacing w:after="0"/>
      </w:pPr>
    </w:p>
    <w:p w14:paraId="18311F7A" w14:textId="77777777" w:rsidR="006F3AA9" w:rsidRDefault="00000000">
      <w:pPr>
        <w:spacing w:before="240" w:after="120"/>
      </w:pPr>
      <w:r>
        <w:rPr>
          <w:b/>
          <w:sz w:val="28"/>
        </w:rPr>
        <w:t>3.1  Overview of the Proposed Framework</w:t>
      </w:r>
    </w:p>
    <w:p w14:paraId="5650B108" w14:textId="00CE3CE2" w:rsidR="00244F03" w:rsidRDefault="00244F03" w:rsidP="00244F03">
      <w:pPr>
        <w:spacing w:before="60" w:after="120"/>
        <w:jc w:val="both"/>
      </w:pPr>
      <w:r>
        <w:t>This chapter describes the methodology that was developed for this parametric analysis and performance optimi</w:t>
      </w:r>
      <w:r w:rsidR="00826DE7">
        <w:t>z</w:t>
      </w:r>
      <w:r>
        <w:t>ation of bifacial photovoltaic systems. The threefold framework consists of a physics based-front-surface and a back-surface irradiance model, a MATLAB/Simulink electrical model which translates the computed irradiance into current-voltage and power-voltage characteristics, and a web-based frontend platform, which automates data retrieval and parametric sweep execution for any user-specified location and date-range. All in all, these elements together create an end-to-end pipeline that allows an installer to determine the geometry of the installation (mounting height, ground albedo, and tilt angle) which delivers the maximum amount of energy from their chosen site, and doesn't require any proprietary software nor any specialist knowledge of the modelling.</w:t>
      </w:r>
    </w:p>
    <w:p w14:paraId="75DA5EF9" w14:textId="01344B08" w:rsidR="006F3AA9" w:rsidRDefault="00244F03" w:rsidP="00244F03">
      <w:pPr>
        <w:spacing w:before="60" w:after="120"/>
        <w:jc w:val="both"/>
      </w:pPr>
      <w:r>
        <w:t>The computational chain starts when user inputs geographic region, start date, end date, sweep limits within the browser interface. The city name is translated to geographic co-ordinates by the backend service, which then queries the NASA POWER API for hourly irradiance data that is then passed in to the analysis engine. The engine calculates all combinations of swept parameters based on the equations provided in Section 3.2 and 3.3, ranks the sweep combinations based on the selected objective (cumulative energy or rear-side gain) and returns the Ranked Sweep Table and I-V/P-V curves to the results dashboard. The overall framework architecture is shown in Fig. 3.4</w:t>
      </w:r>
      <w:r w:rsidR="00000000">
        <w:t>.</w:t>
      </w:r>
    </w:p>
    <w:p w14:paraId="557A60DB" w14:textId="77777777" w:rsidR="006F3AA9" w:rsidRDefault="00000000">
      <w:pPr>
        <w:spacing w:before="240" w:after="120"/>
      </w:pPr>
      <w:r>
        <w:rPr>
          <w:b/>
          <w:sz w:val="28"/>
        </w:rPr>
        <w:t>3.2  Mathematical Formulation of Bifacial PV Operation</w:t>
      </w:r>
    </w:p>
    <w:p w14:paraId="52E288B3" w14:textId="202343AD" w:rsidR="006F3AA9" w:rsidRDefault="00C2128F">
      <w:pPr>
        <w:spacing w:before="60" w:after="120"/>
        <w:jc w:val="both"/>
      </w:pPr>
      <w:r w:rsidRPr="00C2128F">
        <w:t xml:space="preserve">A </w:t>
      </w:r>
      <w:proofErr w:type="spellStart"/>
      <w:r w:rsidRPr="00C2128F">
        <w:t>monofacial</w:t>
      </w:r>
      <w:proofErr w:type="spellEnd"/>
      <w:r w:rsidRPr="00C2128F">
        <w:t xml:space="preserve"> module only converts a part of the radiation that falls on its front glazed surface. In contrast, bifacial modules use transparent or semi-transparent rear surface encapsulants and bifacially active cells which allow the ground-reflected and diffuse radiation incident on the rear surface to contribute to the generation of power [1, 4]. The total effective irradiance received by the module is therefore the sum of the two contributions to the surface:</w:t>
      </w:r>
    </w:p>
    <w:p w14:paraId="57A31E62" w14:textId="77777777" w:rsidR="006F3AA9" w:rsidRDefault="00000000">
      <w:pPr>
        <w:spacing w:before="160" w:after="160"/>
        <w:jc w:val="center"/>
      </w:pPr>
      <m:oMath>
        <m:sSub>
          <m:sSubPr>
            <m:ctrlPr>
              <w:rPr>
                <w:rFonts w:ascii="Cambria Math" w:hAnsi="Cambria Math"/>
              </w:rPr>
            </m:ctrlPr>
          </m:sSubPr>
          <m:e>
            <m:r>
              <w:rPr>
                <w:rFonts w:ascii="Cambria Math" w:hAnsi="Cambria Math"/>
              </w:rPr>
              <m:t>G</m:t>
            </m:r>
          </m:e>
          <m:sub>
            <m:r>
              <w:rPr>
                <w:rFonts w:ascii="Cambria Math" w:hAnsi="Cambria Math"/>
              </w:rPr>
              <m:t>tot</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front</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rear</m:t>
            </m:r>
          </m:sub>
        </m:sSub>
      </m:oMath>
      <w:r>
        <w:t xml:space="preserve">          (1)</w:t>
      </w:r>
    </w:p>
    <w:p w14:paraId="6F04A865" w14:textId="7DFA8937" w:rsidR="006F3AA9" w:rsidRDefault="00DE6795">
      <w:pPr>
        <w:spacing w:before="60" w:after="120"/>
        <w:jc w:val="both"/>
      </w:pPr>
      <w:r w:rsidRPr="00DE6795">
        <w:t xml:space="preserve">where Gₜₒₜ is the total effective irradiance incident on the bifacial module W/m² and Gᶠᵣₒⁿₜ is the irradiance received on the front surface and Gᵣᵉᵉᴿ is the irradiance received on the </w:t>
      </w:r>
      <w:r w:rsidRPr="00DE6795">
        <w:lastRenderedPageBreak/>
        <w:t>rear surface. Both are dependent on solar position, module geometry and ground reflectivity, and are calculated using the sub-models below.</w:t>
      </w:r>
    </w:p>
    <w:p w14:paraId="20BD2A99" w14:textId="77777777" w:rsidR="006F3AA9" w:rsidRDefault="00000000">
      <w:pPr>
        <w:spacing w:before="240" w:after="120"/>
      </w:pPr>
      <w:proofErr w:type="gramStart"/>
      <w:r>
        <w:rPr>
          <w:b/>
        </w:rPr>
        <w:t>3.2.1  Front</w:t>
      </w:r>
      <w:proofErr w:type="gramEnd"/>
      <w:r>
        <w:rPr>
          <w:b/>
        </w:rPr>
        <w:t>-Side Irradiance Model</w:t>
      </w:r>
    </w:p>
    <w:p w14:paraId="2A76178F" w14:textId="77777777" w:rsidR="00B0703D" w:rsidRDefault="00B0703D">
      <w:pPr>
        <w:spacing w:before="60" w:after="120"/>
        <w:jc w:val="both"/>
      </w:pPr>
      <w:r w:rsidRPr="00B0703D">
        <w:t>The Liu-Jordan isotropic sky model [15] is used to obtain the front-surface irradiance by dividing the global horizontal irradiance (GHI) into three physically separate components: direct beam, isotropic diffuse sky and diffuse ground reflection GHI. The reaction to module orientation varies among the components and needs to be handled separately.</w:t>
      </w:r>
    </w:p>
    <w:p w14:paraId="7181E37D" w14:textId="77777777" w:rsidR="00692D15" w:rsidRDefault="00E668B8" w:rsidP="00692D15">
      <w:pPr>
        <w:spacing w:before="160" w:after="160"/>
      </w:pPr>
      <w:r w:rsidRPr="00E668B8">
        <w:t>The beam component that falls on the inclined surface is determined by projecting the direct normal irradiance (DNI) onto the module plane. A floor function is used in case the</w:t>
      </w:r>
      <w:r w:rsidR="00692D15">
        <w:t xml:space="preserve"> s</w:t>
      </w:r>
      <w:r w:rsidRPr="00E668B8">
        <w:t>un is below the module horizon:</w:t>
      </w:r>
    </w:p>
    <w:p w14:paraId="3B362327" w14:textId="426D2DC6" w:rsidR="006F3AA9" w:rsidRDefault="00000000" w:rsidP="00692D15">
      <w:pPr>
        <w:spacing w:before="160" w:after="160"/>
        <w:jc w:val="center"/>
      </w:pPr>
      <m:oMath>
        <m:r>
          <w:rPr>
            <w:rFonts w:ascii="Cambria Math" w:hAnsi="Cambria Math"/>
          </w:rPr>
          <m:t>beam</m:t>
        </m:r>
        <m:sSub>
          <m:sSubPr>
            <m:ctrlPr>
              <w:rPr>
                <w:rFonts w:ascii="Cambria Math" w:hAnsi="Cambria Math"/>
              </w:rPr>
            </m:ctrlPr>
          </m:sSubPr>
          <m:e/>
          <m:sub>
            <m:r>
              <w:rPr>
                <w:rFonts w:ascii="Cambria Math" w:hAnsi="Cambria Math"/>
              </w:rPr>
              <m:t>tilted</m:t>
            </m:r>
          </m:sub>
        </m:sSub>
        <m:r>
          <w:rPr>
            <w:rFonts w:ascii="Cambria Math" w:hAnsi="Cambria Math"/>
          </w:rPr>
          <m:t xml:space="preserve">  =  DNI × max(0, cos I)</m:t>
        </m:r>
      </m:oMath>
      <w:r>
        <w:t xml:space="preserve">          </w:t>
      </w:r>
      <w:proofErr w:type="gramStart"/>
      <w:r>
        <w:t>(</w:t>
      </w:r>
      <w:proofErr w:type="gramEnd"/>
      <w:r>
        <w:t>2)</w:t>
      </w:r>
    </w:p>
    <w:p w14:paraId="7F763E46" w14:textId="77777777" w:rsidR="00AF513B" w:rsidRDefault="00AF513B">
      <w:pPr>
        <w:spacing w:before="60" w:after="120"/>
        <w:jc w:val="both"/>
      </w:pPr>
      <w:r w:rsidRPr="00AF513B">
        <w:t xml:space="preserve">In this case, DNI is the direct normal irradiance (in W/m²) and I is the angle of incidence of the incoming beam with the normal of the module surface. The </w:t>
      </w:r>
      <w:proofErr w:type="gramStart"/>
      <w:r w:rsidRPr="00AF513B">
        <w:t>max(</w:t>
      </w:r>
      <w:proofErr w:type="gramEnd"/>
      <w:r w:rsidRPr="00AF513B">
        <w:t xml:space="preserve">0, cos I) clipping will get rid of physically </w:t>
      </w:r>
      <w:proofErr w:type="spellStart"/>
      <w:r w:rsidRPr="00AF513B">
        <w:t>unrealisable</w:t>
      </w:r>
      <w:proofErr w:type="spellEnd"/>
      <w:r w:rsidRPr="00AF513B">
        <w:t xml:space="preserve"> negative values if I &gt; 90°.</w:t>
      </w:r>
    </w:p>
    <w:p w14:paraId="79D96174" w14:textId="7C25654D" w:rsidR="00BD19CA" w:rsidRDefault="00BD19CA" w:rsidP="00BD19CA">
      <w:pPr>
        <w:spacing w:before="160" w:after="160"/>
      </w:pPr>
      <w:r w:rsidRPr="00BD19CA">
        <w:t>The sky (ground) view factors describe the portion of the isotropic sky (ground) that can</w:t>
      </w:r>
      <w:r>
        <w:t xml:space="preserve"> </w:t>
      </w:r>
      <w:r w:rsidRPr="00BD19CA">
        <w:t>be seen from above (below) a tilted surface [15]. Their expressions are:</w:t>
      </w:r>
    </w:p>
    <w:p w14:paraId="070C6A5F" w14:textId="6F17A9C8" w:rsidR="006F3AA9" w:rsidRDefault="00000000">
      <w:pPr>
        <w:spacing w:before="160" w:after="160"/>
        <w:jc w:val="center"/>
      </w:pPr>
      <m:oMath>
        <m:r>
          <w:rPr>
            <w:rFonts w:ascii="Cambria Math" w:hAnsi="Cambria Math"/>
          </w:rPr>
          <m:t>sky</m:t>
        </m:r>
        <m:sSub>
          <m:sSubPr>
            <m:ctrlPr>
              <w:rPr>
                <w:rFonts w:ascii="Cambria Math" w:hAnsi="Cambria Math"/>
              </w:rPr>
            </m:ctrlPr>
          </m:sSubPr>
          <m:e/>
          <m:sub>
            <m:r>
              <w:rPr>
                <w:rFonts w:ascii="Cambria Math" w:hAnsi="Cambria Math"/>
              </w:rPr>
              <m:t>vf</m:t>
            </m:r>
          </m:sub>
        </m:sSub>
        <m:r>
          <w:rPr>
            <w:rFonts w:ascii="Cambria Math" w:hAnsi="Cambria Math"/>
          </w:rPr>
          <m:t xml:space="preserve">  =  </m:t>
        </m:r>
        <m:f>
          <m:fPr>
            <m:ctrlPr>
              <w:rPr>
                <w:rFonts w:ascii="Cambria Math" w:hAnsi="Cambria Math"/>
              </w:rPr>
            </m:ctrlPr>
          </m:fPr>
          <m:num>
            <m:r>
              <w:rPr>
                <w:rFonts w:ascii="Cambria Math" w:hAnsi="Cambria Math"/>
              </w:rPr>
              <m:t>1 + cosβ</m:t>
            </m:r>
          </m:num>
          <m:den>
            <m:r>
              <w:rPr>
                <w:rFonts w:ascii="Cambria Math" w:hAnsi="Cambria Math"/>
              </w:rPr>
              <m:t>2</m:t>
            </m:r>
          </m:den>
        </m:f>
      </m:oMath>
      <w:r>
        <w:t xml:space="preserve">          (3)</w:t>
      </w:r>
    </w:p>
    <w:p w14:paraId="330587B2" w14:textId="77777777" w:rsidR="006F3AA9" w:rsidRDefault="00000000">
      <w:pPr>
        <w:spacing w:before="160" w:after="160"/>
        <w:jc w:val="center"/>
      </w:pPr>
      <m:oMath>
        <m:r>
          <w:rPr>
            <w:rFonts w:ascii="Cambria Math" w:hAnsi="Cambria Math"/>
          </w:rPr>
          <m:t>gnd</m:t>
        </m:r>
        <m:sSub>
          <m:sSubPr>
            <m:ctrlPr>
              <w:rPr>
                <w:rFonts w:ascii="Cambria Math" w:hAnsi="Cambria Math"/>
              </w:rPr>
            </m:ctrlPr>
          </m:sSubPr>
          <m:e/>
          <m:sub>
            <m:r>
              <w:rPr>
                <w:rFonts w:ascii="Cambria Math" w:hAnsi="Cambria Math"/>
              </w:rPr>
              <m:t>vf</m:t>
            </m:r>
          </m:sub>
        </m:sSub>
        <m:r>
          <w:rPr>
            <w:rFonts w:ascii="Cambria Math" w:hAnsi="Cambria Math"/>
          </w:rPr>
          <m:t xml:space="preserve">  =  </m:t>
        </m:r>
        <m:f>
          <m:fPr>
            <m:ctrlPr>
              <w:rPr>
                <w:rFonts w:ascii="Cambria Math" w:hAnsi="Cambria Math"/>
              </w:rPr>
            </m:ctrlPr>
          </m:fPr>
          <m:num>
            <m:r>
              <w:rPr>
                <w:rFonts w:ascii="Cambria Math" w:hAnsi="Cambria Math"/>
              </w:rPr>
              <m:t>1 - cosβ</m:t>
            </m:r>
          </m:num>
          <m:den>
            <m:r>
              <w:rPr>
                <w:rFonts w:ascii="Cambria Math" w:hAnsi="Cambria Math"/>
              </w:rPr>
              <m:t>2</m:t>
            </m:r>
          </m:den>
        </m:f>
      </m:oMath>
      <w:r>
        <w:t xml:space="preserve">          (4)</w:t>
      </w:r>
    </w:p>
    <w:p w14:paraId="708AD085" w14:textId="77777777" w:rsidR="0025665C" w:rsidRDefault="0025665C" w:rsidP="0025665C">
      <w:pPr>
        <w:spacing w:before="160" w:after="160"/>
      </w:pPr>
      <w:r w:rsidRPr="0025665C">
        <w:t xml:space="preserve">whereas β is the angle of the module tilts from the horizontal plane. As the value of β approaches vertical, the amount of sky contribution, skyᵥᶠ, decreases and the amount of ground-reflected contribution, </w:t>
      </w:r>
      <w:proofErr w:type="spellStart"/>
      <w:r w:rsidRPr="0025665C">
        <w:t>gnd</w:t>
      </w:r>
      <w:proofErr w:type="spellEnd"/>
      <w:r w:rsidRPr="0025665C">
        <w:t>ᵥᶠ, increases, moving the balance between the sky and ground-reflected contribution to the front surface. The total irradiance of the front surface is:</w:t>
      </w:r>
    </w:p>
    <w:p w14:paraId="4AA439AB" w14:textId="73BB391C" w:rsidR="006F3AA9" w:rsidRDefault="00000000" w:rsidP="0025665C">
      <w:pPr>
        <w:spacing w:before="160" w:after="160"/>
      </w:pPr>
      <m:oMath>
        <m:sSub>
          <m:sSubPr>
            <m:ctrlPr>
              <w:rPr>
                <w:rFonts w:ascii="Cambria Math" w:hAnsi="Cambria Math"/>
              </w:rPr>
            </m:ctrlPr>
          </m:sSubPr>
          <m:e>
            <m:eqArr>
              <m:eqArrPr>
                <m:ctrlPr>
                  <w:rPr>
                    <w:rFonts w:ascii="Cambria Math" w:hAnsi="Cambria Math"/>
                    <w:i/>
                  </w:rPr>
                </m:ctrlPr>
              </m:eqArrPr>
              <m:e/>
              <m:e>
                <m:r>
                  <w:rPr>
                    <w:rFonts w:ascii="Cambria Math" w:hAnsi="Cambria Math"/>
                  </w:rPr>
                  <m:t>G</m:t>
                </m:r>
              </m:e>
            </m:eqArr>
          </m:e>
          <m:sub>
            <m:r>
              <w:rPr>
                <w:rFonts w:ascii="Cambria Math" w:hAnsi="Cambria Math"/>
              </w:rPr>
              <m:t>front</m:t>
            </m:r>
          </m:sub>
        </m:sSub>
        <m:r>
          <w:rPr>
            <w:rFonts w:ascii="Cambria Math" w:hAnsi="Cambria Math"/>
          </w:rPr>
          <m:t xml:space="preserve">  =  beam</m:t>
        </m:r>
        <m:sSub>
          <m:sSubPr>
            <m:ctrlPr>
              <w:rPr>
                <w:rFonts w:ascii="Cambria Math" w:hAnsi="Cambria Math"/>
              </w:rPr>
            </m:ctrlPr>
          </m:sSubPr>
          <m:e/>
          <m:sub>
            <m:r>
              <w:rPr>
                <w:rFonts w:ascii="Cambria Math" w:hAnsi="Cambria Math"/>
              </w:rPr>
              <m:t>tilted</m:t>
            </m:r>
          </m:sub>
        </m:sSub>
        <m:r>
          <w:rPr>
            <w:rFonts w:ascii="Cambria Math" w:hAnsi="Cambria Math"/>
          </w:rPr>
          <m:t xml:space="preserve">  +  (DHI × sky</m:t>
        </m:r>
        <m:sSub>
          <m:sSubPr>
            <m:ctrlPr>
              <w:rPr>
                <w:rFonts w:ascii="Cambria Math" w:hAnsi="Cambria Math"/>
              </w:rPr>
            </m:ctrlPr>
          </m:sSubPr>
          <m:e/>
          <m:sub>
            <m:r>
              <w:rPr>
                <w:rFonts w:ascii="Cambria Math" w:hAnsi="Cambria Math"/>
              </w:rPr>
              <m:t>vf</m:t>
            </m:r>
          </m:sub>
        </m:sSub>
        <m:r>
          <w:rPr>
            <w:rFonts w:ascii="Cambria Math" w:hAnsi="Cambria Math"/>
          </w:rPr>
          <m:t>)  +  (GHI × ρ × gnd</m:t>
        </m:r>
        <m:sSub>
          <m:sSubPr>
            <m:ctrlPr>
              <w:rPr>
                <w:rFonts w:ascii="Cambria Math" w:hAnsi="Cambria Math"/>
              </w:rPr>
            </m:ctrlPr>
          </m:sSubPr>
          <m:e/>
          <m:sub>
            <m:r>
              <w:rPr>
                <w:rFonts w:ascii="Cambria Math" w:hAnsi="Cambria Math"/>
              </w:rPr>
              <m:t>vf</m:t>
            </m:r>
          </m:sub>
        </m:sSub>
        <m:r>
          <w:rPr>
            <w:rFonts w:ascii="Cambria Math" w:hAnsi="Cambria Math"/>
          </w:rPr>
          <m:t>)</m:t>
        </m:r>
      </m:oMath>
      <w:r>
        <w:t xml:space="preserve">          </w:t>
      </w:r>
      <w:proofErr w:type="gramStart"/>
      <w:r>
        <w:t>(</w:t>
      </w:r>
      <w:proofErr w:type="gramEnd"/>
      <w:r>
        <w:t>5)</w:t>
      </w:r>
    </w:p>
    <w:p w14:paraId="445634BF" w14:textId="77777777" w:rsidR="000A1B39" w:rsidRDefault="000A1B39">
      <w:pPr>
        <w:spacing w:before="240" w:after="120"/>
      </w:pPr>
      <w:r w:rsidRPr="000A1B39">
        <w:t>DHI (W m⁻²): diffuse horizontal irradiance; GHI (W m⁻²): global horizontal irradiance; ρ is the dimensionless ground surface albedo coefficient with values for common installation surfaces given in Table 2.1.</w:t>
      </w:r>
    </w:p>
    <w:p w14:paraId="216A694E" w14:textId="464E4913" w:rsidR="006F3AA9" w:rsidRDefault="00000000">
      <w:pPr>
        <w:spacing w:before="240" w:after="120"/>
      </w:pPr>
      <w:proofErr w:type="gramStart"/>
      <w:r>
        <w:rPr>
          <w:b/>
        </w:rPr>
        <w:t>3.2.2  Rear</w:t>
      </w:r>
      <w:proofErr w:type="gramEnd"/>
      <w:r>
        <w:rPr>
          <w:b/>
        </w:rPr>
        <w:t>-Side Irradiance Model</w:t>
      </w:r>
    </w:p>
    <w:p w14:paraId="2F27C3F0" w14:textId="77777777" w:rsidR="003422A4" w:rsidRDefault="003422A4">
      <w:pPr>
        <w:spacing w:before="60" w:after="120"/>
        <w:jc w:val="both"/>
      </w:pPr>
      <w:r w:rsidRPr="003422A4">
        <w:t xml:space="preserve">As opposed to the front-side calculation, computing the rear irradiance is more complicated as the shadow of the module diminishes the ground area from which radiation can be reflected on the rear surface. This calculation then needs the solar profile </w:t>
      </w:r>
      <w:r w:rsidRPr="003422A4">
        <w:lastRenderedPageBreak/>
        <w:t>angle, which determines the geometry of the shadows, and explicit calculations of the shadow view factor Fᵥ.</w:t>
      </w:r>
    </w:p>
    <w:p w14:paraId="2F2DAA70" w14:textId="063225C1" w:rsidR="00140C22" w:rsidRDefault="00140C22" w:rsidP="00140C22">
      <w:pPr>
        <w:spacing w:before="160" w:after="160"/>
      </w:pPr>
      <w:r w:rsidRPr="00140C22">
        <w:t>The solar profile angle γₚᵣₒᶠᵢℓᵉ reflects the steepness of the sun's elevation with respect to the vertical plane that is perpendicular to the long axis of the module. It is calculated based on the relative azimuth angle between the sun and the panel [16, 17] as well as the solar elevation angle</w:t>
      </w:r>
      <w:r w:rsidR="006A1656">
        <w:t>:</w:t>
      </w:r>
    </w:p>
    <w:p w14:paraId="53E2C943" w14:textId="412E7AE6" w:rsidR="006F3AA9" w:rsidRDefault="00140C22" w:rsidP="00140C22">
      <w:pPr>
        <w:spacing w:before="160" w:after="160"/>
        <w:jc w:val="center"/>
      </w:pPr>
      <w:r w:rsidRPr="00140C22">
        <w:t>.</w:t>
      </w:r>
      <m:oMath>
        <m:sSub>
          <m:sSubPr>
            <m:ctrlPr>
              <w:rPr>
                <w:rFonts w:ascii="Cambria Math" w:hAnsi="Cambria Math"/>
              </w:rPr>
            </m:ctrlPr>
          </m:sSubPr>
          <m:e>
            <m:r>
              <w:rPr>
                <w:rFonts w:ascii="Cambria Math" w:hAnsi="Cambria Math"/>
              </w:rPr>
              <m:t>γ</m:t>
            </m:r>
          </m:e>
          <m:sub>
            <m:r>
              <w:rPr>
                <w:rFonts w:ascii="Cambria Math" w:hAnsi="Cambria Math"/>
              </w:rPr>
              <m:t>profile</m:t>
            </m:r>
          </m:sub>
        </m:sSub>
        <m:r>
          <w:rPr>
            <w:rFonts w:ascii="Cambria Math" w:hAnsi="Cambria Math"/>
          </w:rPr>
          <m:t xml:space="preserve">  =  tan⁻¹⁡(</m:t>
        </m:r>
        <m:f>
          <m:fPr>
            <m:ctrlPr>
              <w:rPr>
                <w:rFonts w:ascii="Cambria Math" w:hAnsi="Cambria Math"/>
              </w:rPr>
            </m:ctrlPr>
          </m:fPr>
          <m:num>
            <m:r>
              <w:rPr>
                <w:rFonts w:ascii="Cambria Math" w:hAnsi="Cambria Math"/>
              </w:rPr>
              <m:t>tan(sunᵉ</m:t>
            </m:r>
            <m:r>
              <m:rPr>
                <m:scr m:val="script"/>
              </m:rPr>
              <w:rPr>
                <w:rFonts w:ascii="Cambria Math" w:hAnsi="Cambria Math"/>
              </w:rPr>
              <m:t>lᵉᵥ)</m:t>
            </m:r>
          </m:num>
          <m:den>
            <m:r>
              <w:rPr>
                <w:rFonts w:ascii="Cambria Math" w:hAnsi="Cambria Math"/>
              </w:rPr>
              <m:t>cos(sunᵃᵣ - panelᵃᵣ)</m:t>
            </m:r>
          </m:den>
        </m:f>
        <m:r>
          <w:rPr>
            <w:rFonts w:ascii="Cambria Math" w:hAnsi="Cambria Math"/>
          </w:rPr>
          <m:t>)</m:t>
        </m:r>
      </m:oMath>
      <w:r w:rsidR="00000000">
        <w:t xml:space="preserve">       </w:t>
      </w:r>
      <w:proofErr w:type="gramStart"/>
      <w:r w:rsidR="00000000">
        <w:t xml:space="preserve">   (</w:t>
      </w:r>
      <w:proofErr w:type="gramEnd"/>
      <w:r w:rsidR="00000000">
        <w:t>6)</w:t>
      </w:r>
    </w:p>
    <w:p w14:paraId="473BCE06" w14:textId="77777777" w:rsidR="00852FB0" w:rsidRDefault="00852FB0">
      <w:pPr>
        <w:spacing w:before="240" w:after="120"/>
      </w:pPr>
      <w:r w:rsidRPr="00852FB0">
        <w:t>solar elevation angle (sunᵉℓᵉᵐ), solar azimuth angle (sunᵃᵉᵛ), and the panel azimuth angle (panelᵃᵉᵛ = 180° for south-facing panel in northern hemisphere). The profile angle can be seen as a 2-D cross section of the sun position, which is relevant to the transverse cross-section of the module row.</w:t>
      </w:r>
    </w:p>
    <w:p w14:paraId="18BA2EF1" w14:textId="6B23608C" w:rsidR="006F3AA9" w:rsidRDefault="00000000">
      <w:pPr>
        <w:spacing w:before="240" w:after="120"/>
      </w:pPr>
      <w:proofErr w:type="gramStart"/>
      <w:r>
        <w:rPr>
          <w:b/>
        </w:rPr>
        <w:t>3.2.3  Shadow</w:t>
      </w:r>
      <w:proofErr w:type="gramEnd"/>
      <w:r>
        <w:rPr>
          <w:b/>
        </w:rPr>
        <w:t xml:space="preserve"> and View Factor Computation</w:t>
      </w:r>
    </w:p>
    <w:p w14:paraId="0EAD0AE3" w14:textId="77777777" w:rsidR="00852FB0" w:rsidRDefault="00852FB0" w:rsidP="00852FB0">
      <w:pPr>
        <w:spacing w:before="160" w:after="160"/>
      </w:pPr>
      <w:r w:rsidRPr="00852FB0">
        <w:t xml:space="preserve">The lower and upper edge of the cast shadow of the module onto the ground behind the module may be geometrically determined using the profile angle [16],[17]. If the lower edge of the module is h </w:t>
      </w:r>
      <w:proofErr w:type="spellStart"/>
      <w:r w:rsidRPr="00852FB0">
        <w:t>metres</w:t>
      </w:r>
      <w:proofErr w:type="spellEnd"/>
      <w:r w:rsidRPr="00852FB0">
        <w:t xml:space="preserve"> above the ground and the width of the module is W </w:t>
      </w:r>
      <w:proofErr w:type="spellStart"/>
      <w:r w:rsidRPr="00852FB0">
        <w:t>metres</w:t>
      </w:r>
      <w:proofErr w:type="spellEnd"/>
      <w:r w:rsidRPr="00852FB0">
        <w:t>, then:</w:t>
      </w:r>
    </w:p>
    <w:p w14:paraId="6F5C2674" w14:textId="19E20380" w:rsidR="006F3AA9" w:rsidRDefault="00000000" w:rsidP="00852FB0">
      <w:pPr>
        <w:spacing w:before="160" w:after="160"/>
        <w:jc w:val="center"/>
      </w:pPr>
      <m:oMath>
        <m:r>
          <w:rPr>
            <w:rFonts w:ascii="Cambria Math" w:hAnsi="Cambria Math"/>
          </w:rPr>
          <m:t>shadow</m:t>
        </m:r>
        <m:sSub>
          <m:sSubPr>
            <m:ctrlPr>
              <w:rPr>
                <w:rFonts w:ascii="Cambria Math" w:hAnsi="Cambria Math"/>
              </w:rPr>
            </m:ctrlPr>
          </m:sSubPr>
          <m:e/>
          <m:sub>
            <m:r>
              <w:rPr>
                <w:rFonts w:ascii="Cambria Math" w:hAnsi="Cambria Math"/>
              </w:rPr>
              <m:t>lower</m:t>
            </m:r>
          </m:sub>
        </m:sSub>
        <m:r>
          <w:rPr>
            <w:rFonts w:ascii="Cambria Math" w:hAnsi="Cambria Math"/>
          </w:rPr>
          <m:t xml:space="preserve">  =  </m:t>
        </m:r>
        <m:f>
          <m:fPr>
            <m:ctrlPr>
              <w:rPr>
                <w:rFonts w:ascii="Cambria Math" w:hAnsi="Cambria Math"/>
              </w:rPr>
            </m:ctrlPr>
          </m:fPr>
          <m:num>
            <m:r>
              <w:rPr>
                <w:rFonts w:ascii="Cambria Math" w:hAnsi="Cambria Math"/>
              </w:rPr>
              <m:t>h</m:t>
            </m:r>
          </m:num>
          <m:den>
            <m:r>
              <w:rPr>
                <w:rFonts w:ascii="Cambria Math" w:hAnsi="Cambria Math"/>
              </w:rPr>
              <m:t>tan(γₚᵣₒᶠᵢ</m:t>
            </m:r>
            <m:r>
              <m:rPr>
                <m:scr m:val="script"/>
              </m:rPr>
              <w:rPr>
                <w:rFonts w:ascii="Cambria Math" w:hAnsi="Cambria Math"/>
              </w:rPr>
              <m:t>lᵉ)</m:t>
            </m:r>
          </m:den>
        </m:f>
      </m:oMath>
      <w:r>
        <w:t xml:space="preserve">          </w:t>
      </w:r>
      <w:proofErr w:type="gramStart"/>
      <w:r>
        <w:t>(</w:t>
      </w:r>
      <w:proofErr w:type="gramEnd"/>
      <w:r>
        <w:t>7)</w:t>
      </w:r>
    </w:p>
    <w:p w14:paraId="713AD52D" w14:textId="77777777" w:rsidR="006F3AA9" w:rsidRDefault="00000000">
      <w:pPr>
        <w:spacing w:before="160" w:after="160"/>
        <w:jc w:val="center"/>
      </w:pPr>
      <m:oMath>
        <m:r>
          <w:rPr>
            <w:rFonts w:ascii="Cambria Math" w:hAnsi="Cambria Math"/>
          </w:rPr>
          <m:t>shadow</m:t>
        </m:r>
        <m:sSub>
          <m:sSubPr>
            <m:ctrlPr>
              <w:rPr>
                <w:rFonts w:ascii="Cambria Math" w:hAnsi="Cambria Math"/>
              </w:rPr>
            </m:ctrlPr>
          </m:sSubPr>
          <m:e/>
          <m:sub>
            <m:r>
              <w:rPr>
                <w:rFonts w:ascii="Cambria Math" w:hAnsi="Cambria Math"/>
              </w:rPr>
              <m:t>upper</m:t>
            </m:r>
          </m:sub>
        </m:sSub>
        <m:r>
          <w:rPr>
            <w:rFonts w:ascii="Cambria Math" w:hAnsi="Cambria Math"/>
          </w:rPr>
          <m:t xml:space="preserve">  =  </m:t>
        </m:r>
        <m:f>
          <m:fPr>
            <m:ctrlPr>
              <w:rPr>
                <w:rFonts w:ascii="Cambria Math" w:hAnsi="Cambria Math"/>
              </w:rPr>
            </m:ctrlPr>
          </m:fPr>
          <m:num>
            <m:r>
              <w:rPr>
                <w:rFonts w:ascii="Cambria Math" w:hAnsi="Cambria Math"/>
              </w:rPr>
              <m:t>h + W sinβ</m:t>
            </m:r>
          </m:num>
          <m:den>
            <m:r>
              <w:rPr>
                <w:rFonts w:ascii="Cambria Math" w:hAnsi="Cambria Math"/>
              </w:rPr>
              <m:t>tan(γₚᵣₒᶠᵢ</m:t>
            </m:r>
            <m:r>
              <m:rPr>
                <m:scr m:val="script"/>
              </m:rPr>
              <w:rPr>
                <w:rFonts w:ascii="Cambria Math" w:hAnsi="Cambria Math"/>
              </w:rPr>
              <m:t>lᵉ)</m:t>
            </m:r>
          </m:den>
        </m:f>
      </m:oMath>
      <w:r>
        <w:t xml:space="preserve">          (8)</w:t>
      </w:r>
    </w:p>
    <w:p w14:paraId="5A93493B" w14:textId="77777777" w:rsidR="001B70C0" w:rsidRDefault="001B70C0">
      <w:pPr>
        <w:spacing w:before="60" w:after="120"/>
        <w:jc w:val="both"/>
      </w:pPr>
      <w:r w:rsidRPr="001B70C0">
        <w:t>h (m): the distance from the lower edge of the module to the ground; W (m): the width of the module in the direction of tilting; β: tilt angle. The ground strip between shadowₗₒᵤᵉᵥ and shadowᵤₚₚᵉᵣ does not receive any direct beam irradiance and is only seen as a reflection from diffuse sky radiation. The back sky view factor (rearᵥᶠ) is geometrically similar to equation (3), except that it uses (180° − β) in place of β.</w:t>
      </w:r>
    </w:p>
    <w:p w14:paraId="33500D3F" w14:textId="77777777" w:rsidR="001B70C0" w:rsidRDefault="001B70C0" w:rsidP="001B70C0">
      <w:pPr>
        <w:spacing w:before="160" w:after="160"/>
      </w:pPr>
      <w:proofErr w:type="spellStart"/>
      <w:r w:rsidRPr="001B70C0">
        <w:t>Yusufoglu</w:t>
      </w:r>
      <w:proofErr w:type="spellEnd"/>
      <w:r w:rsidRPr="001B70C0">
        <w:t xml:space="preserve"> et al. [18] proposed a new parameter called the shadow view factor Fᵥ to represent the decrease of rear irradiance due to the shadow of the module. It can be written as a surface-integral over the shadowed area [18]:</w:t>
      </w:r>
    </w:p>
    <w:p w14:paraId="0A2A3395" w14:textId="483EFBD6" w:rsidR="006F3AA9" w:rsidRDefault="00000000" w:rsidP="001B70C0">
      <w:pPr>
        <w:spacing w:before="160" w:after="160"/>
        <w:jc w:val="center"/>
      </w:pPr>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xml:space="preserve">  =  rear</m:t>
        </m:r>
        <m:sSub>
          <m:sSubPr>
            <m:ctrlPr>
              <w:rPr>
                <w:rFonts w:ascii="Cambria Math" w:hAnsi="Cambria Math"/>
              </w:rPr>
            </m:ctrlPr>
          </m:sSubPr>
          <m:e/>
          <m:sub>
            <m:r>
              <w:rPr>
                <w:rFonts w:ascii="Cambria Math" w:hAnsi="Cambria Math"/>
              </w:rPr>
              <m:t>vf</m:t>
            </m:r>
          </m:sub>
        </m:sSub>
        <m:r>
          <w:rPr>
            <w:rFonts w:ascii="Cambria Math" w:hAnsi="Cambria Math"/>
          </w:rPr>
          <m:t xml:space="preserve">  -  ∫</m:t>
        </m:r>
        <m:f>
          <m:fPr>
            <m:ctrlPr>
              <w:rPr>
                <w:rFonts w:ascii="Cambria Math" w:hAnsi="Cambria Math"/>
              </w:rPr>
            </m:ctrlPr>
          </m:fPr>
          <m:num>
            <m:r>
              <w:rPr>
                <w:rFonts w:ascii="Cambria Math" w:hAnsi="Cambria Math"/>
              </w:rPr>
              <m:t>cosθ₁ · cosθ₂</m:t>
            </m:r>
          </m:num>
          <m:den>
            <m:r>
              <w:rPr>
                <w:rFonts w:ascii="Cambria Math" w:hAnsi="Cambria Math"/>
              </w:rPr>
              <m:t>2rₛʰᵃᵈₒᵤ</m:t>
            </m:r>
          </m:den>
        </m:f>
        <m:r>
          <w:rPr>
            <w:rFonts w:ascii="Cambria Math" w:hAnsi="Cambria Math"/>
          </w:rPr>
          <m:t xml:space="preserve"> dx</m:t>
        </m:r>
      </m:oMath>
      <w:r>
        <w:t xml:space="preserve">          </w:t>
      </w:r>
      <w:proofErr w:type="gramStart"/>
      <w:r>
        <w:t>(</w:t>
      </w:r>
      <w:proofErr w:type="gramEnd"/>
      <w:r>
        <w:t>9)</w:t>
      </w:r>
    </w:p>
    <w:p w14:paraId="09592467" w14:textId="77777777" w:rsidR="00291A22" w:rsidRDefault="00291A22" w:rsidP="00291A22">
      <w:pPr>
        <w:spacing w:before="160" w:after="160"/>
      </w:pPr>
      <w:r w:rsidRPr="00291A22">
        <w:t xml:space="preserve">θ₁ and θ₂ are the angles between the normals of the respective surfaces (ground and module rear face) and the line connecting the differential area elements; </w:t>
      </w:r>
      <w:proofErr w:type="spellStart"/>
      <w:r w:rsidRPr="00291A22">
        <w:t>rₛʰ</w:t>
      </w:r>
      <w:proofErr w:type="spellEnd"/>
      <w:r w:rsidRPr="00291A22">
        <w:t xml:space="preserve">ᵃᵈₒᵤ is the distance between the differential area elements as indicated in Fig. 3.2. When Fᵥ is added to the rear irradiance balance, the ground reflected radiation is divided into two: the </w:t>
      </w:r>
      <w:r w:rsidRPr="00291A22">
        <w:lastRenderedPageBreak/>
        <w:t>diffuse component (from all the ground below), and the direct component (from the unshaded strip only). The pre-</w:t>
      </w:r>
      <w:proofErr w:type="spellStart"/>
      <w:r w:rsidRPr="00291A22">
        <w:t>bifaciality</w:t>
      </w:r>
      <w:proofErr w:type="spellEnd"/>
      <w:r w:rsidRPr="00291A22">
        <w:t xml:space="preserve"> scaled net rear irradiance is [18]:</w:t>
      </w:r>
    </w:p>
    <w:p w14:paraId="2BE62A11" w14:textId="216A62B3" w:rsidR="006F3AA9" w:rsidRDefault="00000000" w:rsidP="00291A22">
      <w:pPr>
        <w:spacing w:before="160" w:after="160"/>
        <w:jc w:val="center"/>
      </w:pPr>
      <m:oMath>
        <m:sSub>
          <m:sSubPr>
            <m:ctrlPr>
              <w:rPr>
                <w:rFonts w:ascii="Cambria Math" w:hAnsi="Cambria Math"/>
              </w:rPr>
            </m:ctrlPr>
          </m:sSubPr>
          <m:e>
            <m:r>
              <w:rPr>
                <w:rFonts w:ascii="Cambria Math" w:hAnsi="Cambria Math"/>
              </w:rPr>
              <m:t>G</m:t>
            </m:r>
          </m:e>
          <m:sub>
            <m:r>
              <w:rPr>
                <w:rFonts w:ascii="Cambria Math" w:hAnsi="Cambria Math"/>
              </w:rPr>
              <m:t>r0</m:t>
            </m:r>
          </m:sub>
        </m:sSub>
        <m:r>
          <w:rPr>
            <w:rFonts w:ascii="Cambria Math" w:hAnsi="Cambria Math"/>
          </w:rPr>
          <m:t xml:space="preserve">  =  ρ · DHI · rear</m:t>
        </m:r>
        <m:sSub>
          <m:sSubPr>
            <m:ctrlPr>
              <w:rPr>
                <w:rFonts w:ascii="Cambria Math" w:hAnsi="Cambria Math"/>
              </w:rPr>
            </m:ctrlPr>
          </m:sSubPr>
          <m:e/>
          <m:sub>
            <m:r>
              <w:rPr>
                <w:rFonts w:ascii="Cambria Math" w:hAnsi="Cambria Math"/>
              </w:rPr>
              <m:t>vf</m:t>
            </m:r>
          </m:sub>
        </m:sSub>
        <m:r>
          <w:rPr>
            <w:rFonts w:ascii="Cambria Math" w:hAnsi="Cambria Math"/>
          </w:rPr>
          <m:t xml:space="preserve">  +  ρ · (GHI - DHI) · (rear</m:t>
        </m:r>
        <m:sSub>
          <m:sSubPr>
            <m:ctrlPr>
              <w:rPr>
                <w:rFonts w:ascii="Cambria Math" w:hAnsi="Cambria Math"/>
              </w:rPr>
            </m:ctrlPr>
          </m:sSubPr>
          <m:e/>
          <m:sub>
            <m:r>
              <w:rPr>
                <w:rFonts w:ascii="Cambria Math" w:hAnsi="Cambria Math"/>
              </w:rPr>
              <m:t>vf</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m:t>
        </m:r>
      </m:oMath>
      <w:r>
        <w:t xml:space="preserve">          </w:t>
      </w:r>
      <w:proofErr w:type="gramStart"/>
      <w:r>
        <w:t>(</w:t>
      </w:r>
      <w:proofErr w:type="gramEnd"/>
      <w:r>
        <w:t>10)</w:t>
      </w:r>
    </w:p>
    <w:p w14:paraId="4D415715" w14:textId="77777777" w:rsidR="00FC6D8F" w:rsidRDefault="00FC6D8F" w:rsidP="00FC6D8F">
      <w:pPr>
        <w:spacing w:before="160" w:after="160"/>
      </w:pPr>
      <w:r w:rsidRPr="00FC6D8F">
        <w:t xml:space="preserve">The first term is for the diffuse-sky-reflected radiation reaching the entire area of the rear surface; the second term represents the direct-beam-reflected radiation that can only reach the unshaded area. Last but not least, the rear surface irradiance is adjusted according to the module's </w:t>
      </w:r>
      <w:proofErr w:type="spellStart"/>
      <w:r w:rsidRPr="00FC6D8F">
        <w:t>bifaciality</w:t>
      </w:r>
      <w:proofErr w:type="spellEnd"/>
      <w:r w:rsidRPr="00FC6D8F">
        <w:t xml:space="preserve"> factor (φ) to model the electrical performance of the module [18].</w:t>
      </w:r>
    </w:p>
    <w:p w14:paraId="545ECEEE" w14:textId="0DBAAB11" w:rsidR="006F3AA9" w:rsidRDefault="00000000" w:rsidP="00FC6D8F">
      <w:pPr>
        <w:spacing w:before="160" w:after="160"/>
        <w:jc w:val="center"/>
      </w:pPr>
      <m:oMath>
        <m:sSub>
          <m:sSubPr>
            <m:ctrlPr>
              <w:rPr>
                <w:rFonts w:ascii="Cambria Math" w:hAnsi="Cambria Math"/>
              </w:rPr>
            </m:ctrlPr>
          </m:sSubPr>
          <m:e>
            <m:r>
              <w:rPr>
                <w:rFonts w:ascii="Cambria Math" w:hAnsi="Cambria Math"/>
              </w:rPr>
              <m:t>G</m:t>
            </m:r>
          </m:e>
          <m:sub>
            <m:r>
              <w:rPr>
                <w:rFonts w:ascii="Cambria Math" w:hAnsi="Cambria Math"/>
              </w:rPr>
              <m:t>rear</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r0</m:t>
            </m:r>
          </m:sub>
        </m:sSub>
        <m:r>
          <w:rPr>
            <w:rFonts w:ascii="Cambria Math" w:hAnsi="Cambria Math"/>
          </w:rPr>
          <m:t xml:space="preserve">  ×  φ</m:t>
        </m:r>
      </m:oMath>
      <w:r>
        <w:t xml:space="preserve">          </w:t>
      </w:r>
      <w:proofErr w:type="gramStart"/>
      <w:r>
        <w:t>(</w:t>
      </w:r>
      <w:proofErr w:type="gramEnd"/>
      <w:r>
        <w:t>11)</w:t>
      </w:r>
    </w:p>
    <w:p w14:paraId="3F502C04" w14:textId="286FE270" w:rsidR="00546CF5" w:rsidRDefault="00546CF5">
      <w:pPr>
        <w:spacing w:before="240" w:after="120"/>
      </w:pPr>
      <w:r w:rsidRPr="00546CF5">
        <w:t xml:space="preserve">The </w:t>
      </w:r>
      <w:proofErr w:type="spellStart"/>
      <w:r w:rsidRPr="00546CF5">
        <w:t>bifaciality</w:t>
      </w:r>
      <w:proofErr w:type="spellEnd"/>
      <w:r w:rsidRPr="00546CF5">
        <w:t xml:space="preserve"> factor (φ) is the ratio of rear-side to front-side conversion efficiency. For commercial bifacial modules, the typical range for φ is 0.70 to 0.90. The value of φ = 0.70 has been used in this work, following the conservative approach in field practice for bifacial mono-crystalline silicon modules</w:t>
      </w:r>
      <w:r>
        <w:t>.</w:t>
      </w:r>
    </w:p>
    <w:p w14:paraId="49DD8C20" w14:textId="01B56EFF" w:rsidR="006F3AA9" w:rsidRDefault="00000000">
      <w:pPr>
        <w:spacing w:before="240" w:after="120"/>
      </w:pPr>
      <w:proofErr w:type="gramStart"/>
      <w:r>
        <w:rPr>
          <w:b/>
          <w:sz w:val="28"/>
        </w:rPr>
        <w:t>3.3  Simulink</w:t>
      </w:r>
      <w:proofErr w:type="gramEnd"/>
      <w:r>
        <w:rPr>
          <w:b/>
          <w:sz w:val="28"/>
        </w:rPr>
        <w:t xml:space="preserve"> Model Development</w:t>
      </w:r>
    </w:p>
    <w:p w14:paraId="53558C54" w14:textId="77777777" w:rsidR="006F3AA9" w:rsidRDefault="00000000">
      <w:pPr>
        <w:spacing w:before="60" w:after="120"/>
        <w:jc w:val="both"/>
      </w:pPr>
      <w:r>
        <w:t>To translate the irradiance calculations into electrical output predictions, a MATLAB/Simulink model was built that replicates the behaviour of the bifacial PV module under a wide range of environmental and installation conditions. The model accepts GHI, DHI, DNI, albedo, tilt angle, mounting height, and cell temperature as inputs, and returns the complete I-V and P-V characteristic curves as outputs.</w:t>
      </w:r>
    </w:p>
    <w:p w14:paraId="13F55127" w14:textId="77777777" w:rsidR="006F3AA9" w:rsidRDefault="00000000">
      <w:pPr>
        <w:spacing w:before="60" w:after="120"/>
        <w:jc w:val="both"/>
      </w:pPr>
      <w:r>
        <w:t>At the heart of the Simulink schematic is a custom MATLAB Function block named calculate_irradiance, which implements equations (1) through (11) from Section 3.2. Given a set of instantaneous meteorological and geometric inputs, this block computes Gₜₒₜ and passes it as the effective irradiance Gᵉᶠᶠ to the PV Array block. The PV Array block is configured as a single bifacial module parameterised by its standard-test-condition short-circuit current (Iₛᶜ), open-circuit voltage (Vₒᶜ), maximum-power-point current (Iₘₚₚ) and voltage (Vₘₚₚ), and the NOCT value of 45°C.</w:t>
      </w:r>
    </w:p>
    <w:p w14:paraId="45370874" w14:textId="77777777" w:rsidR="006F3AA9" w:rsidRDefault="00000000">
      <w:pPr>
        <w:spacing w:before="60" w:after="120"/>
        <w:jc w:val="both"/>
      </w:pPr>
      <w:r>
        <w:t>The I-V characteristic sweep is performed by driving the array terminals with a linearly ramping controlled voltage source Vᴿᵃₘₚ. As Vᴿᵃₘₚ rises from zero to Vₒᶜ, the PV Array block produces a corresponding current response. Both the instantaneous terminal voltage (Vₘᵉᵃₛ) and current (Iₘᵉᵃₛ) are collected through a Bus Creator block and logged to the MATLAB workspace via To Workspace blocks. A downstream Gain block multiplies the two signals to yield instantaneous power, providing the P-V curve. Separate Scope blocks display the I-V and P-V curves in real time during simulation, enabling rapid visual verification of the operating point.</w:t>
      </w:r>
    </w:p>
    <w:p w14:paraId="6B4C2853" w14:textId="77777777" w:rsidR="006F3AA9" w:rsidRDefault="00000000">
      <w:pPr>
        <w:spacing w:before="60" w:after="120"/>
        <w:jc w:val="both"/>
      </w:pPr>
      <w:r>
        <w:t xml:space="preserve">Temperature effects on cell performance are incorporated through the NOCT model. Cell temperature Tᶜᵉₗₗ is calculated from the ambient temperature Tᵃₘᵇ and the effective </w:t>
      </w:r>
      <w:r>
        <w:lastRenderedPageBreak/>
        <w:t>irradiance using the standard relation, and the resulting temperature deviation from 25°C is applied to the PV Array block's internal temperature coefficient model, capturing the voltage reduction that typically accompanies higher operating temperatures. This ensures that the simulated peak power values faithfully reflect realistic field conditions rather than idealised standard test conditions.</w:t>
      </w:r>
    </w:p>
    <w:p w14:paraId="63B3DE5A" w14:textId="77777777" w:rsidR="006F3AA9" w:rsidRDefault="006F3AA9">
      <w:pPr>
        <w:spacing w:after="0"/>
      </w:pPr>
    </w:p>
    <w:p w14:paraId="0666199C" w14:textId="77777777" w:rsidR="006F3AA9" w:rsidRDefault="00000000">
      <w:pPr>
        <w:jc w:val="center"/>
      </w:pPr>
      <w:r>
        <w:rPr>
          <w:i/>
          <w:sz w:val="22"/>
        </w:rPr>
        <w:t>[Insert Figure 3 here]</w:t>
      </w:r>
    </w:p>
    <w:p w14:paraId="15F13344" w14:textId="77777777" w:rsidR="006F3AA9" w:rsidRDefault="00000000">
      <w:pPr>
        <w:jc w:val="center"/>
      </w:pPr>
      <w:r>
        <w:rPr>
          <w:b/>
          <w:sz w:val="22"/>
        </w:rPr>
        <w:t>Fig. 3.3. Simulink model for the bifacial PV module showing the irradiance calculation block, PV Array block, ramp voltage source, and measurement scopes.</w:t>
      </w:r>
    </w:p>
    <w:p w14:paraId="61487704" w14:textId="77777777" w:rsidR="006F3AA9" w:rsidRDefault="006F3AA9">
      <w:pPr>
        <w:spacing w:after="0"/>
      </w:pPr>
    </w:p>
    <w:p w14:paraId="340AC0F3" w14:textId="77777777" w:rsidR="006F3AA9" w:rsidRDefault="00000000">
      <w:pPr>
        <w:spacing w:before="60" w:after="120"/>
        <w:jc w:val="both"/>
      </w:pPr>
      <w:r>
        <w:t>The Simulink model is invoked programmatically from within the backend Python service using the MATLAB Engine API for Python. For each combination of installation parameters in the parametric sweep, the engine sets the corresponding workspace variables, executes the simulation, retrieves the logged I-V and P-V data, and extracts the peak power and rear gain percentage before moving to the next configuration. This tight coupling between the mathematical formulation, the Simulink electrical model, and the Python orchestration layer is what enables the fully automated sweep described in Section 3.6.</w:t>
      </w:r>
    </w:p>
    <w:p w14:paraId="1B9904B8" w14:textId="77777777" w:rsidR="006F3AA9" w:rsidRDefault="00000000">
      <w:pPr>
        <w:spacing w:before="240" w:after="120"/>
      </w:pPr>
      <w:r>
        <w:rPr>
          <w:b/>
          <w:sz w:val="28"/>
        </w:rPr>
        <w:t>3.4  Frontend Platform Architecture</w:t>
      </w:r>
    </w:p>
    <w:p w14:paraId="5856C389" w14:textId="77777777" w:rsidR="006F3AA9" w:rsidRDefault="00000000">
      <w:pPr>
        <w:spacing w:before="60" w:after="120"/>
        <w:jc w:val="both"/>
      </w:pPr>
      <w:r>
        <w:t>The complete analytical system is structured as a four-layer software stack: a browser-based user interface, a Python/Flask backend application, an analysis and simulation engine, and an interactive results dashboard. Each layer has a well-defined responsibility, and data flow is strictly unidirectional from user input through computation to results display. The overall architecture is depicted in Fig. 3.4.</w:t>
      </w:r>
    </w:p>
    <w:p w14:paraId="13983D8F" w14:textId="77777777" w:rsidR="006F3AA9" w:rsidRDefault="006F3AA9">
      <w:pPr>
        <w:spacing w:after="0"/>
      </w:pPr>
    </w:p>
    <w:p w14:paraId="527E41CF" w14:textId="77777777" w:rsidR="006F3AA9" w:rsidRDefault="00000000">
      <w:pPr>
        <w:jc w:val="center"/>
      </w:pPr>
      <w:r>
        <w:rPr>
          <w:i/>
          <w:sz w:val="22"/>
        </w:rPr>
        <w:t>[Insert Figure 4 here]</w:t>
      </w:r>
    </w:p>
    <w:p w14:paraId="50AF7824" w14:textId="77777777" w:rsidR="006F3AA9" w:rsidRDefault="00000000">
      <w:pPr>
        <w:jc w:val="center"/>
      </w:pPr>
      <w:r>
        <w:rPr>
          <w:b/>
          <w:sz w:val="22"/>
        </w:rPr>
        <w:t>Fig. 3.4. Proposed framework for the optimal configuration of bifacial PV systems using the MATLAB simulation engine and NASA POWER API.</w:t>
      </w:r>
    </w:p>
    <w:p w14:paraId="76A0E407" w14:textId="77777777" w:rsidR="006F3AA9" w:rsidRDefault="006F3AA9">
      <w:pPr>
        <w:spacing w:after="0"/>
      </w:pPr>
    </w:p>
    <w:p w14:paraId="1558D06A" w14:textId="77777777" w:rsidR="006F3AA9" w:rsidRDefault="00000000">
      <w:pPr>
        <w:spacing w:before="240" w:after="120"/>
      </w:pPr>
      <w:r>
        <w:rPr>
          <w:b/>
        </w:rPr>
        <w:t>3.4.1  User Interface Layer</w:t>
      </w:r>
    </w:p>
    <w:p w14:paraId="0B402D54" w14:textId="77777777" w:rsidR="006F3AA9" w:rsidRDefault="00000000">
      <w:pPr>
        <w:spacing w:before="60" w:after="120"/>
        <w:jc w:val="both"/>
      </w:pPr>
      <w:r>
        <w:t xml:space="preserve">A practitioner interacts with the system entirely through a single-page web application rendered in a standard desktop browser—no local software installation is required. The interface presents three collapsible input panels. The first panel accepts the city name, which is resolved to geographic co-ordinates (latitude, longitude) by a server-side lookup table, and the analysis date or date range. The second panel defines the parametric sweep </w:t>
      </w:r>
      <w:r>
        <w:lastRenderedPageBreak/>
        <w:t>bounds: lower and upper limits for tilt angle (β) and mounting height (h), plus step sizes for each variable. The third panel allows the user to choose the ground surface type from a pre-populated dropdown; the associated albedo value is automatically inserted into the computation. An optimisation objective selector lets the user choose between 'maximum cumulative energy' and 'maximum rear-side gain' as the ranking criterion.</w:t>
      </w:r>
    </w:p>
    <w:p w14:paraId="3817B98C" w14:textId="77777777" w:rsidR="006F3AA9" w:rsidRDefault="00000000">
      <w:pPr>
        <w:spacing w:before="60" w:after="120"/>
        <w:jc w:val="both"/>
      </w:pPr>
      <w:r>
        <w:t>Input validation is handled client-side using JavaScript before any network request is made, providing immediate feedback on out-of-range entries. Once all inputs are confirmed valid, a single button click triggers an asynchronous HTTP POST to the backend API endpoint, serialising the input parameters as a JSON payload. The interface then displays a loading indicator while the backend processes the request.</w:t>
      </w:r>
    </w:p>
    <w:p w14:paraId="0135F506" w14:textId="77777777" w:rsidR="006F3AA9" w:rsidRDefault="00000000">
      <w:pPr>
        <w:spacing w:before="240" w:after="120"/>
      </w:pPr>
      <w:r>
        <w:rPr>
          <w:b/>
        </w:rPr>
        <w:t>3.4.2  Backend Application Layer</w:t>
      </w:r>
    </w:p>
    <w:p w14:paraId="0E058D66" w14:textId="77777777" w:rsidR="006F3AA9" w:rsidRDefault="00000000">
      <w:pPr>
        <w:spacing w:before="60" w:after="120"/>
        <w:jc w:val="both"/>
      </w:pPr>
      <w:r>
        <w:t>The backend is implemented as a Flask application served by a Gunicorn WSGI server. Upon receiving the JSON payload from the browser, the backend performs three sequential tasks. First, it validates the incoming parameters against predefined bounds and raises descriptive HTTP error responses for any inconsistency. Second, it constructs the NASA POWER API request URL, executes the HTTP GET call, and parses the JSON response to extract the hourly irradiance time series. Third, it calls the analysis engine—described in the following subsection—with the irradiance data and sweep configuration, waits for the ranked results, and serialises them as a JSON response to the browser.</w:t>
      </w:r>
    </w:p>
    <w:p w14:paraId="060E2799" w14:textId="77777777" w:rsidR="006F3AA9" w:rsidRDefault="00000000">
      <w:pPr>
        <w:spacing w:before="60" w:after="120"/>
        <w:jc w:val="both"/>
      </w:pPr>
      <w:r>
        <w:t>Error handling is implemented at three levels: network errors when communicating with the NASA POWER API return a descriptive message to the user; simulation errors within the MATLAB engine are caught and logged server-side; and unexpected exceptions trigger a generic error response that prevents server crashes from propagating to the user interface.</w:t>
      </w:r>
    </w:p>
    <w:p w14:paraId="6811D7A2" w14:textId="77777777" w:rsidR="006F3AA9" w:rsidRDefault="00000000">
      <w:pPr>
        <w:spacing w:before="240" w:after="120"/>
      </w:pPr>
      <w:r>
        <w:rPr>
          <w:b/>
        </w:rPr>
        <w:t>3.4.3  Analysis and Simulation Engine</w:t>
      </w:r>
    </w:p>
    <w:p w14:paraId="0F8A4925" w14:textId="77777777" w:rsidR="006F3AA9" w:rsidRDefault="00000000">
      <w:pPr>
        <w:spacing w:before="60" w:after="120"/>
        <w:jc w:val="both"/>
      </w:pPr>
      <w:r>
        <w:t>The analysis engine is a Python module that implements the parametric sweep logic. It accepts the hourly irradiance arrays and the sweep configuration, iterates over every combination of tilt angle and mounting height values, and for each combination calls the MATLAB-based irradiance and electrical models. The MATLAB Engine API for Python launches a persistent MATLAB session at server start-up; subsequent calls to this session incur negligible start-up overhead, keeping per-configuration computation times manageable even for large sweep grids.</w:t>
      </w:r>
    </w:p>
    <w:p w14:paraId="4724BFCC" w14:textId="77777777" w:rsidR="006F3AA9" w:rsidRDefault="00000000">
      <w:pPr>
        <w:spacing w:before="60" w:after="120"/>
        <w:jc w:val="both"/>
      </w:pPr>
      <w:r>
        <w:t>For each evaluated configuration, the engine computes: (i) the hourly Gₜₒₜ time series using equations (1) through (11); (ii) the daily cumulative energy by numerical integration of the power time series; (iii) the peak power at the maximum irradiance hour; and (iv) the rear gain percentage, defined as the fraction of Gₜₒₜ attributable to the rear-</w:t>
      </w:r>
      <w:r>
        <w:lastRenderedPageBreak/>
        <w:t>surface contribution. The results for all configurations are stored in a pandas DataFrame, sorted by the chosen objective, and returned to the backend layer.</w:t>
      </w:r>
    </w:p>
    <w:p w14:paraId="67DEC727" w14:textId="77777777" w:rsidR="006F3AA9" w:rsidRDefault="00000000">
      <w:pPr>
        <w:spacing w:before="240" w:after="120"/>
      </w:pPr>
      <w:r>
        <w:rPr>
          <w:b/>
        </w:rPr>
        <w:t>3.4.4  Results Dashboard</w:t>
      </w:r>
    </w:p>
    <w:p w14:paraId="688B1F66" w14:textId="77777777" w:rsidR="006F3AA9" w:rsidRDefault="00000000">
      <w:pPr>
        <w:spacing w:before="60" w:after="120"/>
        <w:jc w:val="both"/>
      </w:pPr>
      <w:r>
        <w:t>The results dashboard renders two complementary views. A sortable HTML table lists the top-ranked configurations, each row showing the tilt angle, mounting height, surface type, cumulative energy (kWh), peak power (kW), and rear gain percentage. The first-ranked row is highlighted to draw attention to the recommended configuration. Alongside the table, interactive Chart.js plots display the I-V and P-V curves for the top configurations on a common axis, allowing the user to compare the shape and peak of the characteristic curves across different parameter settings. A secondary panel provides single-parameter analysis results—rear gain vs. albedo, rear gain vs. height, and rear gain vs. tilt—which are generated by fixing two parameters at mid-range values and sweeping the third.</w:t>
      </w:r>
    </w:p>
    <w:p w14:paraId="3C406C0A" w14:textId="77777777" w:rsidR="006F3AA9" w:rsidRDefault="00000000">
      <w:pPr>
        <w:spacing w:before="240" w:after="120"/>
      </w:pPr>
      <w:r>
        <w:rPr>
          <w:b/>
          <w:sz w:val="28"/>
        </w:rPr>
        <w:t>3.5  NASA POWER API Integration</w:t>
      </w:r>
    </w:p>
    <w:p w14:paraId="0E7D8943" w14:textId="77777777" w:rsidR="006F3AA9" w:rsidRDefault="00000000">
      <w:pPr>
        <w:spacing w:before="60" w:after="120"/>
        <w:jc w:val="both"/>
      </w:pPr>
      <w:r>
        <w:t>Meteorological data for the analysis is obtained from the NASA Prediction of Worldwide Energy Resources (POWER) project, which provides hourly solar radiation and meteorological parameters derived from the Modern-Era Retrospective analysis for Research and Applications Version 2 (MERRA-2) reanalysis product and additional satellite-based datasets. The POWER API delivers data at a spatial resolution of 0.5° latitude by 0.625° longitude, which is sufficiently fine for engineering-level analysis of site-specific irradiance.</w:t>
      </w:r>
    </w:p>
    <w:p w14:paraId="010789B7" w14:textId="77777777" w:rsidR="006F3AA9" w:rsidRDefault="00000000">
      <w:pPr>
        <w:spacing w:before="60" w:after="120"/>
        <w:jc w:val="both"/>
      </w:pPr>
      <w:r>
        <w:t>The backend constructs a POWER API request specifying the latitude and longitude of the selected city, the analysis date range, and the required parameters: ALLSKY_SFC_SW_DWN (GHI, W m⁻²), ALLSKY_SFC_SW_DIFF (DHI, W m⁻²), ALLSKY_SFC_SW_DNI (DNI, W m⁻²), and T2M (ambient air temperature at 2 m, °C). The API response is a JSON object containing hourly arrays for each requested parameter. The backend unpacks this object, aligns the arrays by UTC hour, and converts them to NumPy arrays for downstream numerical processing.</w:t>
      </w:r>
    </w:p>
    <w:p w14:paraId="193AD1B4" w14:textId="77777777" w:rsidR="006F3AA9" w:rsidRDefault="00000000">
      <w:pPr>
        <w:spacing w:before="60" w:after="120"/>
        <w:jc w:val="both"/>
      </w:pPr>
      <w:r>
        <w:t>For the case study described in Chapter 4, the location Greater Noida, India (lat. 28.47° N, lon. 77.50° E) was selected and the analysis date was fixed as 13 March 2026. The API returned a total GHI of 6.08 kWh m⁻² and a peak GHI of 866.53 W m⁻² for that day, consistent with typical late-winter irradiance levels at this latitude.</w:t>
      </w:r>
    </w:p>
    <w:p w14:paraId="008B9DEB" w14:textId="77777777" w:rsidR="006F3AA9" w:rsidRDefault="00000000">
      <w:pPr>
        <w:spacing w:before="240" w:after="120"/>
      </w:pPr>
      <w:r>
        <w:rPr>
          <w:b/>
          <w:sz w:val="28"/>
        </w:rPr>
        <w:t>3.6  Parametric Sweep Configuration</w:t>
      </w:r>
    </w:p>
    <w:p w14:paraId="0735EFD8" w14:textId="77777777" w:rsidR="006F3AA9" w:rsidRDefault="00000000">
      <w:pPr>
        <w:spacing w:before="60" w:after="120"/>
        <w:jc w:val="both"/>
      </w:pPr>
      <w:r>
        <w:t xml:space="preserve">The parametric sweep systematically evaluates every point on a multi-dimensional grid of installation parameter combinations. In the implementation used for the case study, the following ranges and increments were adopted. Mounting height was varied from 50 cm </w:t>
      </w:r>
      <w:r>
        <w:lastRenderedPageBreak/>
        <w:t>to 450 cm in steps of 50 cm, giving nine discrete height levels. Tilt angle was varied from 10° to 50° in steps of 10°, giving five discrete angles. Ground surface type was selected by the user from the pre-defined list; for the case study, concrete (ρ = 0.30) was chosen. This yields a grid of 9 × 5 = 45 evaluation points per surface type.</w:t>
      </w:r>
    </w:p>
    <w:p w14:paraId="3B3ED46D" w14:textId="77777777" w:rsidR="006F3AA9" w:rsidRDefault="00000000">
      <w:pPr>
        <w:spacing w:before="60" w:after="120"/>
        <w:jc w:val="both"/>
      </w:pPr>
      <w:r>
        <w:t>At each grid point, the analysis engine executes the following sequence: (i) compute the shadow bounds from equations (7) and (8) for each hour of the day; (ii) evaluate Fᵥ from equation (9); (iii) compute Gᴿₒⁿₜ from equation (5) and Gᴿᵉᵃᴿ from equations (10) and (11); (iv) sum the two contributions per equation (1) to obtain Gₜₒₜ; (v) pass Gₜₒₜ to the Simulink model to extract the I-V and P-V curves; (vi) record cumulative energy, peak power, and rear gain. The 45 result records are sorted by the chosen objective, and the top five configurations are presented to the user in the dashboard table.</w:t>
      </w:r>
    </w:p>
    <w:p w14:paraId="7468219A" w14:textId="77777777" w:rsidR="006F3AA9" w:rsidRDefault="00000000">
      <w:pPr>
        <w:spacing w:before="60" w:after="120"/>
        <w:jc w:val="both"/>
      </w:pPr>
      <w:r>
        <w:t>Beyond the full three-parameter sweep, the platform also supports single-parameter variation analyses in which two of the three parameters are held fixed and the third is swept over a finer grid. This mode—accessible from a dedicated section of the user interface—allows designers to isolate and quantify the individual contribution of each installation variable. Results from such focused analyses for the case study are presented in Section 4.3.</w:t>
      </w:r>
    </w:p>
    <w:p w14:paraId="59DE0023" w14:textId="77777777" w:rsidR="006F3AA9" w:rsidRDefault="00000000">
      <w:pPr>
        <w:spacing w:before="60" w:after="120"/>
        <w:jc w:val="both"/>
      </w:pPr>
      <w:r>
        <w:t>The azimuth angle of the PV module was kept fixed at 180° (south-facing) throughout all simulations, as this orientation is standard practice for maximising annual solar exposure in the northern hemisphere. The NOCT was set to 45°C and the bifaciality factor to 0.70 for all evaluations.</w:t>
      </w:r>
    </w:p>
    <w:p w14:paraId="34B82DD6" w14:textId="77777777" w:rsidR="006F3AA9" w:rsidRDefault="006F3AA9">
      <w:pPr>
        <w:spacing w:after="0"/>
      </w:pPr>
    </w:p>
    <w:sectPr w:rsidR="006F3AA9"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624345">
    <w:abstractNumId w:val="8"/>
  </w:num>
  <w:num w:numId="2" w16cid:durableId="1490243274">
    <w:abstractNumId w:val="6"/>
  </w:num>
  <w:num w:numId="3" w16cid:durableId="1237401864">
    <w:abstractNumId w:val="5"/>
  </w:num>
  <w:num w:numId="4" w16cid:durableId="1302462648">
    <w:abstractNumId w:val="4"/>
  </w:num>
  <w:num w:numId="5" w16cid:durableId="1030881551">
    <w:abstractNumId w:val="7"/>
  </w:num>
  <w:num w:numId="6" w16cid:durableId="1548562964">
    <w:abstractNumId w:val="3"/>
  </w:num>
  <w:num w:numId="7" w16cid:durableId="968507775">
    <w:abstractNumId w:val="2"/>
  </w:num>
  <w:num w:numId="8" w16cid:durableId="737287799">
    <w:abstractNumId w:val="1"/>
  </w:num>
  <w:num w:numId="9" w16cid:durableId="7374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B39"/>
    <w:rsid w:val="00140C22"/>
    <w:rsid w:val="0015074B"/>
    <w:rsid w:val="001B70C0"/>
    <w:rsid w:val="00244F03"/>
    <w:rsid w:val="0025665C"/>
    <w:rsid w:val="00291A22"/>
    <w:rsid w:val="0029639D"/>
    <w:rsid w:val="00326F90"/>
    <w:rsid w:val="003422A4"/>
    <w:rsid w:val="00546CF5"/>
    <w:rsid w:val="00692D15"/>
    <w:rsid w:val="006A1656"/>
    <w:rsid w:val="006F3AA9"/>
    <w:rsid w:val="00826DE7"/>
    <w:rsid w:val="00852FB0"/>
    <w:rsid w:val="00AA1D8D"/>
    <w:rsid w:val="00AF513B"/>
    <w:rsid w:val="00B0703D"/>
    <w:rsid w:val="00B47730"/>
    <w:rsid w:val="00BD19CA"/>
    <w:rsid w:val="00C2128F"/>
    <w:rsid w:val="00C51A86"/>
    <w:rsid w:val="00CB0664"/>
    <w:rsid w:val="00DE6795"/>
    <w:rsid w:val="00E25ECA"/>
    <w:rsid w:val="00E668B8"/>
    <w:rsid w:val="00E77D47"/>
    <w:rsid w:val="00FC693F"/>
    <w:rsid w:val="00FC6D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9691E5-AE05-4D45-98B2-3241D667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2885</Words>
  <Characters>16449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cp:lastModifiedBy>
  <cp:revision>22</cp:revision>
  <dcterms:created xsi:type="dcterms:W3CDTF">2013-12-23T23:15:00Z</dcterms:created>
  <dcterms:modified xsi:type="dcterms:W3CDTF">2026-05-08T15:38:00Z</dcterms:modified>
  <cp:category/>
</cp:coreProperties>
</file>