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A820C" w14:textId="077BC946" w:rsidR="00000BAA" w:rsidRDefault="00000BAA"/>
    <w:p w14:paraId="32E53DC6" w14:textId="4ADDB84C" w:rsidR="00000BAA" w:rsidRDefault="00000BAA">
      <w:r>
        <w:t>Résultat final:</w:t>
      </w:r>
    </w:p>
    <w:p w14:paraId="4DD22E46" w14:textId="36F423B0" w:rsidR="004500F9" w:rsidRDefault="00000BAA">
      <w:r w:rsidRPr="00000BAA">
        <w:drawing>
          <wp:inline distT="0" distB="0" distL="0" distR="0" wp14:anchorId="12AAA2C4" wp14:editId="5F40A9CD">
            <wp:extent cx="5943600" cy="5024755"/>
            <wp:effectExtent l="0" t="0" r="0" b="444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D5E0" w14:textId="475EE265" w:rsidR="00000BAA" w:rsidRDefault="00000BAA"/>
    <w:p w14:paraId="1E200560" w14:textId="2EF170C5" w:rsidR="00000BAA" w:rsidRDefault="00000BAA">
      <w:r>
        <w:t>Petites infos de plus</w:t>
      </w:r>
    </w:p>
    <w:p w14:paraId="58F63D36" w14:textId="77777777" w:rsidR="00000BAA" w:rsidRPr="00000BAA" w:rsidRDefault="00000BAA" w:rsidP="00000BAA">
      <w:pPr>
        <w:pStyle w:val="Paragraphedeliste"/>
        <w:numPr>
          <w:ilvl w:val="0"/>
          <w:numId w:val="1"/>
        </w:numPr>
        <w:rPr>
          <w:lang w:val="fr-CA"/>
        </w:rPr>
      </w:pPr>
      <w:r w:rsidRPr="00000BAA">
        <w:rPr>
          <w:lang w:val="fr-CA"/>
        </w:rPr>
        <w:t>Le bleu pâle correspond à la couleur : #2ea0df</w:t>
      </w:r>
    </w:p>
    <w:p w14:paraId="7F8000CA" w14:textId="3AC5C2F7" w:rsidR="00000BAA" w:rsidRDefault="00000BAA" w:rsidP="00000BAA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Quand on passe la souris sur le mot choisir, ça change la couleur de fond (mettez celle que vous voulez)</w:t>
      </w:r>
    </w:p>
    <w:p w14:paraId="3EE7B61E" w14:textId="738ED187" w:rsidR="00000BAA" w:rsidRDefault="00000BAA" w:rsidP="00C609B9">
      <w:pPr>
        <w:pStyle w:val="Paragraphedeliste"/>
        <w:numPr>
          <w:ilvl w:val="0"/>
          <w:numId w:val="1"/>
        </w:numPr>
        <w:rPr>
          <w:lang w:val="fr-CA"/>
        </w:rPr>
      </w:pPr>
      <w:r w:rsidRPr="00000BAA">
        <w:rPr>
          <w:lang w:val="fr-CA"/>
        </w:rPr>
        <w:t>Pour t’aider, fais section par section, de haut en bas.</w:t>
      </w:r>
    </w:p>
    <w:p w14:paraId="49092B18" w14:textId="72BD2A94" w:rsidR="00000BAA" w:rsidRPr="00000BAA" w:rsidRDefault="00000BAA" w:rsidP="00C609B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Ici, on n’a pas mis de largeur fixe à la page. On a préféré utiliser display :</w:t>
      </w:r>
      <w:r w:rsidRPr="00000BAA">
        <w:rPr>
          <w:b/>
          <w:bCs/>
          <w:lang w:val="fr-CA"/>
        </w:rPr>
        <w:t>inline-block</w:t>
      </w:r>
      <w:r>
        <w:rPr>
          <w:lang w:val="fr-CA"/>
        </w:rPr>
        <w:t xml:space="preserve"> et text-align : </w:t>
      </w:r>
      <w:r w:rsidRPr="00000BAA">
        <w:rPr>
          <w:b/>
          <w:bCs/>
          <w:lang w:val="fr-CA"/>
        </w:rPr>
        <w:t>center</w:t>
      </w:r>
      <w:r w:rsidR="00AE60D3">
        <w:rPr>
          <w:lang w:val="fr-CA"/>
        </w:rPr>
        <w:t xml:space="preserve"> pour centrer les éléments… Pas recommandé, mais fonctionne très bien ici!</w:t>
      </w:r>
    </w:p>
    <w:sectPr w:rsidR="00000BAA" w:rsidRPr="0000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A03B5"/>
    <w:multiLevelType w:val="hybridMultilevel"/>
    <w:tmpl w:val="DE9E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A4851"/>
    <w:multiLevelType w:val="hybridMultilevel"/>
    <w:tmpl w:val="3796FB18"/>
    <w:lvl w:ilvl="0" w:tplc="5AFAA50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BA5D1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24787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D40C0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36DD8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FA762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8EF64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2618B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5C836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F9"/>
    <w:rsid w:val="00000BAA"/>
    <w:rsid w:val="004500F9"/>
    <w:rsid w:val="00A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82A8"/>
  <w15:chartTrackingRefBased/>
  <w15:docId w15:val="{F97EA16C-1EBE-4343-8767-9AC30706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5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Chagnon-Michaud</dc:creator>
  <cp:keywords/>
  <dc:description/>
  <cp:lastModifiedBy>Antoine Chagnon-Michaud</cp:lastModifiedBy>
  <cp:revision>3</cp:revision>
  <dcterms:created xsi:type="dcterms:W3CDTF">2021-02-22T17:38:00Z</dcterms:created>
  <dcterms:modified xsi:type="dcterms:W3CDTF">2021-02-22T17:47:00Z</dcterms:modified>
</cp:coreProperties>
</file>