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Nordvik Ferroalloys AS - Water Stewardship Statement 2026</w:t>
      </w:r>
    </w:p>
    <w:p>
      <w:r>
        <w:t>Nordvik Ferroalloys AS withdrew 412,000 cubic metres of fresh water at the Kvinesdal smelter in 2025, a reduction of 9 percent against 2024. Internal reference NFA-WAT-5519.</w:t>
      </w:r>
    </w:p>
    <w:p>
      <w:r>
        <w:t>The company targets a further 15 percent reduction by 2028 through closed-loop cooling on furnace line 3.</w:t>
      </w:r>
    </w:p>
    <w:p>
      <w:r>
        <w:t>Discharge quality is monitored weekly by an accredited third-party laboratory.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